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5EDD" w:rsidR="00460A07" w:rsidP="00835EDD" w:rsidRDefault="00CD0E1F" w14:paraId="0793D40F" w14:textId="41CFB822">
      <w:pPr>
        <w:tabs>
          <w:tab w:val="center" w:pos="4410"/>
          <w:tab w:val="right" w:pos="9360"/>
        </w:tabs>
        <w:spacing w:line="240" w:lineRule="auto"/>
        <w:ind w:firstLine="0"/>
        <w:rPr>
          <w:b/>
          <w:szCs w:val="26"/>
        </w:rPr>
      </w:pPr>
      <w:r>
        <w:t>ALJ</w:t>
      </w:r>
      <w:r w:rsidR="00DA7B5D">
        <w:t>/</w:t>
      </w:r>
      <w:r>
        <w:t>DBB</w:t>
      </w:r>
      <w:r w:rsidR="00DA7B5D">
        <w:t>/</w:t>
      </w:r>
      <w:r w:rsidR="00AE786B">
        <w:t>AN4/</w:t>
      </w:r>
      <w:r>
        <w:t>gp2</w:t>
      </w:r>
      <w:r w:rsidR="007E0FEE">
        <w:tab/>
      </w:r>
      <w:r w:rsidR="00835EDD">
        <w:rPr>
          <w:rFonts w:ascii="Arial" w:hAnsi="Arial" w:cs="Arial"/>
          <w:b/>
          <w:sz w:val="32"/>
          <w:szCs w:val="32"/>
        </w:rPr>
        <w:tab/>
      </w:r>
      <w:r w:rsidR="00835EDD">
        <w:rPr>
          <w:rFonts w:cs="Arial"/>
          <w:b/>
          <w:szCs w:val="26"/>
        </w:rPr>
        <w:t>Date of Issuance:  7/16/2021</w:t>
      </w:r>
    </w:p>
    <w:p w:rsidR="00DA7B5D" w:rsidP="008F0116" w:rsidRDefault="00DA7B5D" w14:paraId="34D7360F" w14:textId="77777777">
      <w:pPr>
        <w:ind w:firstLine="0"/>
      </w:pPr>
    </w:p>
    <w:p w:rsidRPr="00CD0E1F" w:rsidR="00DA7B5D" w:rsidP="00DB2886" w:rsidRDefault="00DA7B5D" w14:paraId="3F41A6A8" w14:textId="1F6309F0">
      <w:pPr>
        <w:spacing w:line="240" w:lineRule="auto"/>
        <w:ind w:left="1080" w:hanging="1080"/>
        <w:rPr>
          <w:b/>
          <w:bCs/>
        </w:rPr>
      </w:pPr>
      <w:r>
        <w:t xml:space="preserve">Decision </w:t>
      </w:r>
      <w:r w:rsidRPr="00835EDD" w:rsidR="00835EDD">
        <w:t>21-07-</w:t>
      </w:r>
      <w:proofErr w:type="gramStart"/>
      <w:r w:rsidRPr="00835EDD" w:rsidR="00835EDD">
        <w:t>014</w:t>
      </w:r>
      <w:r w:rsidR="00835EDD">
        <w:t xml:space="preserve">  July</w:t>
      </w:r>
      <w:proofErr w:type="gramEnd"/>
      <w:r w:rsidR="00835EDD">
        <w:t xml:space="preserve"> 15, 2021</w:t>
      </w:r>
    </w:p>
    <w:p w:rsidR="00DA7B5D" w:rsidP="00BB0243" w:rsidRDefault="00DA7B5D" w14:paraId="54A34044" w14:textId="77777777">
      <w:pPr>
        <w:spacing w:line="240" w:lineRule="auto"/>
        <w:jc w:val="center"/>
        <w:rPr>
          <w:u w:val="single"/>
        </w:rPr>
      </w:pPr>
    </w:p>
    <w:p w:rsidR="00DA7B5D" w:rsidP="00BB0243" w:rsidRDefault="00DA7B5D" w14:paraId="15E54440"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7781309"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Tr="00DA7B5D" w14:paraId="339D6C2F" w14:textId="77777777">
        <w:tc>
          <w:tcPr>
            <w:tcW w:w="4675" w:type="dxa"/>
            <w:tcBorders>
              <w:top w:val="nil"/>
              <w:left w:val="nil"/>
              <w:bottom w:val="single" w:color="auto" w:sz="4" w:space="0"/>
              <w:right w:val="single" w:color="auto" w:sz="4" w:space="0"/>
            </w:tcBorders>
          </w:tcPr>
          <w:p w:rsidR="00DA7B5D" w:rsidP="00C10B5F" w:rsidRDefault="005445A1" w14:paraId="6B8D4CC7" w14:textId="77777777">
            <w:pPr>
              <w:spacing w:line="240" w:lineRule="auto"/>
              <w:ind w:firstLine="0"/>
            </w:pPr>
            <w:r>
              <w:t>Order Instituting Rulemaking to Oversee the Resource Adequacy Program, Consider Program Refinements, and Establish Forward Resource Adequacy Procurement Obligations.</w:t>
            </w:r>
          </w:p>
          <w:p w:rsidRPr="00DA7B5D" w:rsidR="00CD0E1F" w:rsidP="00C10B5F" w:rsidRDefault="00CD0E1F" w14:paraId="747EF431" w14:textId="61D2B597">
            <w:pPr>
              <w:spacing w:line="240" w:lineRule="auto"/>
              <w:ind w:firstLine="0"/>
              <w:rPr>
                <w:rFonts w:cs="Arial"/>
                <w:szCs w:val="26"/>
              </w:rPr>
            </w:pPr>
          </w:p>
        </w:tc>
        <w:tc>
          <w:tcPr>
            <w:tcW w:w="4675" w:type="dxa"/>
            <w:tcBorders>
              <w:top w:val="nil"/>
              <w:left w:val="single" w:color="auto" w:sz="4" w:space="0"/>
              <w:bottom w:val="nil"/>
              <w:right w:val="nil"/>
            </w:tcBorders>
            <w:vAlign w:val="center"/>
          </w:tcPr>
          <w:p w:rsidRPr="00CD0E1F" w:rsidR="00DA7B5D" w:rsidP="00CD0E1F" w:rsidRDefault="005445A1" w14:paraId="456AF748" w14:textId="26C74FDA">
            <w:pPr>
              <w:pStyle w:val="ALJBodyText"/>
              <w:spacing w:line="240" w:lineRule="auto"/>
              <w:ind w:firstLine="0"/>
              <w:jc w:val="center"/>
            </w:pPr>
            <w:r>
              <w:t>Rulemaking 19-11-009</w:t>
            </w:r>
          </w:p>
        </w:tc>
      </w:tr>
    </w:tbl>
    <w:p w:rsidR="00DA7B5D" w:rsidP="008F0116" w:rsidRDefault="00DA7B5D" w14:paraId="394C178C" w14:textId="77777777">
      <w:pPr>
        <w:spacing w:line="240" w:lineRule="auto"/>
        <w:ind w:firstLine="0"/>
        <w:rPr>
          <w:rFonts w:ascii="Arial" w:hAnsi="Arial" w:cs="Arial"/>
          <w:sz w:val="24"/>
          <w:szCs w:val="24"/>
        </w:rPr>
      </w:pPr>
    </w:p>
    <w:p w:rsidR="00DA7B5D" w:rsidP="008F0116" w:rsidRDefault="00DA7B5D" w14:paraId="373032D9" w14:textId="77777777">
      <w:pPr>
        <w:spacing w:line="240" w:lineRule="auto"/>
        <w:ind w:firstLine="0"/>
        <w:rPr>
          <w:rFonts w:ascii="Arial" w:hAnsi="Arial" w:cs="Arial"/>
          <w:sz w:val="24"/>
          <w:szCs w:val="24"/>
        </w:rPr>
      </w:pPr>
    </w:p>
    <w:p w:rsidRPr="00F92385" w:rsidR="00F92385" w:rsidP="00B3087D" w:rsidRDefault="005445A1" w14:paraId="4F1B7244" w14:textId="56C89630">
      <w:pPr>
        <w:pStyle w:val="Dummy"/>
        <w:jc w:val="center"/>
        <w:sectPr w:rsidRPr="00F92385" w:rsidR="00F92385" w:rsidSect="00A3007D">
          <w:headerReference w:type="first" r:id="rId8"/>
          <w:footerReference w:type="first" r:id="rId9"/>
          <w:pgSz w:w="12240" w:h="15840"/>
          <w:pgMar w:top="1440" w:right="1440" w:bottom="1440" w:left="1440" w:header="720" w:footer="720" w:gutter="0"/>
          <w:pgNumType w:start="1"/>
          <w:cols w:space="720"/>
          <w:titlePg/>
          <w:docGrid w:linePitch="360"/>
        </w:sectPr>
      </w:pPr>
      <w:bookmarkStart w:name="_Toc74206105" w:id="0"/>
      <w:bookmarkStart w:name="_Hlk73006257" w:id="1"/>
      <w:r>
        <w:t xml:space="preserve">DECISION ON TRACK 3B.2 </w:t>
      </w:r>
      <w:r w:rsidR="00190AAB">
        <w:t xml:space="preserve">ISSUES: </w:t>
      </w:r>
      <w:r w:rsidR="00D2784D">
        <w:t>RESTRUCTURE</w:t>
      </w:r>
      <w:r>
        <w:t xml:space="preserve"> OF THE RESOURCE ADEQUACY PROGRAM</w:t>
      </w:r>
      <w:bookmarkEnd w:id="0"/>
    </w:p>
    <w:bookmarkEnd w:id="1"/>
    <w:p w:rsidRPr="001E2A62" w:rsidR="00D50119" w:rsidP="00F76650" w:rsidRDefault="00D50119" w14:paraId="6AFB86D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4E702A9D"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5E282D" w:rsidP="005E282D" w:rsidRDefault="008C7413" w14:paraId="7FD7F877" w14:textId="6D867E56">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4206105"/>
          <w:hyperlink w:history="1" w:anchor="_Toc74206106">
            <w:r w:rsidRPr="00973B49" w:rsidR="005E282D">
              <w:rPr>
                <w:rStyle w:val="Hyperlink"/>
                <w:noProof/>
              </w:rPr>
              <w:t>DECISION ON TRACK 3B.2 ISSUES: RESTRUCTURE OF THE RESOURCE ADEQUACY PROGRAM</w:t>
            </w:r>
            <w:r w:rsidR="005E282D">
              <w:rPr>
                <w:noProof/>
                <w:webHidden/>
              </w:rPr>
              <w:tab/>
            </w:r>
            <w:r w:rsidR="005E282D">
              <w:rPr>
                <w:noProof/>
                <w:webHidden/>
              </w:rPr>
              <w:fldChar w:fldCharType="begin"/>
            </w:r>
            <w:r w:rsidR="005E282D">
              <w:rPr>
                <w:noProof/>
                <w:webHidden/>
              </w:rPr>
              <w:instrText xml:space="preserve"> PAGEREF _Toc74206106 \h </w:instrText>
            </w:r>
            <w:r w:rsidR="005E282D">
              <w:rPr>
                <w:noProof/>
                <w:webHidden/>
              </w:rPr>
            </w:r>
            <w:r w:rsidR="005E282D">
              <w:rPr>
                <w:noProof/>
                <w:webHidden/>
              </w:rPr>
              <w:fldChar w:fldCharType="separate"/>
            </w:r>
            <w:r w:rsidR="00561812">
              <w:rPr>
                <w:noProof/>
                <w:webHidden/>
              </w:rPr>
              <w:t>2</w:t>
            </w:r>
            <w:r w:rsidR="005E282D">
              <w:rPr>
                <w:noProof/>
                <w:webHidden/>
              </w:rPr>
              <w:fldChar w:fldCharType="end"/>
            </w:r>
          </w:hyperlink>
        </w:p>
        <w:p w:rsidR="005E282D" w:rsidRDefault="006145F2" w14:paraId="1B63E0D9" w14:textId="609A2FA5">
          <w:pPr>
            <w:pStyle w:val="TOC1"/>
            <w:tabs>
              <w:tab w:val="right" w:leader="dot" w:pos="9350"/>
            </w:tabs>
            <w:rPr>
              <w:rFonts w:asciiTheme="minorHAnsi" w:hAnsiTheme="minorHAnsi" w:cstheme="minorBidi"/>
              <w:noProof/>
              <w:sz w:val="22"/>
            </w:rPr>
          </w:pPr>
          <w:hyperlink w:history="1" w:anchor="_Toc74206107">
            <w:r w:rsidRPr="00973B49" w:rsidR="005E282D">
              <w:rPr>
                <w:rStyle w:val="Hyperlink"/>
                <w:noProof/>
              </w:rPr>
              <w:t>Summary</w:t>
            </w:r>
            <w:r w:rsidR="005E282D">
              <w:rPr>
                <w:noProof/>
                <w:webHidden/>
              </w:rPr>
              <w:tab/>
            </w:r>
            <w:r w:rsidR="005E282D">
              <w:rPr>
                <w:noProof/>
                <w:webHidden/>
              </w:rPr>
              <w:fldChar w:fldCharType="begin"/>
            </w:r>
            <w:r w:rsidR="005E282D">
              <w:rPr>
                <w:noProof/>
                <w:webHidden/>
              </w:rPr>
              <w:instrText xml:space="preserve"> PAGEREF _Toc74206107 \h </w:instrText>
            </w:r>
            <w:r w:rsidR="005E282D">
              <w:rPr>
                <w:noProof/>
                <w:webHidden/>
              </w:rPr>
            </w:r>
            <w:r w:rsidR="005E282D">
              <w:rPr>
                <w:noProof/>
                <w:webHidden/>
              </w:rPr>
              <w:fldChar w:fldCharType="separate"/>
            </w:r>
            <w:r w:rsidR="00561812">
              <w:rPr>
                <w:noProof/>
                <w:webHidden/>
              </w:rPr>
              <w:t>2</w:t>
            </w:r>
            <w:r w:rsidR="005E282D">
              <w:rPr>
                <w:noProof/>
                <w:webHidden/>
              </w:rPr>
              <w:fldChar w:fldCharType="end"/>
            </w:r>
          </w:hyperlink>
        </w:p>
        <w:p w:rsidR="005E282D" w:rsidRDefault="006145F2" w14:paraId="61B5A2CC" w14:textId="4CE05BBF">
          <w:pPr>
            <w:pStyle w:val="TOC1"/>
            <w:tabs>
              <w:tab w:val="right" w:leader="dot" w:pos="9350"/>
            </w:tabs>
            <w:rPr>
              <w:rFonts w:asciiTheme="minorHAnsi" w:hAnsiTheme="minorHAnsi" w:cstheme="minorBidi"/>
              <w:noProof/>
              <w:sz w:val="22"/>
            </w:rPr>
          </w:pPr>
          <w:hyperlink w:history="1" w:anchor="_Toc74206108">
            <w:r w:rsidRPr="00973B49" w:rsidR="005E282D">
              <w:rPr>
                <w:rStyle w:val="Hyperlink"/>
                <w:noProof/>
              </w:rPr>
              <w:t>1.</w:t>
            </w:r>
            <w:r w:rsidR="005E282D">
              <w:rPr>
                <w:rFonts w:asciiTheme="minorHAnsi" w:hAnsiTheme="minorHAnsi" w:cstheme="minorBidi"/>
                <w:noProof/>
                <w:sz w:val="22"/>
              </w:rPr>
              <w:tab/>
            </w:r>
            <w:r w:rsidRPr="00973B49" w:rsidR="005E282D">
              <w:rPr>
                <w:rStyle w:val="Hyperlink"/>
                <w:noProof/>
              </w:rPr>
              <w:t>Procedural History</w:t>
            </w:r>
            <w:r w:rsidR="005E282D">
              <w:rPr>
                <w:noProof/>
                <w:webHidden/>
              </w:rPr>
              <w:tab/>
            </w:r>
            <w:r w:rsidR="005E282D">
              <w:rPr>
                <w:noProof/>
                <w:webHidden/>
              </w:rPr>
              <w:fldChar w:fldCharType="begin"/>
            </w:r>
            <w:r w:rsidR="005E282D">
              <w:rPr>
                <w:noProof/>
                <w:webHidden/>
              </w:rPr>
              <w:instrText xml:space="preserve"> PAGEREF _Toc74206108 \h </w:instrText>
            </w:r>
            <w:r w:rsidR="005E282D">
              <w:rPr>
                <w:noProof/>
                <w:webHidden/>
              </w:rPr>
            </w:r>
            <w:r w:rsidR="005E282D">
              <w:rPr>
                <w:noProof/>
                <w:webHidden/>
              </w:rPr>
              <w:fldChar w:fldCharType="separate"/>
            </w:r>
            <w:r w:rsidR="00561812">
              <w:rPr>
                <w:noProof/>
                <w:webHidden/>
              </w:rPr>
              <w:t>2</w:t>
            </w:r>
            <w:r w:rsidR="005E282D">
              <w:rPr>
                <w:noProof/>
                <w:webHidden/>
              </w:rPr>
              <w:fldChar w:fldCharType="end"/>
            </w:r>
          </w:hyperlink>
        </w:p>
        <w:p w:rsidR="005E282D" w:rsidRDefault="006145F2" w14:paraId="10334E45" w14:textId="06DFFA52">
          <w:pPr>
            <w:pStyle w:val="TOC1"/>
            <w:tabs>
              <w:tab w:val="right" w:leader="dot" w:pos="9350"/>
            </w:tabs>
            <w:rPr>
              <w:rFonts w:asciiTheme="minorHAnsi" w:hAnsiTheme="minorHAnsi" w:cstheme="minorBidi"/>
              <w:noProof/>
              <w:sz w:val="22"/>
            </w:rPr>
          </w:pPr>
          <w:hyperlink w:history="1" w:anchor="_Toc74206109">
            <w:r w:rsidRPr="00973B49" w:rsidR="005E282D">
              <w:rPr>
                <w:rStyle w:val="Hyperlink"/>
                <w:noProof/>
              </w:rPr>
              <w:t>2.</w:t>
            </w:r>
            <w:r w:rsidR="005E282D">
              <w:rPr>
                <w:rFonts w:asciiTheme="minorHAnsi" w:hAnsiTheme="minorHAnsi" w:cstheme="minorBidi"/>
                <w:noProof/>
                <w:sz w:val="22"/>
              </w:rPr>
              <w:tab/>
            </w:r>
            <w:r w:rsidRPr="00973B49" w:rsidR="005E282D">
              <w:rPr>
                <w:rStyle w:val="Hyperlink"/>
                <w:noProof/>
              </w:rPr>
              <w:t>Issues Before the Commission</w:t>
            </w:r>
            <w:r w:rsidR="005E282D">
              <w:rPr>
                <w:noProof/>
                <w:webHidden/>
              </w:rPr>
              <w:tab/>
            </w:r>
            <w:r w:rsidR="005E282D">
              <w:rPr>
                <w:noProof/>
                <w:webHidden/>
              </w:rPr>
              <w:fldChar w:fldCharType="begin"/>
            </w:r>
            <w:r w:rsidR="005E282D">
              <w:rPr>
                <w:noProof/>
                <w:webHidden/>
              </w:rPr>
              <w:instrText xml:space="preserve"> PAGEREF _Toc74206109 \h </w:instrText>
            </w:r>
            <w:r w:rsidR="005E282D">
              <w:rPr>
                <w:noProof/>
                <w:webHidden/>
              </w:rPr>
            </w:r>
            <w:r w:rsidR="005E282D">
              <w:rPr>
                <w:noProof/>
                <w:webHidden/>
              </w:rPr>
              <w:fldChar w:fldCharType="separate"/>
            </w:r>
            <w:r w:rsidR="00561812">
              <w:rPr>
                <w:noProof/>
                <w:webHidden/>
              </w:rPr>
              <w:t>5</w:t>
            </w:r>
            <w:r w:rsidR="005E282D">
              <w:rPr>
                <w:noProof/>
                <w:webHidden/>
              </w:rPr>
              <w:fldChar w:fldCharType="end"/>
            </w:r>
          </w:hyperlink>
        </w:p>
        <w:p w:rsidR="005E282D" w:rsidRDefault="006145F2" w14:paraId="1B4E5E99" w14:textId="7222FE7B">
          <w:pPr>
            <w:pStyle w:val="TOC1"/>
            <w:tabs>
              <w:tab w:val="right" w:leader="dot" w:pos="9350"/>
            </w:tabs>
            <w:rPr>
              <w:rFonts w:asciiTheme="minorHAnsi" w:hAnsiTheme="minorHAnsi" w:cstheme="minorBidi"/>
              <w:noProof/>
              <w:sz w:val="22"/>
            </w:rPr>
          </w:pPr>
          <w:hyperlink w:history="1" w:anchor="_Toc74206110">
            <w:r w:rsidRPr="00973B49" w:rsidR="005E282D">
              <w:rPr>
                <w:rStyle w:val="Hyperlink"/>
                <w:noProof/>
              </w:rPr>
              <w:t>3.</w:t>
            </w:r>
            <w:r w:rsidR="005E282D">
              <w:rPr>
                <w:rFonts w:asciiTheme="minorHAnsi" w:hAnsiTheme="minorHAnsi" w:cstheme="minorBidi"/>
                <w:noProof/>
                <w:sz w:val="22"/>
              </w:rPr>
              <w:tab/>
            </w:r>
            <w:r w:rsidRPr="00973B49" w:rsidR="005E282D">
              <w:rPr>
                <w:rStyle w:val="Hyperlink"/>
                <w:noProof/>
              </w:rPr>
              <w:t>Background on the Resource Adequacy Program</w:t>
            </w:r>
            <w:r w:rsidR="005E282D">
              <w:rPr>
                <w:noProof/>
                <w:webHidden/>
              </w:rPr>
              <w:tab/>
            </w:r>
            <w:r w:rsidR="005E282D">
              <w:rPr>
                <w:noProof/>
                <w:webHidden/>
              </w:rPr>
              <w:fldChar w:fldCharType="begin"/>
            </w:r>
            <w:r w:rsidR="005E282D">
              <w:rPr>
                <w:noProof/>
                <w:webHidden/>
              </w:rPr>
              <w:instrText xml:space="preserve"> PAGEREF _Toc74206110 \h </w:instrText>
            </w:r>
            <w:r w:rsidR="005E282D">
              <w:rPr>
                <w:noProof/>
                <w:webHidden/>
              </w:rPr>
            </w:r>
            <w:r w:rsidR="005E282D">
              <w:rPr>
                <w:noProof/>
                <w:webHidden/>
              </w:rPr>
              <w:fldChar w:fldCharType="separate"/>
            </w:r>
            <w:r w:rsidR="00561812">
              <w:rPr>
                <w:noProof/>
                <w:webHidden/>
              </w:rPr>
              <w:t>5</w:t>
            </w:r>
            <w:r w:rsidR="005E282D">
              <w:rPr>
                <w:noProof/>
                <w:webHidden/>
              </w:rPr>
              <w:fldChar w:fldCharType="end"/>
            </w:r>
          </w:hyperlink>
        </w:p>
        <w:p w:rsidR="005E282D" w:rsidRDefault="006145F2" w14:paraId="288FC988" w14:textId="14C7DBF9">
          <w:pPr>
            <w:pStyle w:val="TOC1"/>
            <w:tabs>
              <w:tab w:val="right" w:leader="dot" w:pos="9350"/>
            </w:tabs>
            <w:rPr>
              <w:rFonts w:asciiTheme="minorHAnsi" w:hAnsiTheme="minorHAnsi" w:cstheme="minorBidi"/>
              <w:noProof/>
              <w:sz w:val="22"/>
            </w:rPr>
          </w:pPr>
          <w:hyperlink w:history="1" w:anchor="_Toc74206111">
            <w:r w:rsidRPr="00973B49" w:rsidR="005E282D">
              <w:rPr>
                <w:rStyle w:val="Hyperlink"/>
                <w:noProof/>
              </w:rPr>
              <w:t>4.</w:t>
            </w:r>
            <w:r w:rsidR="005E282D">
              <w:rPr>
                <w:rFonts w:asciiTheme="minorHAnsi" w:hAnsiTheme="minorHAnsi" w:cstheme="minorBidi"/>
                <w:noProof/>
                <w:sz w:val="22"/>
              </w:rPr>
              <w:tab/>
            </w:r>
            <w:r w:rsidRPr="00973B49" w:rsidR="005E282D">
              <w:rPr>
                <w:rStyle w:val="Hyperlink"/>
                <w:noProof/>
              </w:rPr>
              <w:t>Proposals to Restructure the RA Program</w:t>
            </w:r>
            <w:r w:rsidR="005E282D">
              <w:rPr>
                <w:noProof/>
                <w:webHidden/>
              </w:rPr>
              <w:tab/>
            </w:r>
            <w:r w:rsidR="005E282D">
              <w:rPr>
                <w:noProof/>
                <w:webHidden/>
              </w:rPr>
              <w:fldChar w:fldCharType="begin"/>
            </w:r>
            <w:r w:rsidR="005E282D">
              <w:rPr>
                <w:noProof/>
                <w:webHidden/>
              </w:rPr>
              <w:instrText xml:space="preserve"> PAGEREF _Toc74206111 \h </w:instrText>
            </w:r>
            <w:r w:rsidR="005E282D">
              <w:rPr>
                <w:noProof/>
                <w:webHidden/>
              </w:rPr>
            </w:r>
            <w:r w:rsidR="005E282D">
              <w:rPr>
                <w:noProof/>
                <w:webHidden/>
              </w:rPr>
              <w:fldChar w:fldCharType="separate"/>
            </w:r>
            <w:r w:rsidR="00561812">
              <w:rPr>
                <w:noProof/>
                <w:webHidden/>
              </w:rPr>
              <w:t>7</w:t>
            </w:r>
            <w:r w:rsidR="005E282D">
              <w:rPr>
                <w:noProof/>
                <w:webHidden/>
              </w:rPr>
              <w:fldChar w:fldCharType="end"/>
            </w:r>
          </w:hyperlink>
        </w:p>
        <w:p w:rsidR="005E282D" w:rsidRDefault="006145F2" w14:paraId="2F3337DB" w14:textId="29F4DD2E">
          <w:pPr>
            <w:pStyle w:val="TOC2"/>
            <w:tabs>
              <w:tab w:val="right" w:leader="dot" w:pos="9350"/>
            </w:tabs>
            <w:rPr>
              <w:rFonts w:asciiTheme="minorHAnsi" w:hAnsiTheme="minorHAnsi" w:cstheme="minorBidi"/>
              <w:noProof/>
              <w:sz w:val="22"/>
            </w:rPr>
          </w:pPr>
          <w:hyperlink w:history="1" w:anchor="_Toc74206112">
            <w:r w:rsidRPr="00973B49" w:rsidR="005E282D">
              <w:rPr>
                <w:rStyle w:val="Hyperlink"/>
                <w:noProof/>
              </w:rPr>
              <w:t>4.1.</w:t>
            </w:r>
            <w:r w:rsidR="005E282D">
              <w:rPr>
                <w:rFonts w:asciiTheme="minorHAnsi" w:hAnsiTheme="minorHAnsi" w:cstheme="minorBidi"/>
                <w:noProof/>
                <w:sz w:val="22"/>
              </w:rPr>
              <w:tab/>
            </w:r>
            <w:r w:rsidRPr="00973B49" w:rsidR="005E282D">
              <w:rPr>
                <w:rStyle w:val="Hyperlink"/>
                <w:noProof/>
              </w:rPr>
              <w:t>SCE/CalCCA’s Net Qualifying Energy Proposal</w:t>
            </w:r>
            <w:r w:rsidR="005E282D">
              <w:rPr>
                <w:noProof/>
                <w:webHidden/>
              </w:rPr>
              <w:tab/>
            </w:r>
            <w:r w:rsidR="005E282D">
              <w:rPr>
                <w:noProof/>
                <w:webHidden/>
              </w:rPr>
              <w:fldChar w:fldCharType="begin"/>
            </w:r>
            <w:r w:rsidR="005E282D">
              <w:rPr>
                <w:noProof/>
                <w:webHidden/>
              </w:rPr>
              <w:instrText xml:space="preserve"> PAGEREF _Toc74206112 \h </w:instrText>
            </w:r>
            <w:r w:rsidR="005E282D">
              <w:rPr>
                <w:noProof/>
                <w:webHidden/>
              </w:rPr>
            </w:r>
            <w:r w:rsidR="005E282D">
              <w:rPr>
                <w:noProof/>
                <w:webHidden/>
              </w:rPr>
              <w:fldChar w:fldCharType="separate"/>
            </w:r>
            <w:r w:rsidR="00561812">
              <w:rPr>
                <w:noProof/>
                <w:webHidden/>
              </w:rPr>
              <w:t>8</w:t>
            </w:r>
            <w:r w:rsidR="005E282D">
              <w:rPr>
                <w:noProof/>
                <w:webHidden/>
              </w:rPr>
              <w:fldChar w:fldCharType="end"/>
            </w:r>
          </w:hyperlink>
        </w:p>
        <w:p w:rsidR="005E282D" w:rsidRDefault="006145F2" w14:paraId="5AF2910B" w14:textId="7A09681C">
          <w:pPr>
            <w:pStyle w:val="TOC3"/>
            <w:tabs>
              <w:tab w:val="left" w:pos="1296"/>
              <w:tab w:val="right" w:leader="dot" w:pos="9350"/>
            </w:tabs>
            <w:rPr>
              <w:rFonts w:asciiTheme="minorHAnsi" w:hAnsiTheme="minorHAnsi" w:cstheme="minorBidi"/>
              <w:noProof/>
              <w:sz w:val="22"/>
            </w:rPr>
          </w:pPr>
          <w:hyperlink w:history="1" w:anchor="_Toc74206113">
            <w:r w:rsidRPr="00973B49" w:rsidR="005E282D">
              <w:rPr>
                <w:rStyle w:val="Hyperlink"/>
                <w:noProof/>
              </w:rPr>
              <w:t>4.1.1.</w:t>
            </w:r>
            <w:r w:rsidR="005E282D">
              <w:rPr>
                <w:rFonts w:asciiTheme="minorHAnsi" w:hAnsiTheme="minorHAnsi" w:cstheme="minorBidi"/>
                <w:noProof/>
                <w:sz w:val="22"/>
              </w:rPr>
              <w:tab/>
            </w:r>
            <w:r w:rsidRPr="00973B49" w:rsidR="005E282D">
              <w:rPr>
                <w:rStyle w:val="Hyperlink"/>
                <w:noProof/>
              </w:rPr>
              <w:t>Comments on Proposal</w:t>
            </w:r>
            <w:r w:rsidR="005E282D">
              <w:rPr>
                <w:noProof/>
                <w:webHidden/>
              </w:rPr>
              <w:tab/>
            </w:r>
            <w:r w:rsidR="005E282D">
              <w:rPr>
                <w:noProof/>
                <w:webHidden/>
              </w:rPr>
              <w:fldChar w:fldCharType="begin"/>
            </w:r>
            <w:r w:rsidR="005E282D">
              <w:rPr>
                <w:noProof/>
                <w:webHidden/>
              </w:rPr>
              <w:instrText xml:space="preserve"> PAGEREF _Toc74206113 \h </w:instrText>
            </w:r>
            <w:r w:rsidR="005E282D">
              <w:rPr>
                <w:noProof/>
                <w:webHidden/>
              </w:rPr>
            </w:r>
            <w:r w:rsidR="005E282D">
              <w:rPr>
                <w:noProof/>
                <w:webHidden/>
              </w:rPr>
              <w:fldChar w:fldCharType="separate"/>
            </w:r>
            <w:r w:rsidR="00561812">
              <w:rPr>
                <w:noProof/>
                <w:webHidden/>
              </w:rPr>
              <w:t>11</w:t>
            </w:r>
            <w:r w:rsidR="005E282D">
              <w:rPr>
                <w:noProof/>
                <w:webHidden/>
              </w:rPr>
              <w:fldChar w:fldCharType="end"/>
            </w:r>
          </w:hyperlink>
        </w:p>
        <w:p w:rsidR="005E282D" w:rsidRDefault="006145F2" w14:paraId="26B32D96" w14:textId="55EBC97C">
          <w:pPr>
            <w:pStyle w:val="TOC2"/>
            <w:tabs>
              <w:tab w:val="right" w:leader="dot" w:pos="9350"/>
            </w:tabs>
            <w:rPr>
              <w:rFonts w:asciiTheme="minorHAnsi" w:hAnsiTheme="minorHAnsi" w:cstheme="minorBidi"/>
              <w:noProof/>
              <w:sz w:val="22"/>
            </w:rPr>
          </w:pPr>
          <w:hyperlink w:history="1" w:anchor="_Toc74206114">
            <w:r w:rsidRPr="00973B49" w:rsidR="005E282D">
              <w:rPr>
                <w:rStyle w:val="Hyperlink"/>
                <w:noProof/>
              </w:rPr>
              <w:t>4.2.</w:t>
            </w:r>
            <w:r w:rsidR="005E282D">
              <w:rPr>
                <w:rFonts w:asciiTheme="minorHAnsi" w:hAnsiTheme="minorHAnsi" w:cstheme="minorBidi"/>
                <w:noProof/>
                <w:sz w:val="22"/>
              </w:rPr>
              <w:tab/>
            </w:r>
            <w:r w:rsidRPr="00973B49" w:rsidR="005E282D">
              <w:rPr>
                <w:rStyle w:val="Hyperlink"/>
                <w:noProof/>
              </w:rPr>
              <w:t>PG&amp;E’s Slice-of-Day Proposal</w:t>
            </w:r>
            <w:r w:rsidR="005E282D">
              <w:rPr>
                <w:noProof/>
                <w:webHidden/>
              </w:rPr>
              <w:tab/>
            </w:r>
            <w:r w:rsidR="005E282D">
              <w:rPr>
                <w:noProof/>
                <w:webHidden/>
              </w:rPr>
              <w:fldChar w:fldCharType="begin"/>
            </w:r>
            <w:r w:rsidR="005E282D">
              <w:rPr>
                <w:noProof/>
                <w:webHidden/>
              </w:rPr>
              <w:instrText xml:space="preserve"> PAGEREF _Toc74206114 \h </w:instrText>
            </w:r>
            <w:r w:rsidR="005E282D">
              <w:rPr>
                <w:noProof/>
                <w:webHidden/>
              </w:rPr>
            </w:r>
            <w:r w:rsidR="005E282D">
              <w:rPr>
                <w:noProof/>
                <w:webHidden/>
              </w:rPr>
              <w:fldChar w:fldCharType="separate"/>
            </w:r>
            <w:r w:rsidR="00561812">
              <w:rPr>
                <w:noProof/>
                <w:webHidden/>
              </w:rPr>
              <w:t>12</w:t>
            </w:r>
            <w:r w:rsidR="005E282D">
              <w:rPr>
                <w:noProof/>
                <w:webHidden/>
              </w:rPr>
              <w:fldChar w:fldCharType="end"/>
            </w:r>
          </w:hyperlink>
        </w:p>
        <w:p w:rsidR="005E282D" w:rsidRDefault="006145F2" w14:paraId="42E89E1F" w14:textId="21E0ACB7">
          <w:pPr>
            <w:pStyle w:val="TOC3"/>
            <w:tabs>
              <w:tab w:val="left" w:pos="1296"/>
              <w:tab w:val="right" w:leader="dot" w:pos="9350"/>
            </w:tabs>
            <w:rPr>
              <w:rFonts w:asciiTheme="minorHAnsi" w:hAnsiTheme="minorHAnsi" w:cstheme="minorBidi"/>
              <w:noProof/>
              <w:sz w:val="22"/>
            </w:rPr>
          </w:pPr>
          <w:hyperlink w:history="1" w:anchor="_Toc74206115">
            <w:r w:rsidRPr="00973B49" w:rsidR="005E282D">
              <w:rPr>
                <w:rStyle w:val="Hyperlink"/>
                <w:noProof/>
              </w:rPr>
              <w:t>4.2.1.</w:t>
            </w:r>
            <w:r w:rsidR="005E282D">
              <w:rPr>
                <w:rFonts w:asciiTheme="minorHAnsi" w:hAnsiTheme="minorHAnsi" w:cstheme="minorBidi"/>
                <w:noProof/>
                <w:sz w:val="22"/>
              </w:rPr>
              <w:tab/>
            </w:r>
            <w:r w:rsidRPr="00973B49" w:rsidR="005E282D">
              <w:rPr>
                <w:rStyle w:val="Hyperlink"/>
                <w:noProof/>
              </w:rPr>
              <w:t>Comments on Proposal</w:t>
            </w:r>
            <w:r w:rsidR="005E282D">
              <w:rPr>
                <w:noProof/>
                <w:webHidden/>
              </w:rPr>
              <w:tab/>
            </w:r>
            <w:r w:rsidR="005E282D">
              <w:rPr>
                <w:noProof/>
                <w:webHidden/>
              </w:rPr>
              <w:fldChar w:fldCharType="begin"/>
            </w:r>
            <w:r w:rsidR="005E282D">
              <w:rPr>
                <w:noProof/>
                <w:webHidden/>
              </w:rPr>
              <w:instrText xml:space="preserve"> PAGEREF _Toc74206115 \h </w:instrText>
            </w:r>
            <w:r w:rsidR="005E282D">
              <w:rPr>
                <w:noProof/>
                <w:webHidden/>
              </w:rPr>
            </w:r>
            <w:r w:rsidR="005E282D">
              <w:rPr>
                <w:noProof/>
                <w:webHidden/>
              </w:rPr>
              <w:fldChar w:fldCharType="separate"/>
            </w:r>
            <w:r w:rsidR="00561812">
              <w:rPr>
                <w:noProof/>
                <w:webHidden/>
              </w:rPr>
              <w:t>15</w:t>
            </w:r>
            <w:r w:rsidR="005E282D">
              <w:rPr>
                <w:noProof/>
                <w:webHidden/>
              </w:rPr>
              <w:fldChar w:fldCharType="end"/>
            </w:r>
          </w:hyperlink>
        </w:p>
        <w:p w:rsidR="005E282D" w:rsidRDefault="006145F2" w14:paraId="7106E1CD" w14:textId="3BBEA0C9">
          <w:pPr>
            <w:pStyle w:val="TOC2"/>
            <w:tabs>
              <w:tab w:val="right" w:leader="dot" w:pos="9350"/>
            </w:tabs>
            <w:rPr>
              <w:rFonts w:asciiTheme="minorHAnsi" w:hAnsiTheme="minorHAnsi" w:cstheme="minorBidi"/>
              <w:noProof/>
              <w:sz w:val="22"/>
            </w:rPr>
          </w:pPr>
          <w:hyperlink w:history="1" w:anchor="_Toc74206116">
            <w:r w:rsidRPr="00973B49" w:rsidR="005E282D">
              <w:rPr>
                <w:rStyle w:val="Hyperlink"/>
                <w:noProof/>
              </w:rPr>
              <w:t>4.3.</w:t>
            </w:r>
            <w:r w:rsidR="005E282D">
              <w:rPr>
                <w:rFonts w:asciiTheme="minorHAnsi" w:hAnsiTheme="minorHAnsi" w:cstheme="minorBidi"/>
                <w:noProof/>
                <w:sz w:val="22"/>
              </w:rPr>
              <w:tab/>
            </w:r>
            <w:r w:rsidRPr="00973B49" w:rsidR="005E282D">
              <w:rPr>
                <w:rStyle w:val="Hyperlink"/>
                <w:noProof/>
              </w:rPr>
              <w:t>SDG&amp;E’s Slice-of-Day Proposal</w:t>
            </w:r>
            <w:r w:rsidR="005E282D">
              <w:rPr>
                <w:noProof/>
                <w:webHidden/>
              </w:rPr>
              <w:tab/>
            </w:r>
            <w:r w:rsidR="005E282D">
              <w:rPr>
                <w:noProof/>
                <w:webHidden/>
              </w:rPr>
              <w:fldChar w:fldCharType="begin"/>
            </w:r>
            <w:r w:rsidR="005E282D">
              <w:rPr>
                <w:noProof/>
                <w:webHidden/>
              </w:rPr>
              <w:instrText xml:space="preserve"> PAGEREF _Toc74206116 \h </w:instrText>
            </w:r>
            <w:r w:rsidR="005E282D">
              <w:rPr>
                <w:noProof/>
                <w:webHidden/>
              </w:rPr>
            </w:r>
            <w:r w:rsidR="005E282D">
              <w:rPr>
                <w:noProof/>
                <w:webHidden/>
              </w:rPr>
              <w:fldChar w:fldCharType="separate"/>
            </w:r>
            <w:r w:rsidR="00561812">
              <w:rPr>
                <w:noProof/>
                <w:webHidden/>
              </w:rPr>
              <w:t>16</w:t>
            </w:r>
            <w:r w:rsidR="005E282D">
              <w:rPr>
                <w:noProof/>
                <w:webHidden/>
              </w:rPr>
              <w:fldChar w:fldCharType="end"/>
            </w:r>
          </w:hyperlink>
        </w:p>
        <w:p w:rsidR="005E282D" w:rsidRDefault="006145F2" w14:paraId="30116DCF" w14:textId="5F402346">
          <w:pPr>
            <w:pStyle w:val="TOC2"/>
            <w:tabs>
              <w:tab w:val="right" w:leader="dot" w:pos="9350"/>
            </w:tabs>
            <w:rPr>
              <w:rFonts w:asciiTheme="minorHAnsi" w:hAnsiTheme="minorHAnsi" w:cstheme="minorBidi"/>
              <w:noProof/>
              <w:sz w:val="22"/>
            </w:rPr>
          </w:pPr>
          <w:hyperlink w:history="1" w:anchor="_Toc74206117">
            <w:r w:rsidRPr="00973B49" w:rsidR="005E282D">
              <w:rPr>
                <w:rStyle w:val="Hyperlink"/>
                <w:noProof/>
              </w:rPr>
              <w:t>4.4.</w:t>
            </w:r>
            <w:r w:rsidR="005E282D">
              <w:rPr>
                <w:rFonts w:asciiTheme="minorHAnsi" w:hAnsiTheme="minorHAnsi" w:cstheme="minorBidi"/>
                <w:noProof/>
                <w:sz w:val="22"/>
              </w:rPr>
              <w:tab/>
            </w:r>
            <w:r w:rsidRPr="00973B49" w:rsidR="005E282D">
              <w:rPr>
                <w:rStyle w:val="Hyperlink"/>
                <w:noProof/>
              </w:rPr>
              <w:t>Energy Division’s Fixed-Price Forward Energy Proposal</w:t>
            </w:r>
            <w:r w:rsidR="005E282D">
              <w:rPr>
                <w:noProof/>
                <w:webHidden/>
              </w:rPr>
              <w:tab/>
            </w:r>
            <w:r w:rsidR="005E282D">
              <w:rPr>
                <w:noProof/>
                <w:webHidden/>
              </w:rPr>
              <w:fldChar w:fldCharType="begin"/>
            </w:r>
            <w:r w:rsidR="005E282D">
              <w:rPr>
                <w:noProof/>
                <w:webHidden/>
              </w:rPr>
              <w:instrText xml:space="preserve"> PAGEREF _Toc74206117 \h </w:instrText>
            </w:r>
            <w:r w:rsidR="005E282D">
              <w:rPr>
                <w:noProof/>
                <w:webHidden/>
              </w:rPr>
            </w:r>
            <w:r w:rsidR="005E282D">
              <w:rPr>
                <w:noProof/>
                <w:webHidden/>
              </w:rPr>
              <w:fldChar w:fldCharType="separate"/>
            </w:r>
            <w:r w:rsidR="00561812">
              <w:rPr>
                <w:noProof/>
                <w:webHidden/>
              </w:rPr>
              <w:t>18</w:t>
            </w:r>
            <w:r w:rsidR="005E282D">
              <w:rPr>
                <w:noProof/>
                <w:webHidden/>
              </w:rPr>
              <w:fldChar w:fldCharType="end"/>
            </w:r>
          </w:hyperlink>
        </w:p>
        <w:p w:rsidR="005E282D" w:rsidRDefault="006145F2" w14:paraId="27AE6D40" w14:textId="2BE48543">
          <w:pPr>
            <w:pStyle w:val="TOC3"/>
            <w:tabs>
              <w:tab w:val="left" w:pos="1296"/>
              <w:tab w:val="right" w:leader="dot" w:pos="9350"/>
            </w:tabs>
            <w:rPr>
              <w:rFonts w:asciiTheme="minorHAnsi" w:hAnsiTheme="minorHAnsi" w:cstheme="minorBidi"/>
              <w:noProof/>
              <w:sz w:val="22"/>
            </w:rPr>
          </w:pPr>
          <w:hyperlink w:history="1" w:anchor="_Toc74206118">
            <w:r w:rsidRPr="00973B49" w:rsidR="005E282D">
              <w:rPr>
                <w:rStyle w:val="Hyperlink"/>
                <w:noProof/>
              </w:rPr>
              <w:t>4.4.1.</w:t>
            </w:r>
            <w:r w:rsidR="005E282D">
              <w:rPr>
                <w:rFonts w:asciiTheme="minorHAnsi" w:hAnsiTheme="minorHAnsi" w:cstheme="minorBidi"/>
                <w:noProof/>
                <w:sz w:val="22"/>
              </w:rPr>
              <w:tab/>
            </w:r>
            <w:r w:rsidRPr="00973B49" w:rsidR="005E282D">
              <w:rPr>
                <w:rStyle w:val="Hyperlink"/>
                <w:noProof/>
              </w:rPr>
              <w:t>Comments on Proposal</w:t>
            </w:r>
            <w:r w:rsidR="005E282D">
              <w:rPr>
                <w:noProof/>
                <w:webHidden/>
              </w:rPr>
              <w:tab/>
            </w:r>
            <w:r w:rsidR="005E282D">
              <w:rPr>
                <w:noProof/>
                <w:webHidden/>
              </w:rPr>
              <w:fldChar w:fldCharType="begin"/>
            </w:r>
            <w:r w:rsidR="005E282D">
              <w:rPr>
                <w:noProof/>
                <w:webHidden/>
              </w:rPr>
              <w:instrText xml:space="preserve"> PAGEREF _Toc74206118 \h </w:instrText>
            </w:r>
            <w:r w:rsidR="005E282D">
              <w:rPr>
                <w:noProof/>
                <w:webHidden/>
              </w:rPr>
            </w:r>
            <w:r w:rsidR="005E282D">
              <w:rPr>
                <w:noProof/>
                <w:webHidden/>
              </w:rPr>
              <w:fldChar w:fldCharType="separate"/>
            </w:r>
            <w:r w:rsidR="00561812">
              <w:rPr>
                <w:noProof/>
                <w:webHidden/>
              </w:rPr>
              <w:t>21</w:t>
            </w:r>
            <w:r w:rsidR="005E282D">
              <w:rPr>
                <w:noProof/>
                <w:webHidden/>
              </w:rPr>
              <w:fldChar w:fldCharType="end"/>
            </w:r>
          </w:hyperlink>
        </w:p>
        <w:p w:rsidR="005E282D" w:rsidRDefault="006145F2" w14:paraId="69A1FBED" w14:textId="3EDA22E5">
          <w:pPr>
            <w:pStyle w:val="TOC2"/>
            <w:tabs>
              <w:tab w:val="right" w:leader="dot" w:pos="9350"/>
            </w:tabs>
            <w:rPr>
              <w:rFonts w:asciiTheme="minorHAnsi" w:hAnsiTheme="minorHAnsi" w:cstheme="minorBidi"/>
              <w:noProof/>
              <w:sz w:val="22"/>
            </w:rPr>
          </w:pPr>
          <w:hyperlink w:history="1" w:anchor="_Toc74206119">
            <w:r w:rsidRPr="00973B49" w:rsidR="005E282D">
              <w:rPr>
                <w:rStyle w:val="Hyperlink"/>
                <w:noProof/>
              </w:rPr>
              <w:t>4.5.</w:t>
            </w:r>
            <w:r w:rsidR="005E282D">
              <w:rPr>
                <w:rFonts w:asciiTheme="minorHAnsi" w:hAnsiTheme="minorHAnsi" w:cstheme="minorBidi"/>
                <w:noProof/>
                <w:sz w:val="22"/>
              </w:rPr>
              <w:tab/>
            </w:r>
            <w:r w:rsidRPr="00973B49" w:rsidR="005E282D">
              <w:rPr>
                <w:rStyle w:val="Hyperlink"/>
                <w:noProof/>
              </w:rPr>
              <w:t>Hedging and Bid Cap Proposals</w:t>
            </w:r>
            <w:r w:rsidR="005E282D">
              <w:rPr>
                <w:noProof/>
                <w:webHidden/>
              </w:rPr>
              <w:tab/>
            </w:r>
            <w:r w:rsidR="005E282D">
              <w:rPr>
                <w:noProof/>
                <w:webHidden/>
              </w:rPr>
              <w:fldChar w:fldCharType="begin"/>
            </w:r>
            <w:r w:rsidR="005E282D">
              <w:rPr>
                <w:noProof/>
                <w:webHidden/>
              </w:rPr>
              <w:instrText xml:space="preserve"> PAGEREF _Toc74206119 \h </w:instrText>
            </w:r>
            <w:r w:rsidR="005E282D">
              <w:rPr>
                <w:noProof/>
                <w:webHidden/>
              </w:rPr>
            </w:r>
            <w:r w:rsidR="005E282D">
              <w:rPr>
                <w:noProof/>
                <w:webHidden/>
              </w:rPr>
              <w:fldChar w:fldCharType="separate"/>
            </w:r>
            <w:r w:rsidR="00561812">
              <w:rPr>
                <w:noProof/>
                <w:webHidden/>
              </w:rPr>
              <w:t>22</w:t>
            </w:r>
            <w:r w:rsidR="005E282D">
              <w:rPr>
                <w:noProof/>
                <w:webHidden/>
              </w:rPr>
              <w:fldChar w:fldCharType="end"/>
            </w:r>
          </w:hyperlink>
        </w:p>
        <w:p w:rsidR="005E282D" w:rsidRDefault="006145F2" w14:paraId="064A9E79" w14:textId="3B5C3353">
          <w:pPr>
            <w:pStyle w:val="TOC3"/>
            <w:tabs>
              <w:tab w:val="left" w:pos="1296"/>
              <w:tab w:val="right" w:leader="dot" w:pos="9350"/>
            </w:tabs>
            <w:rPr>
              <w:rFonts w:asciiTheme="minorHAnsi" w:hAnsiTheme="minorHAnsi" w:cstheme="minorBidi"/>
              <w:noProof/>
              <w:sz w:val="22"/>
            </w:rPr>
          </w:pPr>
          <w:hyperlink w:history="1" w:anchor="_Toc74206120">
            <w:r w:rsidRPr="00973B49" w:rsidR="005E282D">
              <w:rPr>
                <w:rStyle w:val="Hyperlink"/>
                <w:noProof/>
              </w:rPr>
              <w:t>4.5.1.</w:t>
            </w:r>
            <w:r w:rsidR="005E282D">
              <w:rPr>
                <w:rFonts w:asciiTheme="minorHAnsi" w:hAnsiTheme="minorHAnsi" w:cstheme="minorBidi"/>
                <w:noProof/>
                <w:sz w:val="22"/>
              </w:rPr>
              <w:tab/>
            </w:r>
            <w:r w:rsidRPr="00973B49" w:rsidR="005E282D">
              <w:rPr>
                <w:rStyle w:val="Hyperlink"/>
                <w:noProof/>
              </w:rPr>
              <w:t>PG&amp;E’s Hedging Proposals</w:t>
            </w:r>
            <w:r w:rsidR="005E282D">
              <w:rPr>
                <w:noProof/>
                <w:webHidden/>
              </w:rPr>
              <w:tab/>
            </w:r>
            <w:r w:rsidR="005E282D">
              <w:rPr>
                <w:noProof/>
                <w:webHidden/>
              </w:rPr>
              <w:fldChar w:fldCharType="begin"/>
            </w:r>
            <w:r w:rsidR="005E282D">
              <w:rPr>
                <w:noProof/>
                <w:webHidden/>
              </w:rPr>
              <w:instrText xml:space="preserve"> PAGEREF _Toc74206120 \h </w:instrText>
            </w:r>
            <w:r w:rsidR="005E282D">
              <w:rPr>
                <w:noProof/>
                <w:webHidden/>
              </w:rPr>
            </w:r>
            <w:r w:rsidR="005E282D">
              <w:rPr>
                <w:noProof/>
                <w:webHidden/>
              </w:rPr>
              <w:fldChar w:fldCharType="separate"/>
            </w:r>
            <w:r w:rsidR="00561812">
              <w:rPr>
                <w:noProof/>
                <w:webHidden/>
              </w:rPr>
              <w:t>22</w:t>
            </w:r>
            <w:r w:rsidR="005E282D">
              <w:rPr>
                <w:noProof/>
                <w:webHidden/>
              </w:rPr>
              <w:fldChar w:fldCharType="end"/>
            </w:r>
          </w:hyperlink>
        </w:p>
        <w:p w:rsidR="005E282D" w:rsidRDefault="006145F2" w14:paraId="77AE4698" w14:textId="6C83061E">
          <w:pPr>
            <w:pStyle w:val="TOC3"/>
            <w:tabs>
              <w:tab w:val="left" w:pos="1296"/>
              <w:tab w:val="right" w:leader="dot" w:pos="9350"/>
            </w:tabs>
            <w:rPr>
              <w:rFonts w:asciiTheme="minorHAnsi" w:hAnsiTheme="minorHAnsi" w:cstheme="minorBidi"/>
              <w:noProof/>
              <w:sz w:val="22"/>
            </w:rPr>
          </w:pPr>
          <w:hyperlink w:history="1" w:anchor="_Toc74206121">
            <w:r w:rsidRPr="00973B49" w:rsidR="005E282D">
              <w:rPr>
                <w:rStyle w:val="Hyperlink"/>
                <w:noProof/>
              </w:rPr>
              <w:t>4.5.2.</w:t>
            </w:r>
            <w:r w:rsidR="005E282D">
              <w:rPr>
                <w:rFonts w:asciiTheme="minorHAnsi" w:hAnsiTheme="minorHAnsi" w:cstheme="minorBidi"/>
                <w:noProof/>
                <w:sz w:val="22"/>
              </w:rPr>
              <w:tab/>
            </w:r>
            <w:r w:rsidRPr="00973B49" w:rsidR="005E282D">
              <w:rPr>
                <w:rStyle w:val="Hyperlink"/>
                <w:noProof/>
              </w:rPr>
              <w:t>Energy Division’s Bid Cap Proposal</w:t>
            </w:r>
            <w:r w:rsidR="005E282D">
              <w:rPr>
                <w:noProof/>
                <w:webHidden/>
              </w:rPr>
              <w:tab/>
            </w:r>
            <w:r w:rsidR="005E282D">
              <w:rPr>
                <w:noProof/>
                <w:webHidden/>
              </w:rPr>
              <w:fldChar w:fldCharType="begin"/>
            </w:r>
            <w:r w:rsidR="005E282D">
              <w:rPr>
                <w:noProof/>
                <w:webHidden/>
              </w:rPr>
              <w:instrText xml:space="preserve"> PAGEREF _Toc74206121 \h </w:instrText>
            </w:r>
            <w:r w:rsidR="005E282D">
              <w:rPr>
                <w:noProof/>
                <w:webHidden/>
              </w:rPr>
            </w:r>
            <w:r w:rsidR="005E282D">
              <w:rPr>
                <w:noProof/>
                <w:webHidden/>
              </w:rPr>
              <w:fldChar w:fldCharType="separate"/>
            </w:r>
            <w:r w:rsidR="00561812">
              <w:rPr>
                <w:noProof/>
                <w:webHidden/>
              </w:rPr>
              <w:t>24</w:t>
            </w:r>
            <w:r w:rsidR="005E282D">
              <w:rPr>
                <w:noProof/>
                <w:webHidden/>
              </w:rPr>
              <w:fldChar w:fldCharType="end"/>
            </w:r>
          </w:hyperlink>
        </w:p>
        <w:p w:rsidR="005E282D" w:rsidRDefault="006145F2" w14:paraId="73D72FB9" w14:textId="701DE100">
          <w:pPr>
            <w:pStyle w:val="TOC1"/>
            <w:tabs>
              <w:tab w:val="right" w:leader="dot" w:pos="9350"/>
            </w:tabs>
            <w:rPr>
              <w:rFonts w:asciiTheme="minorHAnsi" w:hAnsiTheme="minorHAnsi" w:cstheme="minorBidi"/>
              <w:noProof/>
              <w:sz w:val="22"/>
            </w:rPr>
          </w:pPr>
          <w:hyperlink w:history="1" w:anchor="_Toc74206122">
            <w:r w:rsidRPr="00973B49" w:rsidR="005E282D">
              <w:rPr>
                <w:rStyle w:val="Hyperlink"/>
                <w:noProof/>
              </w:rPr>
              <w:t>5.</w:t>
            </w:r>
            <w:r w:rsidR="005E282D">
              <w:rPr>
                <w:rFonts w:asciiTheme="minorHAnsi" w:hAnsiTheme="minorHAnsi" w:cstheme="minorBidi"/>
                <w:noProof/>
                <w:sz w:val="22"/>
              </w:rPr>
              <w:tab/>
            </w:r>
            <w:r w:rsidRPr="00973B49" w:rsidR="005E282D">
              <w:rPr>
                <w:rStyle w:val="Hyperlink"/>
                <w:noProof/>
              </w:rPr>
              <w:t>Discussion</w:t>
            </w:r>
            <w:r w:rsidR="005E282D">
              <w:rPr>
                <w:noProof/>
                <w:webHidden/>
              </w:rPr>
              <w:tab/>
            </w:r>
            <w:r w:rsidR="005E282D">
              <w:rPr>
                <w:noProof/>
                <w:webHidden/>
              </w:rPr>
              <w:fldChar w:fldCharType="begin"/>
            </w:r>
            <w:r w:rsidR="005E282D">
              <w:rPr>
                <w:noProof/>
                <w:webHidden/>
              </w:rPr>
              <w:instrText xml:space="preserve"> PAGEREF _Toc74206122 \h </w:instrText>
            </w:r>
            <w:r w:rsidR="005E282D">
              <w:rPr>
                <w:noProof/>
                <w:webHidden/>
              </w:rPr>
            </w:r>
            <w:r w:rsidR="005E282D">
              <w:rPr>
                <w:noProof/>
                <w:webHidden/>
              </w:rPr>
              <w:fldChar w:fldCharType="separate"/>
            </w:r>
            <w:r w:rsidR="00561812">
              <w:rPr>
                <w:noProof/>
                <w:webHidden/>
              </w:rPr>
              <w:t>25</w:t>
            </w:r>
            <w:r w:rsidR="005E282D">
              <w:rPr>
                <w:noProof/>
                <w:webHidden/>
              </w:rPr>
              <w:fldChar w:fldCharType="end"/>
            </w:r>
          </w:hyperlink>
        </w:p>
        <w:p w:rsidR="005E282D" w:rsidRDefault="006145F2" w14:paraId="214ECBD0" w14:textId="548195C7">
          <w:pPr>
            <w:pStyle w:val="TOC2"/>
            <w:tabs>
              <w:tab w:val="right" w:leader="dot" w:pos="9350"/>
            </w:tabs>
            <w:rPr>
              <w:rFonts w:asciiTheme="minorHAnsi" w:hAnsiTheme="minorHAnsi" w:cstheme="minorBidi"/>
              <w:noProof/>
              <w:sz w:val="22"/>
            </w:rPr>
          </w:pPr>
          <w:hyperlink w:history="1" w:anchor="_Toc74206123">
            <w:r w:rsidRPr="00973B49" w:rsidR="005E282D">
              <w:rPr>
                <w:rStyle w:val="Hyperlink"/>
                <w:noProof/>
              </w:rPr>
              <w:t>5.1.</w:t>
            </w:r>
            <w:r w:rsidR="005E282D">
              <w:rPr>
                <w:rFonts w:asciiTheme="minorHAnsi" w:hAnsiTheme="minorHAnsi" w:cstheme="minorBidi"/>
                <w:noProof/>
                <w:sz w:val="22"/>
              </w:rPr>
              <w:tab/>
            </w:r>
            <w:r w:rsidRPr="00973B49" w:rsidR="005E282D">
              <w:rPr>
                <w:rStyle w:val="Hyperlink"/>
                <w:noProof/>
              </w:rPr>
              <w:t>Principle 1: Balance a Reliable Electrical Grid with Minimizing Costs to Customers</w:t>
            </w:r>
            <w:r w:rsidR="005E282D">
              <w:rPr>
                <w:noProof/>
                <w:webHidden/>
              </w:rPr>
              <w:tab/>
            </w:r>
            <w:r w:rsidR="005E282D">
              <w:rPr>
                <w:noProof/>
                <w:webHidden/>
              </w:rPr>
              <w:fldChar w:fldCharType="begin"/>
            </w:r>
            <w:r w:rsidR="005E282D">
              <w:rPr>
                <w:noProof/>
                <w:webHidden/>
              </w:rPr>
              <w:instrText xml:space="preserve"> PAGEREF _Toc74206123 \h </w:instrText>
            </w:r>
            <w:r w:rsidR="005E282D">
              <w:rPr>
                <w:noProof/>
                <w:webHidden/>
              </w:rPr>
            </w:r>
            <w:r w:rsidR="005E282D">
              <w:rPr>
                <w:noProof/>
                <w:webHidden/>
              </w:rPr>
              <w:fldChar w:fldCharType="separate"/>
            </w:r>
            <w:r w:rsidR="00561812">
              <w:rPr>
                <w:noProof/>
                <w:webHidden/>
              </w:rPr>
              <w:t>29</w:t>
            </w:r>
            <w:r w:rsidR="005E282D">
              <w:rPr>
                <w:noProof/>
                <w:webHidden/>
              </w:rPr>
              <w:fldChar w:fldCharType="end"/>
            </w:r>
          </w:hyperlink>
        </w:p>
        <w:p w:rsidR="005E282D" w:rsidRDefault="006145F2" w14:paraId="66EDAAED" w14:textId="2382E5B4">
          <w:pPr>
            <w:pStyle w:val="TOC2"/>
            <w:tabs>
              <w:tab w:val="right" w:leader="dot" w:pos="9350"/>
            </w:tabs>
            <w:rPr>
              <w:rFonts w:asciiTheme="minorHAnsi" w:hAnsiTheme="minorHAnsi" w:cstheme="minorBidi"/>
              <w:noProof/>
              <w:sz w:val="22"/>
            </w:rPr>
          </w:pPr>
          <w:hyperlink w:history="1" w:anchor="_Toc74206124">
            <w:r w:rsidRPr="00973B49" w:rsidR="005E282D">
              <w:rPr>
                <w:rStyle w:val="Hyperlink"/>
                <w:rFonts w:eastAsia="Times New Roman"/>
                <w:bCs/>
                <w:noProof/>
              </w:rPr>
              <w:t>5.2.</w:t>
            </w:r>
            <w:r w:rsidR="005E282D">
              <w:rPr>
                <w:rFonts w:asciiTheme="minorHAnsi" w:hAnsiTheme="minorHAnsi" w:cstheme="minorBidi"/>
                <w:noProof/>
                <w:sz w:val="22"/>
              </w:rPr>
              <w:tab/>
            </w:r>
            <w:r w:rsidRPr="00973B49" w:rsidR="005E282D">
              <w:rPr>
                <w:rStyle w:val="Hyperlink"/>
                <w:noProof/>
              </w:rPr>
              <w:t xml:space="preserve">Principle 2:  Balance </w:t>
            </w:r>
            <w:r w:rsidRPr="00973B49" w:rsidR="005E282D">
              <w:rPr>
                <w:rStyle w:val="Hyperlink"/>
                <w:rFonts w:eastAsia="Times New Roman"/>
                <w:bCs/>
                <w:noProof/>
              </w:rPr>
              <w:t>Addressing Hourly Energy Sufficiency with Advancing Environmental Goals</w:t>
            </w:r>
            <w:r w:rsidR="005E282D">
              <w:rPr>
                <w:noProof/>
                <w:webHidden/>
              </w:rPr>
              <w:tab/>
            </w:r>
            <w:r w:rsidR="005E282D">
              <w:rPr>
                <w:noProof/>
                <w:webHidden/>
              </w:rPr>
              <w:fldChar w:fldCharType="begin"/>
            </w:r>
            <w:r w:rsidR="005E282D">
              <w:rPr>
                <w:noProof/>
                <w:webHidden/>
              </w:rPr>
              <w:instrText xml:space="preserve"> PAGEREF _Toc74206124 \h </w:instrText>
            </w:r>
            <w:r w:rsidR="005E282D">
              <w:rPr>
                <w:noProof/>
                <w:webHidden/>
              </w:rPr>
            </w:r>
            <w:r w:rsidR="005E282D">
              <w:rPr>
                <w:noProof/>
                <w:webHidden/>
              </w:rPr>
              <w:fldChar w:fldCharType="separate"/>
            </w:r>
            <w:r w:rsidR="00561812">
              <w:rPr>
                <w:noProof/>
                <w:webHidden/>
              </w:rPr>
              <w:t>30</w:t>
            </w:r>
            <w:r w:rsidR="005E282D">
              <w:rPr>
                <w:noProof/>
                <w:webHidden/>
              </w:rPr>
              <w:fldChar w:fldCharType="end"/>
            </w:r>
          </w:hyperlink>
        </w:p>
        <w:p w:rsidR="005E282D" w:rsidRDefault="006145F2" w14:paraId="46C3210F" w14:textId="3D3850D6">
          <w:pPr>
            <w:pStyle w:val="TOC2"/>
            <w:tabs>
              <w:tab w:val="right" w:leader="dot" w:pos="9350"/>
            </w:tabs>
            <w:rPr>
              <w:rFonts w:asciiTheme="minorHAnsi" w:hAnsiTheme="minorHAnsi" w:cstheme="minorBidi"/>
              <w:noProof/>
              <w:sz w:val="22"/>
            </w:rPr>
          </w:pPr>
          <w:hyperlink w:history="1" w:anchor="_Toc74206125">
            <w:r w:rsidRPr="00973B49" w:rsidR="005E282D">
              <w:rPr>
                <w:rStyle w:val="Hyperlink"/>
                <w:noProof/>
              </w:rPr>
              <w:t>5.3.</w:t>
            </w:r>
            <w:r w:rsidR="005E282D">
              <w:rPr>
                <w:rFonts w:asciiTheme="minorHAnsi" w:hAnsiTheme="minorHAnsi" w:cstheme="minorBidi"/>
                <w:noProof/>
                <w:sz w:val="22"/>
              </w:rPr>
              <w:tab/>
            </w:r>
            <w:r w:rsidRPr="00973B49" w:rsidR="005E282D">
              <w:rPr>
                <w:rStyle w:val="Hyperlink"/>
                <w:noProof/>
              </w:rPr>
              <w:t xml:space="preserve">Principle 3:  </w:t>
            </w:r>
            <w:r w:rsidRPr="00973B49" w:rsidR="005E282D">
              <w:rPr>
                <w:rStyle w:val="Hyperlink"/>
                <w:rFonts w:eastAsia="Times New Roman"/>
                <w:bCs/>
                <w:noProof/>
              </w:rPr>
              <w:t>Balance Granularity in Meeting Hourly Needs with Simplicity and Transactability</w:t>
            </w:r>
            <w:r w:rsidR="005E282D">
              <w:rPr>
                <w:noProof/>
                <w:webHidden/>
              </w:rPr>
              <w:tab/>
            </w:r>
            <w:r w:rsidR="005E282D">
              <w:rPr>
                <w:noProof/>
                <w:webHidden/>
              </w:rPr>
              <w:fldChar w:fldCharType="begin"/>
            </w:r>
            <w:r w:rsidR="005E282D">
              <w:rPr>
                <w:noProof/>
                <w:webHidden/>
              </w:rPr>
              <w:instrText xml:space="preserve"> PAGEREF _Toc74206125 \h </w:instrText>
            </w:r>
            <w:r w:rsidR="005E282D">
              <w:rPr>
                <w:noProof/>
                <w:webHidden/>
              </w:rPr>
            </w:r>
            <w:r w:rsidR="005E282D">
              <w:rPr>
                <w:noProof/>
                <w:webHidden/>
              </w:rPr>
              <w:fldChar w:fldCharType="separate"/>
            </w:r>
            <w:r w:rsidR="00561812">
              <w:rPr>
                <w:noProof/>
                <w:webHidden/>
              </w:rPr>
              <w:t>32</w:t>
            </w:r>
            <w:r w:rsidR="005E282D">
              <w:rPr>
                <w:noProof/>
                <w:webHidden/>
              </w:rPr>
              <w:fldChar w:fldCharType="end"/>
            </w:r>
          </w:hyperlink>
        </w:p>
        <w:p w:rsidR="005E282D" w:rsidRDefault="006145F2" w14:paraId="46D829EB" w14:textId="7963D762">
          <w:pPr>
            <w:pStyle w:val="TOC2"/>
            <w:tabs>
              <w:tab w:val="right" w:leader="dot" w:pos="9350"/>
            </w:tabs>
            <w:rPr>
              <w:rFonts w:asciiTheme="minorHAnsi" w:hAnsiTheme="minorHAnsi" w:cstheme="minorBidi"/>
              <w:noProof/>
              <w:sz w:val="22"/>
            </w:rPr>
          </w:pPr>
          <w:hyperlink w:history="1" w:anchor="_Toc74206126">
            <w:r w:rsidRPr="00973B49" w:rsidR="005E282D">
              <w:rPr>
                <w:rStyle w:val="Hyperlink"/>
                <w:noProof/>
              </w:rPr>
              <w:t>5.4.</w:t>
            </w:r>
            <w:r w:rsidR="005E282D">
              <w:rPr>
                <w:rFonts w:asciiTheme="minorHAnsi" w:hAnsiTheme="minorHAnsi" w:cstheme="minorBidi"/>
                <w:noProof/>
                <w:sz w:val="22"/>
              </w:rPr>
              <w:tab/>
            </w:r>
            <w:r w:rsidRPr="00973B49" w:rsidR="005E282D">
              <w:rPr>
                <w:rStyle w:val="Hyperlink"/>
                <w:noProof/>
              </w:rPr>
              <w:t>Principle 4: Implementable in the Near-Term</w:t>
            </w:r>
            <w:r w:rsidR="005E282D">
              <w:rPr>
                <w:noProof/>
                <w:webHidden/>
              </w:rPr>
              <w:tab/>
            </w:r>
            <w:r w:rsidR="005E282D">
              <w:rPr>
                <w:noProof/>
                <w:webHidden/>
              </w:rPr>
              <w:fldChar w:fldCharType="begin"/>
            </w:r>
            <w:r w:rsidR="005E282D">
              <w:rPr>
                <w:noProof/>
                <w:webHidden/>
              </w:rPr>
              <w:instrText xml:space="preserve"> PAGEREF _Toc74206126 \h </w:instrText>
            </w:r>
            <w:r w:rsidR="005E282D">
              <w:rPr>
                <w:noProof/>
                <w:webHidden/>
              </w:rPr>
            </w:r>
            <w:r w:rsidR="005E282D">
              <w:rPr>
                <w:noProof/>
                <w:webHidden/>
              </w:rPr>
              <w:fldChar w:fldCharType="separate"/>
            </w:r>
            <w:r w:rsidR="00561812">
              <w:rPr>
                <w:noProof/>
                <w:webHidden/>
              </w:rPr>
              <w:t>34</w:t>
            </w:r>
            <w:r w:rsidR="005E282D">
              <w:rPr>
                <w:noProof/>
                <w:webHidden/>
              </w:rPr>
              <w:fldChar w:fldCharType="end"/>
            </w:r>
          </w:hyperlink>
        </w:p>
        <w:p w:rsidR="005E282D" w:rsidRDefault="006145F2" w14:paraId="6DCD04AB" w14:textId="7F1C4987">
          <w:pPr>
            <w:pStyle w:val="TOC2"/>
            <w:tabs>
              <w:tab w:val="right" w:leader="dot" w:pos="9350"/>
            </w:tabs>
            <w:rPr>
              <w:rFonts w:asciiTheme="minorHAnsi" w:hAnsiTheme="minorHAnsi" w:cstheme="minorBidi"/>
              <w:noProof/>
              <w:sz w:val="22"/>
            </w:rPr>
          </w:pPr>
          <w:hyperlink w:history="1" w:anchor="_Toc74206127">
            <w:r w:rsidRPr="00973B49" w:rsidR="005E282D">
              <w:rPr>
                <w:rStyle w:val="Hyperlink"/>
                <w:noProof/>
              </w:rPr>
              <w:t>5.5.</w:t>
            </w:r>
            <w:r w:rsidR="005E282D">
              <w:rPr>
                <w:rFonts w:asciiTheme="minorHAnsi" w:hAnsiTheme="minorHAnsi" w:cstheme="minorBidi"/>
                <w:noProof/>
                <w:sz w:val="22"/>
              </w:rPr>
              <w:tab/>
            </w:r>
            <w:r w:rsidRPr="00973B49" w:rsidR="005E282D">
              <w:rPr>
                <w:rStyle w:val="Hyperlink"/>
                <w:noProof/>
              </w:rPr>
              <w:t>Discussion of Proposals</w:t>
            </w:r>
            <w:r w:rsidR="005E282D">
              <w:rPr>
                <w:noProof/>
                <w:webHidden/>
              </w:rPr>
              <w:tab/>
            </w:r>
            <w:r w:rsidR="005E282D">
              <w:rPr>
                <w:noProof/>
                <w:webHidden/>
              </w:rPr>
              <w:fldChar w:fldCharType="begin"/>
            </w:r>
            <w:r w:rsidR="005E282D">
              <w:rPr>
                <w:noProof/>
                <w:webHidden/>
              </w:rPr>
              <w:instrText xml:space="preserve"> PAGEREF _Toc74206127 \h </w:instrText>
            </w:r>
            <w:r w:rsidR="005E282D">
              <w:rPr>
                <w:noProof/>
                <w:webHidden/>
              </w:rPr>
            </w:r>
            <w:r w:rsidR="005E282D">
              <w:rPr>
                <w:noProof/>
                <w:webHidden/>
              </w:rPr>
              <w:fldChar w:fldCharType="separate"/>
            </w:r>
            <w:r w:rsidR="00561812">
              <w:rPr>
                <w:noProof/>
                <w:webHidden/>
              </w:rPr>
              <w:t>36</w:t>
            </w:r>
            <w:r w:rsidR="005E282D">
              <w:rPr>
                <w:noProof/>
                <w:webHidden/>
              </w:rPr>
              <w:fldChar w:fldCharType="end"/>
            </w:r>
          </w:hyperlink>
        </w:p>
        <w:p w:rsidR="005E282D" w:rsidRDefault="006145F2" w14:paraId="6D390E54" w14:textId="090279B6">
          <w:pPr>
            <w:pStyle w:val="TOC2"/>
            <w:tabs>
              <w:tab w:val="right" w:leader="dot" w:pos="9350"/>
            </w:tabs>
            <w:rPr>
              <w:rFonts w:asciiTheme="minorHAnsi" w:hAnsiTheme="minorHAnsi" w:cstheme="minorBidi"/>
              <w:noProof/>
              <w:sz w:val="22"/>
            </w:rPr>
          </w:pPr>
          <w:hyperlink w:history="1" w:anchor="_Toc74206128">
            <w:r w:rsidRPr="00973B49" w:rsidR="005E282D">
              <w:rPr>
                <w:rStyle w:val="Hyperlink"/>
                <w:noProof/>
              </w:rPr>
              <w:t>5.6.</w:t>
            </w:r>
            <w:r w:rsidR="005E282D">
              <w:rPr>
                <w:rFonts w:asciiTheme="minorHAnsi" w:hAnsiTheme="minorHAnsi" w:cstheme="minorBidi"/>
                <w:noProof/>
                <w:sz w:val="22"/>
              </w:rPr>
              <w:tab/>
            </w:r>
            <w:r w:rsidRPr="00973B49" w:rsidR="005E282D">
              <w:rPr>
                <w:rStyle w:val="Hyperlink"/>
                <w:noProof/>
              </w:rPr>
              <w:t>Process and Schedule for Further Development</w:t>
            </w:r>
            <w:r w:rsidR="005E282D">
              <w:rPr>
                <w:noProof/>
                <w:webHidden/>
              </w:rPr>
              <w:tab/>
            </w:r>
            <w:r w:rsidR="005E282D">
              <w:rPr>
                <w:noProof/>
                <w:webHidden/>
              </w:rPr>
              <w:fldChar w:fldCharType="begin"/>
            </w:r>
            <w:r w:rsidR="005E282D">
              <w:rPr>
                <w:noProof/>
                <w:webHidden/>
              </w:rPr>
              <w:instrText xml:space="preserve"> PAGEREF _Toc74206128 \h </w:instrText>
            </w:r>
            <w:r w:rsidR="005E282D">
              <w:rPr>
                <w:noProof/>
                <w:webHidden/>
              </w:rPr>
            </w:r>
            <w:r w:rsidR="005E282D">
              <w:rPr>
                <w:noProof/>
                <w:webHidden/>
              </w:rPr>
              <w:fldChar w:fldCharType="separate"/>
            </w:r>
            <w:r w:rsidR="00561812">
              <w:rPr>
                <w:noProof/>
                <w:webHidden/>
              </w:rPr>
              <w:t>39</w:t>
            </w:r>
            <w:r w:rsidR="005E282D">
              <w:rPr>
                <w:noProof/>
                <w:webHidden/>
              </w:rPr>
              <w:fldChar w:fldCharType="end"/>
            </w:r>
          </w:hyperlink>
        </w:p>
        <w:p w:rsidR="005E282D" w:rsidRDefault="006145F2" w14:paraId="40E7903F" w14:textId="0A5BCEEF">
          <w:pPr>
            <w:pStyle w:val="TOC1"/>
            <w:tabs>
              <w:tab w:val="right" w:leader="dot" w:pos="9350"/>
            </w:tabs>
            <w:rPr>
              <w:rFonts w:asciiTheme="minorHAnsi" w:hAnsiTheme="minorHAnsi" w:cstheme="minorBidi"/>
              <w:noProof/>
              <w:sz w:val="22"/>
            </w:rPr>
          </w:pPr>
          <w:hyperlink w:history="1" w:anchor="_Toc74206129">
            <w:r w:rsidRPr="00973B49" w:rsidR="005E282D">
              <w:rPr>
                <w:rStyle w:val="Hyperlink"/>
                <w:noProof/>
              </w:rPr>
              <w:t>6.</w:t>
            </w:r>
            <w:r w:rsidR="005E282D">
              <w:rPr>
                <w:rFonts w:asciiTheme="minorHAnsi" w:hAnsiTheme="minorHAnsi" w:cstheme="minorBidi"/>
                <w:noProof/>
                <w:sz w:val="22"/>
              </w:rPr>
              <w:tab/>
            </w:r>
            <w:r w:rsidRPr="00973B49" w:rsidR="005E282D">
              <w:rPr>
                <w:rStyle w:val="Hyperlink"/>
                <w:noProof/>
              </w:rPr>
              <w:t>Other Track 3B.2 Proposals</w:t>
            </w:r>
            <w:r w:rsidR="005E282D">
              <w:rPr>
                <w:noProof/>
                <w:webHidden/>
              </w:rPr>
              <w:tab/>
            </w:r>
            <w:r w:rsidR="005E282D">
              <w:rPr>
                <w:noProof/>
                <w:webHidden/>
              </w:rPr>
              <w:fldChar w:fldCharType="begin"/>
            </w:r>
            <w:r w:rsidR="005E282D">
              <w:rPr>
                <w:noProof/>
                <w:webHidden/>
              </w:rPr>
              <w:instrText xml:space="preserve"> PAGEREF _Toc74206129 \h </w:instrText>
            </w:r>
            <w:r w:rsidR="005E282D">
              <w:rPr>
                <w:noProof/>
                <w:webHidden/>
              </w:rPr>
            </w:r>
            <w:r w:rsidR="005E282D">
              <w:rPr>
                <w:noProof/>
                <w:webHidden/>
              </w:rPr>
              <w:fldChar w:fldCharType="separate"/>
            </w:r>
            <w:r w:rsidR="00561812">
              <w:rPr>
                <w:noProof/>
                <w:webHidden/>
              </w:rPr>
              <w:t>41</w:t>
            </w:r>
            <w:r w:rsidR="005E282D">
              <w:rPr>
                <w:noProof/>
                <w:webHidden/>
              </w:rPr>
              <w:fldChar w:fldCharType="end"/>
            </w:r>
          </w:hyperlink>
        </w:p>
        <w:p w:rsidR="005E282D" w:rsidRDefault="006145F2" w14:paraId="0E9591BD" w14:textId="7F1E5FEB">
          <w:pPr>
            <w:pStyle w:val="TOC2"/>
            <w:tabs>
              <w:tab w:val="right" w:leader="dot" w:pos="9350"/>
            </w:tabs>
            <w:rPr>
              <w:rFonts w:asciiTheme="minorHAnsi" w:hAnsiTheme="minorHAnsi" w:cstheme="minorBidi"/>
              <w:noProof/>
              <w:sz w:val="22"/>
            </w:rPr>
          </w:pPr>
          <w:hyperlink w:history="1" w:anchor="_Toc74206130">
            <w:r w:rsidRPr="00973B49" w:rsidR="005E282D">
              <w:rPr>
                <w:rStyle w:val="Hyperlink"/>
                <w:noProof/>
              </w:rPr>
              <w:t>6.1.</w:t>
            </w:r>
            <w:r w:rsidR="005E282D">
              <w:rPr>
                <w:rFonts w:asciiTheme="minorHAnsi" w:hAnsiTheme="minorHAnsi" w:cstheme="minorBidi"/>
                <w:noProof/>
                <w:sz w:val="22"/>
              </w:rPr>
              <w:tab/>
            </w:r>
            <w:r w:rsidRPr="00973B49" w:rsidR="005E282D">
              <w:rPr>
                <w:rStyle w:val="Hyperlink"/>
                <w:noProof/>
              </w:rPr>
              <w:t>Unforced Capacity Evaluation Proposal (UCAP)</w:t>
            </w:r>
            <w:r w:rsidR="005E282D">
              <w:rPr>
                <w:noProof/>
                <w:webHidden/>
              </w:rPr>
              <w:tab/>
            </w:r>
            <w:r w:rsidR="005E282D">
              <w:rPr>
                <w:noProof/>
                <w:webHidden/>
              </w:rPr>
              <w:fldChar w:fldCharType="begin"/>
            </w:r>
            <w:r w:rsidR="005E282D">
              <w:rPr>
                <w:noProof/>
                <w:webHidden/>
              </w:rPr>
              <w:instrText xml:space="preserve"> PAGEREF _Toc74206130 \h </w:instrText>
            </w:r>
            <w:r w:rsidR="005E282D">
              <w:rPr>
                <w:noProof/>
                <w:webHidden/>
              </w:rPr>
            </w:r>
            <w:r w:rsidR="005E282D">
              <w:rPr>
                <w:noProof/>
                <w:webHidden/>
              </w:rPr>
              <w:fldChar w:fldCharType="separate"/>
            </w:r>
            <w:r w:rsidR="00561812">
              <w:rPr>
                <w:noProof/>
                <w:webHidden/>
              </w:rPr>
              <w:t>41</w:t>
            </w:r>
            <w:r w:rsidR="005E282D">
              <w:rPr>
                <w:noProof/>
                <w:webHidden/>
              </w:rPr>
              <w:fldChar w:fldCharType="end"/>
            </w:r>
          </w:hyperlink>
        </w:p>
        <w:p w:rsidR="005E282D" w:rsidRDefault="006145F2" w14:paraId="1B04B2C4" w14:textId="0744BD40">
          <w:pPr>
            <w:pStyle w:val="TOC2"/>
            <w:tabs>
              <w:tab w:val="right" w:leader="dot" w:pos="9350"/>
            </w:tabs>
            <w:rPr>
              <w:rFonts w:asciiTheme="minorHAnsi" w:hAnsiTheme="minorHAnsi" w:cstheme="minorBidi"/>
              <w:noProof/>
              <w:sz w:val="22"/>
            </w:rPr>
          </w:pPr>
          <w:hyperlink w:history="1" w:anchor="_Toc74206131">
            <w:r w:rsidRPr="00973B49" w:rsidR="005E282D">
              <w:rPr>
                <w:rStyle w:val="Hyperlink"/>
                <w:noProof/>
              </w:rPr>
              <w:t>6.2.</w:t>
            </w:r>
            <w:r w:rsidR="005E282D">
              <w:rPr>
                <w:rFonts w:asciiTheme="minorHAnsi" w:hAnsiTheme="minorHAnsi" w:cstheme="minorBidi"/>
                <w:noProof/>
                <w:sz w:val="22"/>
              </w:rPr>
              <w:tab/>
            </w:r>
            <w:r w:rsidRPr="00973B49" w:rsidR="005E282D">
              <w:rPr>
                <w:rStyle w:val="Hyperlink"/>
                <w:noProof/>
              </w:rPr>
              <w:t>Multi-Year System and Flexible Requirements</w:t>
            </w:r>
            <w:r w:rsidR="005E282D">
              <w:rPr>
                <w:noProof/>
                <w:webHidden/>
              </w:rPr>
              <w:tab/>
            </w:r>
            <w:r w:rsidR="005E282D">
              <w:rPr>
                <w:noProof/>
                <w:webHidden/>
              </w:rPr>
              <w:fldChar w:fldCharType="begin"/>
            </w:r>
            <w:r w:rsidR="005E282D">
              <w:rPr>
                <w:noProof/>
                <w:webHidden/>
              </w:rPr>
              <w:instrText xml:space="preserve"> PAGEREF _Toc74206131 \h </w:instrText>
            </w:r>
            <w:r w:rsidR="005E282D">
              <w:rPr>
                <w:noProof/>
                <w:webHidden/>
              </w:rPr>
            </w:r>
            <w:r w:rsidR="005E282D">
              <w:rPr>
                <w:noProof/>
                <w:webHidden/>
              </w:rPr>
              <w:fldChar w:fldCharType="separate"/>
            </w:r>
            <w:r w:rsidR="00561812">
              <w:rPr>
                <w:noProof/>
                <w:webHidden/>
              </w:rPr>
              <w:t>43</w:t>
            </w:r>
            <w:r w:rsidR="005E282D">
              <w:rPr>
                <w:noProof/>
                <w:webHidden/>
              </w:rPr>
              <w:fldChar w:fldCharType="end"/>
            </w:r>
          </w:hyperlink>
        </w:p>
        <w:p w:rsidR="005E282D" w:rsidRDefault="006145F2" w14:paraId="1E4AB809" w14:textId="36C50F01">
          <w:pPr>
            <w:pStyle w:val="TOC1"/>
            <w:tabs>
              <w:tab w:val="right" w:leader="dot" w:pos="9350"/>
            </w:tabs>
            <w:rPr>
              <w:rFonts w:asciiTheme="minorHAnsi" w:hAnsiTheme="minorHAnsi" w:cstheme="minorBidi"/>
              <w:noProof/>
              <w:sz w:val="22"/>
            </w:rPr>
          </w:pPr>
          <w:hyperlink w:history="1" w:anchor="_Toc74206132">
            <w:r w:rsidRPr="00973B49" w:rsidR="005E282D">
              <w:rPr>
                <w:rStyle w:val="Hyperlink"/>
                <w:noProof/>
              </w:rPr>
              <w:t>7.</w:t>
            </w:r>
            <w:r w:rsidR="005E282D">
              <w:rPr>
                <w:rFonts w:asciiTheme="minorHAnsi" w:hAnsiTheme="minorHAnsi" w:cstheme="minorBidi"/>
                <w:noProof/>
                <w:sz w:val="22"/>
              </w:rPr>
              <w:tab/>
            </w:r>
            <w:r w:rsidRPr="00973B49" w:rsidR="005E282D">
              <w:rPr>
                <w:rStyle w:val="Hyperlink"/>
                <w:noProof/>
              </w:rPr>
              <w:t>Comments on Proposed Decision</w:t>
            </w:r>
            <w:r w:rsidR="005E282D">
              <w:rPr>
                <w:noProof/>
                <w:webHidden/>
              </w:rPr>
              <w:tab/>
            </w:r>
            <w:r w:rsidR="005E282D">
              <w:rPr>
                <w:noProof/>
                <w:webHidden/>
              </w:rPr>
              <w:fldChar w:fldCharType="begin"/>
            </w:r>
            <w:r w:rsidR="005E282D">
              <w:rPr>
                <w:noProof/>
                <w:webHidden/>
              </w:rPr>
              <w:instrText xml:space="preserve"> PAGEREF _Toc74206132 \h </w:instrText>
            </w:r>
            <w:r w:rsidR="005E282D">
              <w:rPr>
                <w:noProof/>
                <w:webHidden/>
              </w:rPr>
            </w:r>
            <w:r w:rsidR="005E282D">
              <w:rPr>
                <w:noProof/>
                <w:webHidden/>
              </w:rPr>
              <w:fldChar w:fldCharType="separate"/>
            </w:r>
            <w:r w:rsidR="00561812">
              <w:rPr>
                <w:noProof/>
                <w:webHidden/>
              </w:rPr>
              <w:t>45</w:t>
            </w:r>
            <w:r w:rsidR="005E282D">
              <w:rPr>
                <w:noProof/>
                <w:webHidden/>
              </w:rPr>
              <w:fldChar w:fldCharType="end"/>
            </w:r>
          </w:hyperlink>
        </w:p>
        <w:p w:rsidR="005E282D" w:rsidRDefault="006145F2" w14:paraId="3382F8E7" w14:textId="4B52A3F2">
          <w:pPr>
            <w:pStyle w:val="TOC1"/>
            <w:tabs>
              <w:tab w:val="right" w:leader="dot" w:pos="9350"/>
            </w:tabs>
            <w:rPr>
              <w:rFonts w:asciiTheme="minorHAnsi" w:hAnsiTheme="minorHAnsi" w:cstheme="minorBidi"/>
              <w:noProof/>
              <w:sz w:val="22"/>
            </w:rPr>
          </w:pPr>
          <w:hyperlink w:history="1" w:anchor="_Toc74206133">
            <w:r w:rsidRPr="00973B49" w:rsidR="005E282D">
              <w:rPr>
                <w:rStyle w:val="Hyperlink"/>
                <w:noProof/>
              </w:rPr>
              <w:t>8.</w:t>
            </w:r>
            <w:r w:rsidR="005E282D">
              <w:rPr>
                <w:rFonts w:asciiTheme="minorHAnsi" w:hAnsiTheme="minorHAnsi" w:cstheme="minorBidi"/>
                <w:noProof/>
                <w:sz w:val="22"/>
              </w:rPr>
              <w:tab/>
            </w:r>
            <w:r w:rsidRPr="00973B49" w:rsidR="005E282D">
              <w:rPr>
                <w:rStyle w:val="Hyperlink"/>
                <w:noProof/>
              </w:rPr>
              <w:t>Assignment of Proceeding</w:t>
            </w:r>
            <w:r w:rsidR="005E282D">
              <w:rPr>
                <w:noProof/>
                <w:webHidden/>
              </w:rPr>
              <w:tab/>
            </w:r>
            <w:r w:rsidR="005E282D">
              <w:rPr>
                <w:noProof/>
                <w:webHidden/>
              </w:rPr>
              <w:fldChar w:fldCharType="begin"/>
            </w:r>
            <w:r w:rsidR="005E282D">
              <w:rPr>
                <w:noProof/>
                <w:webHidden/>
              </w:rPr>
              <w:instrText xml:space="preserve"> PAGEREF _Toc74206133 \h </w:instrText>
            </w:r>
            <w:r w:rsidR="005E282D">
              <w:rPr>
                <w:noProof/>
                <w:webHidden/>
              </w:rPr>
            </w:r>
            <w:r w:rsidR="005E282D">
              <w:rPr>
                <w:noProof/>
                <w:webHidden/>
              </w:rPr>
              <w:fldChar w:fldCharType="separate"/>
            </w:r>
            <w:r w:rsidR="00561812">
              <w:rPr>
                <w:noProof/>
                <w:webHidden/>
              </w:rPr>
              <w:t>51</w:t>
            </w:r>
            <w:r w:rsidR="005E282D">
              <w:rPr>
                <w:noProof/>
                <w:webHidden/>
              </w:rPr>
              <w:fldChar w:fldCharType="end"/>
            </w:r>
          </w:hyperlink>
        </w:p>
        <w:p w:rsidR="005E282D" w:rsidRDefault="006145F2" w14:paraId="42938245" w14:textId="3C685235">
          <w:pPr>
            <w:pStyle w:val="TOC1"/>
            <w:tabs>
              <w:tab w:val="right" w:leader="dot" w:pos="9350"/>
            </w:tabs>
            <w:rPr>
              <w:rFonts w:asciiTheme="minorHAnsi" w:hAnsiTheme="minorHAnsi" w:cstheme="minorBidi"/>
              <w:noProof/>
              <w:sz w:val="22"/>
            </w:rPr>
          </w:pPr>
          <w:hyperlink w:history="1" w:anchor="_Toc74206134">
            <w:r w:rsidRPr="00973B49" w:rsidR="005E282D">
              <w:rPr>
                <w:rStyle w:val="Hyperlink"/>
                <w:noProof/>
              </w:rPr>
              <w:t>Findings of Fact</w:t>
            </w:r>
            <w:r w:rsidR="005E282D">
              <w:rPr>
                <w:noProof/>
                <w:webHidden/>
              </w:rPr>
              <w:tab/>
            </w:r>
            <w:r w:rsidR="005E282D">
              <w:rPr>
                <w:noProof/>
                <w:webHidden/>
              </w:rPr>
              <w:fldChar w:fldCharType="begin"/>
            </w:r>
            <w:r w:rsidR="005E282D">
              <w:rPr>
                <w:noProof/>
                <w:webHidden/>
              </w:rPr>
              <w:instrText xml:space="preserve"> PAGEREF _Toc74206134 \h </w:instrText>
            </w:r>
            <w:r w:rsidR="005E282D">
              <w:rPr>
                <w:noProof/>
                <w:webHidden/>
              </w:rPr>
            </w:r>
            <w:r w:rsidR="005E282D">
              <w:rPr>
                <w:noProof/>
                <w:webHidden/>
              </w:rPr>
              <w:fldChar w:fldCharType="separate"/>
            </w:r>
            <w:r w:rsidR="00561812">
              <w:rPr>
                <w:noProof/>
                <w:webHidden/>
              </w:rPr>
              <w:t>51</w:t>
            </w:r>
            <w:r w:rsidR="005E282D">
              <w:rPr>
                <w:noProof/>
                <w:webHidden/>
              </w:rPr>
              <w:fldChar w:fldCharType="end"/>
            </w:r>
          </w:hyperlink>
        </w:p>
        <w:p w:rsidR="005E282D" w:rsidRDefault="006145F2" w14:paraId="2FF96E6E" w14:textId="09268630">
          <w:pPr>
            <w:pStyle w:val="TOC1"/>
            <w:tabs>
              <w:tab w:val="right" w:leader="dot" w:pos="9350"/>
            </w:tabs>
            <w:rPr>
              <w:rFonts w:asciiTheme="minorHAnsi" w:hAnsiTheme="minorHAnsi" w:cstheme="minorBidi"/>
              <w:noProof/>
              <w:sz w:val="22"/>
            </w:rPr>
          </w:pPr>
          <w:hyperlink w:history="1" w:anchor="_Toc74206135">
            <w:r w:rsidRPr="00973B49" w:rsidR="005E282D">
              <w:rPr>
                <w:rStyle w:val="Hyperlink"/>
                <w:noProof/>
              </w:rPr>
              <w:t>Conclusions of Law</w:t>
            </w:r>
            <w:r w:rsidR="005E282D">
              <w:rPr>
                <w:noProof/>
                <w:webHidden/>
              </w:rPr>
              <w:tab/>
            </w:r>
            <w:r w:rsidR="005E282D">
              <w:rPr>
                <w:noProof/>
                <w:webHidden/>
              </w:rPr>
              <w:fldChar w:fldCharType="begin"/>
            </w:r>
            <w:r w:rsidR="005E282D">
              <w:rPr>
                <w:noProof/>
                <w:webHidden/>
              </w:rPr>
              <w:instrText xml:space="preserve"> PAGEREF _Toc74206135 \h </w:instrText>
            </w:r>
            <w:r w:rsidR="005E282D">
              <w:rPr>
                <w:noProof/>
                <w:webHidden/>
              </w:rPr>
            </w:r>
            <w:r w:rsidR="005E282D">
              <w:rPr>
                <w:noProof/>
                <w:webHidden/>
              </w:rPr>
              <w:fldChar w:fldCharType="separate"/>
            </w:r>
            <w:r w:rsidR="00561812">
              <w:rPr>
                <w:noProof/>
                <w:webHidden/>
              </w:rPr>
              <w:t>51</w:t>
            </w:r>
            <w:r w:rsidR="005E282D">
              <w:rPr>
                <w:noProof/>
                <w:webHidden/>
              </w:rPr>
              <w:fldChar w:fldCharType="end"/>
            </w:r>
          </w:hyperlink>
        </w:p>
        <w:p w:rsidR="005E282D" w:rsidRDefault="006145F2" w14:paraId="0F0E31E1" w14:textId="25F68521">
          <w:pPr>
            <w:pStyle w:val="TOC1"/>
            <w:tabs>
              <w:tab w:val="right" w:leader="dot" w:pos="9350"/>
            </w:tabs>
            <w:rPr>
              <w:rFonts w:asciiTheme="minorHAnsi" w:hAnsiTheme="minorHAnsi" w:cstheme="minorBidi"/>
              <w:noProof/>
              <w:sz w:val="22"/>
            </w:rPr>
          </w:pPr>
          <w:hyperlink w:history="1" w:anchor="_Toc74206136">
            <w:r w:rsidRPr="00973B49" w:rsidR="005E282D">
              <w:rPr>
                <w:rStyle w:val="Hyperlink"/>
                <w:noProof/>
              </w:rPr>
              <w:t>ORDER</w:t>
            </w:r>
            <w:r w:rsidR="005E282D">
              <w:rPr>
                <w:noProof/>
                <w:webHidden/>
              </w:rPr>
              <w:tab/>
            </w:r>
            <w:r w:rsidR="005E282D">
              <w:rPr>
                <w:noProof/>
                <w:webHidden/>
              </w:rPr>
              <w:fldChar w:fldCharType="begin"/>
            </w:r>
            <w:r w:rsidR="005E282D">
              <w:rPr>
                <w:noProof/>
                <w:webHidden/>
              </w:rPr>
              <w:instrText xml:space="preserve"> PAGEREF _Toc74206136 \h </w:instrText>
            </w:r>
            <w:r w:rsidR="005E282D">
              <w:rPr>
                <w:noProof/>
                <w:webHidden/>
              </w:rPr>
            </w:r>
            <w:r w:rsidR="005E282D">
              <w:rPr>
                <w:noProof/>
                <w:webHidden/>
              </w:rPr>
              <w:fldChar w:fldCharType="separate"/>
            </w:r>
            <w:r w:rsidR="00561812">
              <w:rPr>
                <w:noProof/>
                <w:webHidden/>
              </w:rPr>
              <w:t>51</w:t>
            </w:r>
            <w:r w:rsidR="005E282D">
              <w:rPr>
                <w:noProof/>
                <w:webHidden/>
              </w:rPr>
              <w:fldChar w:fldCharType="end"/>
            </w:r>
          </w:hyperlink>
        </w:p>
        <w:p w:rsidRPr="00CD0E1F" w:rsidR="00D44DB6" w:rsidP="00CD0E1F" w:rsidRDefault="008C7413" w14:paraId="1C81B066" w14:textId="2E9C35E5">
          <w:pPr>
            <w:pStyle w:val="TOC1"/>
            <w:tabs>
              <w:tab w:val="right" w:leader="dot" w:pos="9350"/>
            </w:tabs>
            <w:ind w:left="0" w:firstLine="0"/>
            <w:rPr>
              <w:sz w:val="20"/>
              <w:szCs w:val="20"/>
            </w:rPr>
          </w:pPr>
          <w:r>
            <w:rPr>
              <w:rFonts w:asciiTheme="minorHAnsi" w:hAnsiTheme="minorHAnsi"/>
              <w:sz w:val="22"/>
            </w:rPr>
            <w:fldChar w:fldCharType="end"/>
          </w:r>
        </w:p>
      </w:sdtContent>
    </w:sdt>
    <w:p w:rsidRPr="00D44DB6" w:rsidR="00D44DB6" w:rsidP="00D44DB6" w:rsidRDefault="00D44DB6" w14:paraId="36590854" w14:textId="07E6A049">
      <w:pPr>
        <w:spacing w:line="240" w:lineRule="auto"/>
        <w:ind w:firstLine="0"/>
        <w:rPr>
          <w:rFonts w:cs="Arial"/>
          <w:i/>
          <w:szCs w:val="26"/>
        </w:rPr>
        <w:sectPr w:rsidRPr="00D44DB6" w:rsidR="00D44DB6" w:rsidSect="00D44DB6">
          <w:headerReference w:type="default" r:id="rId10"/>
          <w:footerReference w:type="default" r:id="rId11"/>
          <w:pgSz w:w="12240" w:h="15840"/>
          <w:pgMar w:top="1728" w:right="1440" w:bottom="1440" w:left="1440" w:header="720" w:footer="720" w:gutter="0"/>
          <w:pgNumType w:fmt="lowerRoman" w:start="1"/>
          <w:cols w:space="720"/>
          <w:docGrid w:linePitch="360"/>
        </w:sectPr>
      </w:pPr>
    </w:p>
    <w:p w:rsidR="00EF5FC0" w:rsidP="00EF5FC0" w:rsidRDefault="00EF5FC0" w14:paraId="3A29A748" w14:textId="106D6405">
      <w:pPr>
        <w:pStyle w:val="Dummy"/>
        <w:jc w:val="center"/>
      </w:pPr>
      <w:bookmarkStart w:name="_Toc74206106" w:id="2"/>
      <w:bookmarkStart w:name="_Toc8123714" w:id="3"/>
      <w:r w:rsidRPr="00EF5FC0">
        <w:lastRenderedPageBreak/>
        <w:t>DECISION ON TRACK 3B.2 ISSUES: RESTRUCTURE OF THE RESOURCE ADEQUACY PROGRAM</w:t>
      </w:r>
      <w:bookmarkEnd w:id="2"/>
    </w:p>
    <w:p w:rsidR="005A148C" w:rsidP="005A148C" w:rsidRDefault="005A148C" w14:paraId="19CA2118" w14:textId="6C34A1A2">
      <w:pPr>
        <w:pStyle w:val="Dummy"/>
      </w:pPr>
      <w:bookmarkStart w:name="_Toc74206107" w:id="4"/>
      <w:r>
        <w:t>Summary</w:t>
      </w:r>
      <w:bookmarkEnd w:id="3"/>
      <w:bookmarkEnd w:id="4"/>
    </w:p>
    <w:p w:rsidRPr="005445A1" w:rsidR="002A4556" w:rsidP="002A4556" w:rsidRDefault="005445A1" w14:paraId="28B115D9" w14:textId="77F7003B">
      <w:r>
        <w:t xml:space="preserve">This decision addresses issues scoped as Track 3B.2 to </w:t>
      </w:r>
      <w:r w:rsidR="00D2784D">
        <w:t>restructure</w:t>
      </w:r>
      <w:r>
        <w:t xml:space="preserve"> the Resource Adequacy program</w:t>
      </w:r>
      <w:r w:rsidR="00B37B67">
        <w:t xml:space="preserve"> and sets forth a process and schedule for further development of Track 3B.2 proposals. </w:t>
      </w:r>
    </w:p>
    <w:p w:rsidRPr="00121089" w:rsidR="005A148C" w:rsidP="002A4556" w:rsidRDefault="002A4556" w14:paraId="5C70DAA5" w14:textId="0C592652">
      <w:pPr>
        <w:pStyle w:val="Heading1"/>
      </w:pPr>
      <w:bookmarkStart w:name="_Toc74206108" w:id="5"/>
      <w:r>
        <w:t>Procedural History</w:t>
      </w:r>
      <w:bookmarkEnd w:id="5"/>
    </w:p>
    <w:p w:rsidR="005445A1" w:rsidP="005445A1" w:rsidRDefault="005445A1" w14:paraId="09C39512" w14:textId="77777777">
      <w:pPr>
        <w:pStyle w:val="standard0"/>
        <w:rPr>
          <w:rFonts w:ascii="Book Antiqua" w:hAnsi="Book Antiqua"/>
        </w:rPr>
      </w:pPr>
      <w:bookmarkStart w:name="_Toc8123719" w:id="6"/>
      <w:r>
        <w:rPr>
          <w:rFonts w:ascii="Book Antiqua" w:hAnsi="Book Antiqua"/>
        </w:rPr>
        <w:t xml:space="preserve">In November 2019, the Commission issued the Order Instituting Rulemaking to oversee the Resource Adequacy (RA) program, consider changes and refinements to the program, and establish forward RA procurement obligations applicable to Commission-jurisdictional load-serving entities (LSEs) beginning with the 2021 compliance year.  </w:t>
      </w:r>
    </w:p>
    <w:p w:rsidR="005445A1" w:rsidP="005445A1" w:rsidRDefault="005445A1" w14:paraId="48D2EAB5" w14:textId="36BBA37F">
      <w:pPr>
        <w:pStyle w:val="standard0"/>
        <w:rPr>
          <w:rFonts w:ascii="Book Antiqua" w:hAnsi="Book Antiqua"/>
        </w:rPr>
      </w:pPr>
      <w:r>
        <w:rPr>
          <w:rFonts w:ascii="Book Antiqua" w:hAnsi="Book Antiqua"/>
        </w:rPr>
        <w:t>A Scoping Memo and Ruling (Scoping Memo) for this proceeding was issued on January 22, 2020.  In addition to identifying the issues in this proceeding, the Scoping Memo divided the issues into three tracks (Track</w:t>
      </w:r>
      <w:r w:rsidR="00D2784D">
        <w:rPr>
          <w:rFonts w:ascii="Book Antiqua" w:hAnsi="Book Antiqua"/>
        </w:rPr>
        <w:t>s</w:t>
      </w:r>
      <w:r>
        <w:rPr>
          <w:rFonts w:ascii="Book Antiqua" w:hAnsi="Book Antiqua"/>
        </w:rPr>
        <w:t xml:space="preserve"> 1, 2, and 3).  On July 7, 2020, an Amended Scoping Memo was issued that divided Track 3 into Tracks 3A and 3B.  </w:t>
      </w:r>
      <w:r>
        <w:t>To accommodate the numerous issues in Track</w:t>
      </w:r>
      <w:r w:rsidR="00EF5FC0">
        <w:t> </w:t>
      </w:r>
      <w:r>
        <w:t>3B, Track 3B was later split into Tracks 3B.1 and 3B.2 via a December</w:t>
      </w:r>
      <w:r w:rsidR="00EF5FC0">
        <w:t> </w:t>
      </w:r>
      <w:r>
        <w:t>11,</w:t>
      </w:r>
      <w:r w:rsidR="00EF5FC0">
        <w:t> </w:t>
      </w:r>
      <w:proofErr w:type="gramStart"/>
      <w:r>
        <w:t>2020</w:t>
      </w:r>
      <w:proofErr w:type="gramEnd"/>
      <w:r>
        <w:t xml:space="preserve"> Amended Scoping Memo.  The December 11, </w:t>
      </w:r>
      <w:proofErr w:type="gramStart"/>
      <w:r>
        <w:t>2020</w:t>
      </w:r>
      <w:proofErr w:type="gramEnd"/>
      <w:r>
        <w:t xml:space="preserve"> Amended Scoping Memo </w:t>
      </w:r>
      <w:r>
        <w:rPr>
          <w:rFonts w:ascii="Book Antiqua" w:hAnsi="Book Antiqua"/>
        </w:rPr>
        <w:t>thus reorganized the remaining issues into Track 3B.1, Track 3B.2, and Track 4.</w:t>
      </w:r>
    </w:p>
    <w:p w:rsidR="005445A1" w:rsidP="005445A1" w:rsidRDefault="005445A1" w14:paraId="130CC3C9" w14:textId="53FF3FF2">
      <w:pPr>
        <w:pStyle w:val="standard0"/>
        <w:rPr>
          <w:rFonts w:ascii="Book Antiqua" w:hAnsi="Book Antiqua"/>
        </w:rPr>
      </w:pPr>
      <w:r>
        <w:rPr>
          <w:rFonts w:ascii="Book Antiqua" w:hAnsi="Book Antiqua"/>
        </w:rPr>
        <w:t>Track 1 issues were addressed in Decision (D.) 20-06-028, issued by the Commission on June 25, 2020.  Track 2 issues were addressed in D.20-06-031, issued on June 30, 2020.  Issues scoped as Track 3A were addressed in D.20</w:t>
      </w:r>
      <w:r w:rsidR="007E1624">
        <w:rPr>
          <w:rFonts w:ascii="Book Antiqua" w:hAnsi="Book Antiqua"/>
        </w:rPr>
        <w:noBreakHyphen/>
      </w:r>
      <w:r>
        <w:rPr>
          <w:rFonts w:ascii="Book Antiqua" w:hAnsi="Book Antiqua"/>
        </w:rPr>
        <w:t>12</w:t>
      </w:r>
      <w:r w:rsidR="007E1624">
        <w:rPr>
          <w:rFonts w:ascii="Book Antiqua" w:hAnsi="Book Antiqua"/>
        </w:rPr>
        <w:noBreakHyphen/>
      </w:r>
      <w:r>
        <w:rPr>
          <w:rFonts w:ascii="Book Antiqua" w:hAnsi="Book Antiqua"/>
        </w:rPr>
        <w:t xml:space="preserve">006, issued on December 4, 2020.  Issues scoped as Track 3B.1 and Track 4 were addressed in </w:t>
      </w:r>
      <w:r w:rsidR="00F75D0A">
        <w:rPr>
          <w:rFonts w:ascii="Book Antiqua" w:hAnsi="Book Antiqua"/>
        </w:rPr>
        <w:t>a proposed decision</w:t>
      </w:r>
      <w:r>
        <w:rPr>
          <w:rFonts w:ascii="Book Antiqua" w:hAnsi="Book Antiqua"/>
        </w:rPr>
        <w:t xml:space="preserve"> </w:t>
      </w:r>
      <w:r w:rsidR="00DA74A6">
        <w:rPr>
          <w:rFonts w:ascii="Book Antiqua" w:hAnsi="Book Antiqua"/>
        </w:rPr>
        <w:t xml:space="preserve">that was </w:t>
      </w:r>
      <w:r>
        <w:rPr>
          <w:rFonts w:ascii="Book Antiqua" w:hAnsi="Book Antiqua"/>
        </w:rPr>
        <w:t xml:space="preserve">issued on </w:t>
      </w:r>
      <w:r w:rsidR="00D2784D">
        <w:rPr>
          <w:rFonts w:ascii="Book Antiqua" w:hAnsi="Book Antiqua"/>
        </w:rPr>
        <w:t>May 21, 2021</w:t>
      </w:r>
      <w:r>
        <w:rPr>
          <w:rFonts w:ascii="Book Antiqua" w:hAnsi="Book Antiqua"/>
        </w:rPr>
        <w:t>.</w:t>
      </w:r>
    </w:p>
    <w:p w:rsidR="005445A1" w:rsidP="005445A1" w:rsidRDefault="005445A1" w14:paraId="7AC84548" w14:textId="77777777">
      <w:pPr>
        <w:pStyle w:val="standard0"/>
        <w:rPr>
          <w:rFonts w:ascii="Book Antiqua" w:hAnsi="Book Antiqua"/>
        </w:rPr>
      </w:pPr>
      <w:r>
        <w:rPr>
          <w:rFonts w:ascii="Book Antiqua" w:hAnsi="Book Antiqua"/>
        </w:rPr>
        <w:lastRenderedPageBreak/>
        <w:t>On August 7, 2020, Track 3B proposals</w:t>
      </w:r>
      <w:r>
        <w:rPr>
          <w:rStyle w:val="FootnoteReference"/>
          <w:rFonts w:ascii="Book Antiqua" w:hAnsi="Book Antiqua"/>
        </w:rPr>
        <w:footnoteReference w:id="2"/>
      </w:r>
      <w:r>
        <w:rPr>
          <w:rFonts w:ascii="Book Antiqua" w:hAnsi="Book Antiqua"/>
        </w:rPr>
        <w:t xml:space="preserve"> and comments on the Amended Scoping Memo were filed by: </w:t>
      </w:r>
      <w:r w:rsidRPr="001A4FB5">
        <w:rPr>
          <w:rFonts w:ascii="Book Antiqua" w:hAnsi="Book Antiqua"/>
        </w:rPr>
        <w:t>Alliance for Retail Energy Markets (AReM);</w:t>
      </w:r>
      <w:r>
        <w:rPr>
          <w:rFonts w:ascii="Book Antiqua" w:hAnsi="Book Antiqua"/>
        </w:rPr>
        <w:t xml:space="preserve"> American Wind Energy Association of California (AWEA-CA); </w:t>
      </w:r>
      <w:r w:rsidRPr="001A4FB5">
        <w:rPr>
          <w:rFonts w:ascii="Book Antiqua" w:hAnsi="Book Antiqua"/>
        </w:rPr>
        <w:t>California Community Choice Association (</w:t>
      </w:r>
      <w:proofErr w:type="spellStart"/>
      <w:r w:rsidRPr="001A4FB5">
        <w:rPr>
          <w:rFonts w:ascii="Book Antiqua" w:hAnsi="Book Antiqua"/>
        </w:rPr>
        <w:t>CalCCA</w:t>
      </w:r>
      <w:proofErr w:type="spellEnd"/>
      <w:r w:rsidRPr="001A4FB5">
        <w:rPr>
          <w:rFonts w:ascii="Book Antiqua" w:hAnsi="Book Antiqua"/>
        </w:rPr>
        <w:t>)</w:t>
      </w:r>
      <w:r>
        <w:rPr>
          <w:rFonts w:ascii="Book Antiqua" w:hAnsi="Book Antiqua"/>
        </w:rPr>
        <w:t xml:space="preserve">; </w:t>
      </w:r>
      <w:r w:rsidRPr="001A4FB5">
        <w:rPr>
          <w:rFonts w:ascii="Book Antiqua" w:hAnsi="Book Antiqua"/>
        </w:rPr>
        <w:t xml:space="preserve">California Energy Storage Alliance (CESA); California Independent System Operator (CAISO); </w:t>
      </w:r>
      <w:r>
        <w:rPr>
          <w:rFonts w:ascii="Book Antiqua" w:hAnsi="Book Antiqua"/>
        </w:rPr>
        <w:t>Center for Energy Efficiency and Renewable Technologies (</w:t>
      </w:r>
      <w:r w:rsidRPr="002031AE">
        <w:rPr>
          <w:rFonts w:ascii="Book Antiqua" w:hAnsi="Book Antiqua"/>
        </w:rPr>
        <w:t>CEERT</w:t>
      </w:r>
      <w:r>
        <w:rPr>
          <w:rFonts w:ascii="Book Antiqua" w:hAnsi="Book Antiqua"/>
        </w:rPr>
        <w:t>)</w:t>
      </w:r>
      <w:r w:rsidRPr="002031AE">
        <w:rPr>
          <w:rFonts w:ascii="Book Antiqua" w:hAnsi="Book Antiqua"/>
        </w:rPr>
        <w:t>;</w:t>
      </w:r>
      <w:r>
        <w:rPr>
          <w:rFonts w:ascii="Book Antiqua" w:hAnsi="Book Antiqua"/>
        </w:rPr>
        <w:t xml:space="preserve"> </w:t>
      </w:r>
      <w:proofErr w:type="spellStart"/>
      <w:r w:rsidRPr="001A4FB5">
        <w:rPr>
          <w:rFonts w:ascii="Book Antiqua" w:hAnsi="Book Antiqua"/>
        </w:rPr>
        <w:t>CPower</w:t>
      </w:r>
      <w:proofErr w:type="spellEnd"/>
      <w:r w:rsidRPr="001A4FB5">
        <w:rPr>
          <w:rFonts w:ascii="Book Antiqua" w:hAnsi="Book Antiqua"/>
        </w:rPr>
        <w:t>, Enel X North America, Inc.</w:t>
      </w:r>
      <w:r>
        <w:rPr>
          <w:rFonts w:ascii="Book Antiqua" w:hAnsi="Book Antiqua"/>
        </w:rPr>
        <w:t xml:space="preserve"> (Enel X), </w:t>
      </w:r>
      <w:r w:rsidRPr="001A4FB5">
        <w:rPr>
          <w:rFonts w:ascii="Book Antiqua" w:hAnsi="Book Antiqua"/>
        </w:rPr>
        <w:t>and California Efficiency + Demand</w:t>
      </w:r>
      <w:r>
        <w:rPr>
          <w:rFonts w:ascii="Book Antiqua" w:hAnsi="Book Antiqua"/>
        </w:rPr>
        <w:t xml:space="preserve"> Management</w:t>
      </w:r>
      <w:r w:rsidRPr="001A4FB5">
        <w:rPr>
          <w:rFonts w:ascii="Book Antiqua" w:hAnsi="Book Antiqua"/>
        </w:rPr>
        <w:t xml:space="preserve"> Council</w:t>
      </w:r>
      <w:r>
        <w:rPr>
          <w:rFonts w:ascii="Book Antiqua" w:hAnsi="Book Antiqua"/>
        </w:rPr>
        <w:t xml:space="preserve"> (CEDMC)</w:t>
      </w:r>
      <w:r w:rsidRPr="001A4FB5">
        <w:rPr>
          <w:rFonts w:ascii="Book Antiqua" w:hAnsi="Book Antiqua"/>
        </w:rPr>
        <w:t>;</w:t>
      </w:r>
      <w:r>
        <w:rPr>
          <w:rFonts w:ascii="Book Antiqua" w:hAnsi="Book Antiqua"/>
        </w:rPr>
        <w:t xml:space="preserve"> Green Power Institute (GPI); Independent Energy Producers Association (IEP); </w:t>
      </w:r>
      <w:r w:rsidRPr="001A4FB5">
        <w:rPr>
          <w:rFonts w:ascii="Book Antiqua" w:hAnsi="Book Antiqua"/>
        </w:rPr>
        <w:t>Pacific Gas and Electric Company (PG&amp;E);</w:t>
      </w:r>
      <w:r>
        <w:rPr>
          <w:rFonts w:ascii="Book Antiqua" w:hAnsi="Book Antiqua"/>
        </w:rPr>
        <w:t xml:space="preserve"> Protect Our Communities Foundation (PCF); </w:t>
      </w:r>
      <w:proofErr w:type="spellStart"/>
      <w:r>
        <w:rPr>
          <w:rFonts w:ascii="Book Antiqua" w:hAnsi="Book Antiqua"/>
        </w:rPr>
        <w:t>Powerex</w:t>
      </w:r>
      <w:proofErr w:type="spellEnd"/>
      <w:r>
        <w:rPr>
          <w:rFonts w:ascii="Book Antiqua" w:hAnsi="Book Antiqua"/>
        </w:rPr>
        <w:t xml:space="preserve"> Corp. (</w:t>
      </w:r>
      <w:proofErr w:type="spellStart"/>
      <w:r>
        <w:rPr>
          <w:rFonts w:ascii="Book Antiqua" w:hAnsi="Book Antiqua"/>
        </w:rPr>
        <w:t>Powerex</w:t>
      </w:r>
      <w:proofErr w:type="spellEnd"/>
      <w:r>
        <w:rPr>
          <w:rFonts w:ascii="Book Antiqua" w:hAnsi="Book Antiqua"/>
        </w:rPr>
        <w:t xml:space="preserve">); </w:t>
      </w:r>
      <w:r w:rsidRPr="001A4FB5">
        <w:rPr>
          <w:rFonts w:ascii="Book Antiqua" w:hAnsi="Book Antiqua"/>
        </w:rPr>
        <w:t>San Diego Gas &amp; Electric Company (SDG&amp;E); Southern California Edison Company (SCE)</w:t>
      </w:r>
      <w:r>
        <w:rPr>
          <w:rFonts w:ascii="Book Antiqua" w:hAnsi="Book Antiqua"/>
        </w:rPr>
        <w:t xml:space="preserve"> and </w:t>
      </w:r>
      <w:proofErr w:type="spellStart"/>
      <w:r>
        <w:rPr>
          <w:rFonts w:ascii="Book Antiqua" w:hAnsi="Book Antiqua"/>
        </w:rPr>
        <w:t>CalCCA</w:t>
      </w:r>
      <w:proofErr w:type="spellEnd"/>
      <w:r>
        <w:rPr>
          <w:rFonts w:ascii="Book Antiqua" w:hAnsi="Book Antiqua"/>
        </w:rPr>
        <w:t xml:space="preserve"> (SCE/</w:t>
      </w:r>
      <w:proofErr w:type="spellStart"/>
      <w:r>
        <w:rPr>
          <w:rFonts w:ascii="Book Antiqua" w:hAnsi="Book Antiqua"/>
        </w:rPr>
        <w:t>CalCCA</w:t>
      </w:r>
      <w:proofErr w:type="spellEnd"/>
      <w:r>
        <w:rPr>
          <w:rFonts w:ascii="Book Antiqua" w:hAnsi="Book Antiqua"/>
        </w:rPr>
        <w:t>); Southwestern Power Group II, LLC (SWPG); and Western Power Trading Forum (WPTF)</w:t>
      </w:r>
      <w:r w:rsidRPr="001A4FB5">
        <w:rPr>
          <w:rFonts w:ascii="Book Antiqua" w:hAnsi="Book Antiqua"/>
        </w:rPr>
        <w:t xml:space="preserve">.  Energy Division’s </w:t>
      </w:r>
      <w:r>
        <w:rPr>
          <w:rFonts w:ascii="Book Antiqua" w:hAnsi="Book Antiqua"/>
        </w:rPr>
        <w:t xml:space="preserve">Track 3B </w:t>
      </w:r>
      <w:r w:rsidRPr="001A4FB5">
        <w:rPr>
          <w:rFonts w:ascii="Book Antiqua" w:hAnsi="Book Antiqua"/>
        </w:rPr>
        <w:t xml:space="preserve">proposal was filed and served </w:t>
      </w:r>
      <w:r>
        <w:rPr>
          <w:rFonts w:ascii="Book Antiqua" w:hAnsi="Book Antiqua"/>
        </w:rPr>
        <w:t xml:space="preserve">via an Administrative Law Judge’s (ALJ) ruling.  </w:t>
      </w:r>
    </w:p>
    <w:p w:rsidR="005445A1" w:rsidP="005445A1" w:rsidRDefault="00B94D63" w14:paraId="44677579" w14:textId="694DB327">
      <w:pPr>
        <w:pStyle w:val="standard0"/>
        <w:rPr>
          <w:rFonts w:ascii="Book Antiqua" w:hAnsi="Book Antiqua"/>
        </w:rPr>
      </w:pPr>
      <w:r>
        <w:rPr>
          <w:rFonts w:ascii="Book Antiqua" w:hAnsi="Book Antiqua"/>
        </w:rPr>
        <w:t>A workshop</w:t>
      </w:r>
      <w:r w:rsidR="00263615">
        <w:rPr>
          <w:rFonts w:ascii="Book Antiqua" w:hAnsi="Book Antiqua"/>
        </w:rPr>
        <w:t xml:space="preserve"> on Track 3B proposals </w:t>
      </w:r>
      <w:r>
        <w:rPr>
          <w:rFonts w:ascii="Book Antiqua" w:hAnsi="Book Antiqua"/>
        </w:rPr>
        <w:t>was</w:t>
      </w:r>
      <w:r w:rsidR="00263615">
        <w:rPr>
          <w:rFonts w:ascii="Book Antiqua" w:hAnsi="Book Antiqua"/>
        </w:rPr>
        <w:t xml:space="preserve"> held on November 18 and November 23, 2021.  </w:t>
      </w:r>
      <w:r w:rsidR="005445A1">
        <w:rPr>
          <w:rFonts w:ascii="Book Antiqua" w:hAnsi="Book Antiqua"/>
        </w:rPr>
        <w:t xml:space="preserve">Revised Track 3B.2 proposals and comments on the Amended Scoping Memo were filed on December 18, </w:t>
      </w:r>
      <w:proofErr w:type="gramStart"/>
      <w:r w:rsidR="005445A1">
        <w:rPr>
          <w:rFonts w:ascii="Book Antiqua" w:hAnsi="Book Antiqua"/>
        </w:rPr>
        <w:t>2020</w:t>
      </w:r>
      <w:proofErr w:type="gramEnd"/>
      <w:r w:rsidR="005445A1">
        <w:rPr>
          <w:rFonts w:ascii="Book Antiqua" w:hAnsi="Book Antiqua"/>
        </w:rPr>
        <w:t xml:space="preserve"> by: CAISO</w:t>
      </w:r>
      <w:r w:rsidR="00E05846">
        <w:rPr>
          <w:rFonts w:ascii="Book Antiqua" w:hAnsi="Book Antiqua"/>
        </w:rPr>
        <w:t>;</w:t>
      </w:r>
      <w:r w:rsidR="005445A1">
        <w:rPr>
          <w:rFonts w:ascii="Book Antiqua" w:hAnsi="Book Antiqua"/>
        </w:rPr>
        <w:t xml:space="preserve"> CEERT</w:t>
      </w:r>
      <w:r w:rsidR="00E05846">
        <w:rPr>
          <w:rFonts w:ascii="Book Antiqua" w:hAnsi="Book Antiqua"/>
        </w:rPr>
        <w:t>;</w:t>
      </w:r>
      <w:r w:rsidR="005445A1">
        <w:rPr>
          <w:rFonts w:ascii="Book Antiqua" w:hAnsi="Book Antiqua"/>
        </w:rPr>
        <w:t xml:space="preserve"> CESA</w:t>
      </w:r>
      <w:r w:rsidR="00E05846">
        <w:rPr>
          <w:rFonts w:ascii="Book Antiqua" w:hAnsi="Book Antiqua"/>
        </w:rPr>
        <w:t>;</w:t>
      </w:r>
      <w:r w:rsidR="005445A1">
        <w:rPr>
          <w:rFonts w:ascii="Book Antiqua" w:hAnsi="Book Antiqua"/>
        </w:rPr>
        <w:t xml:space="preserve"> PCF</w:t>
      </w:r>
      <w:r w:rsidR="00E05846">
        <w:rPr>
          <w:rFonts w:ascii="Book Antiqua" w:hAnsi="Book Antiqua"/>
        </w:rPr>
        <w:t>;</w:t>
      </w:r>
      <w:r w:rsidR="005445A1">
        <w:rPr>
          <w:rFonts w:ascii="Book Antiqua" w:hAnsi="Book Antiqua"/>
        </w:rPr>
        <w:t xml:space="preserve"> PG&amp;E</w:t>
      </w:r>
      <w:r w:rsidR="00E05846">
        <w:rPr>
          <w:rFonts w:ascii="Book Antiqua" w:hAnsi="Book Antiqua"/>
        </w:rPr>
        <w:t>;</w:t>
      </w:r>
      <w:r w:rsidR="005445A1">
        <w:rPr>
          <w:rFonts w:ascii="Book Antiqua" w:hAnsi="Book Antiqua"/>
        </w:rPr>
        <w:t xml:space="preserve"> </w:t>
      </w:r>
      <w:proofErr w:type="spellStart"/>
      <w:r w:rsidR="005445A1">
        <w:rPr>
          <w:rFonts w:ascii="Book Antiqua" w:hAnsi="Book Antiqua"/>
        </w:rPr>
        <w:t>Powerex</w:t>
      </w:r>
      <w:proofErr w:type="spellEnd"/>
      <w:r w:rsidR="00E05846">
        <w:rPr>
          <w:rFonts w:ascii="Book Antiqua" w:hAnsi="Book Antiqua"/>
        </w:rPr>
        <w:t>;</w:t>
      </w:r>
      <w:r w:rsidR="005445A1">
        <w:rPr>
          <w:rFonts w:ascii="Book Antiqua" w:hAnsi="Book Antiqua"/>
        </w:rPr>
        <w:t xml:space="preserve"> SCE/</w:t>
      </w:r>
      <w:proofErr w:type="spellStart"/>
      <w:r w:rsidR="005445A1">
        <w:rPr>
          <w:rFonts w:ascii="Book Antiqua" w:hAnsi="Book Antiqua"/>
        </w:rPr>
        <w:t>CalCCA</w:t>
      </w:r>
      <w:proofErr w:type="spellEnd"/>
      <w:r w:rsidR="00D2784D">
        <w:rPr>
          <w:rFonts w:ascii="Book Antiqua" w:hAnsi="Book Antiqua"/>
        </w:rPr>
        <w:t>,</w:t>
      </w:r>
      <w:r w:rsidR="005445A1">
        <w:rPr>
          <w:rFonts w:ascii="Book Antiqua" w:hAnsi="Book Antiqua"/>
        </w:rPr>
        <w:t xml:space="preserve"> jointl</w:t>
      </w:r>
      <w:r w:rsidR="00E05846">
        <w:rPr>
          <w:rFonts w:ascii="Book Antiqua" w:hAnsi="Book Antiqua"/>
        </w:rPr>
        <w:t>y;</w:t>
      </w:r>
      <w:r w:rsidR="005445A1">
        <w:rPr>
          <w:rFonts w:ascii="Book Antiqua" w:hAnsi="Book Antiqua"/>
        </w:rPr>
        <w:t xml:space="preserve"> </w:t>
      </w:r>
      <w:r w:rsidR="00E05846">
        <w:t>Solar Energy Industries Association, Large-Scale Solar Association, and Vote Solar (collectively, Solar Parties)</w:t>
      </w:r>
      <w:r w:rsidR="00E05846">
        <w:rPr>
          <w:rFonts w:ascii="Book Antiqua" w:hAnsi="Book Antiqua"/>
        </w:rPr>
        <w:t>;</w:t>
      </w:r>
      <w:r w:rsidR="005445A1">
        <w:rPr>
          <w:rFonts w:ascii="Book Antiqua" w:hAnsi="Book Antiqua"/>
        </w:rPr>
        <w:t xml:space="preserve"> and WPTF.  </w:t>
      </w:r>
      <w:r w:rsidRPr="001A4FB5" w:rsidR="005445A1">
        <w:rPr>
          <w:rFonts w:ascii="Book Antiqua" w:hAnsi="Book Antiqua"/>
        </w:rPr>
        <w:t xml:space="preserve">Energy Division’s </w:t>
      </w:r>
      <w:r w:rsidR="005445A1">
        <w:rPr>
          <w:rFonts w:ascii="Book Antiqua" w:hAnsi="Book Antiqua"/>
        </w:rPr>
        <w:t xml:space="preserve">revised Track 3B.2 </w:t>
      </w:r>
      <w:r w:rsidRPr="001A4FB5" w:rsidR="005445A1">
        <w:rPr>
          <w:rFonts w:ascii="Book Antiqua" w:hAnsi="Book Antiqua"/>
        </w:rPr>
        <w:t>proposal was filed and served by</w:t>
      </w:r>
      <w:r w:rsidR="005445A1">
        <w:rPr>
          <w:rFonts w:ascii="Book Antiqua" w:hAnsi="Book Antiqua"/>
        </w:rPr>
        <w:t xml:space="preserve"> an ALJ ruling.  </w:t>
      </w:r>
    </w:p>
    <w:p w:rsidR="005445A1" w:rsidP="00D2784D" w:rsidRDefault="005445A1" w14:paraId="71D15E31" w14:textId="700E7A15">
      <w:pPr>
        <w:pStyle w:val="standard0"/>
        <w:rPr>
          <w:rFonts w:ascii="Book Antiqua" w:hAnsi="Book Antiqua"/>
        </w:rPr>
      </w:pPr>
      <w:r>
        <w:rPr>
          <w:rFonts w:ascii="Book Antiqua" w:hAnsi="Book Antiqua"/>
        </w:rPr>
        <w:t>Workshops on Track 3B.2 proposals were held on January 8 and February</w:t>
      </w:r>
      <w:r w:rsidR="00E8642B">
        <w:rPr>
          <w:rFonts w:ascii="Book Antiqua" w:hAnsi="Book Antiqua"/>
        </w:rPr>
        <w:t> </w:t>
      </w:r>
      <w:r>
        <w:rPr>
          <w:rFonts w:ascii="Book Antiqua" w:hAnsi="Book Antiqua"/>
        </w:rPr>
        <w:t xml:space="preserve">8 - 10, 2021.  Comments on revised Track 3B.2 proposals were filed on </w:t>
      </w:r>
      <w:r>
        <w:rPr>
          <w:rFonts w:ascii="Book Antiqua" w:hAnsi="Book Antiqua"/>
        </w:rPr>
        <w:lastRenderedPageBreak/>
        <w:t xml:space="preserve">January 15, 2021 by: </w:t>
      </w:r>
      <w:r w:rsidR="00E05846">
        <w:t>American Clean Power – California (ACP)</w:t>
      </w:r>
      <w:r>
        <w:rPr>
          <w:rFonts w:ascii="Book Antiqua" w:hAnsi="Book Antiqua"/>
        </w:rPr>
        <w:t xml:space="preserve">, AReM, </w:t>
      </w:r>
      <w:r w:rsidR="00E05846">
        <w:t>Brookfield Renewable Trading and Marketing LP (BRTM)</w:t>
      </w:r>
      <w:r>
        <w:rPr>
          <w:rFonts w:ascii="Book Antiqua" w:hAnsi="Book Antiqua"/>
        </w:rPr>
        <w:t xml:space="preserve">, CAISO, </w:t>
      </w:r>
      <w:proofErr w:type="spellStart"/>
      <w:r w:rsidRPr="00F056FB">
        <w:rPr>
          <w:rFonts w:ascii="Book Antiqua" w:hAnsi="Book Antiqua"/>
        </w:rPr>
        <w:t>CalCCA</w:t>
      </w:r>
      <w:proofErr w:type="spellEnd"/>
      <w:r>
        <w:rPr>
          <w:rFonts w:ascii="Book Antiqua" w:hAnsi="Book Antiqua"/>
        </w:rPr>
        <w:t xml:space="preserve">, </w:t>
      </w:r>
      <w:r w:rsidR="00E05846">
        <w:t>Calpine Corp. (Calpine)</w:t>
      </w:r>
      <w:r>
        <w:rPr>
          <w:rFonts w:ascii="Book Antiqua" w:hAnsi="Book Antiqua"/>
        </w:rPr>
        <w:t xml:space="preserve">, </w:t>
      </w:r>
      <w:r w:rsidR="008428F1">
        <w:t>California Wind Energy Association (</w:t>
      </w:r>
      <w:proofErr w:type="spellStart"/>
      <w:r w:rsidR="008428F1">
        <w:t>CalWEA</w:t>
      </w:r>
      <w:proofErr w:type="spellEnd"/>
      <w:r w:rsidR="008428F1">
        <w:t>)</w:t>
      </w:r>
      <w:r>
        <w:rPr>
          <w:rFonts w:ascii="Book Antiqua" w:hAnsi="Book Antiqua"/>
        </w:rPr>
        <w:t xml:space="preserve">, </w:t>
      </w:r>
      <w:r w:rsidR="00E05846">
        <w:t>California Environmental Justice Alliance (CEJA) and Sierra Club</w:t>
      </w:r>
      <w:r w:rsidR="00D2784D">
        <w:t xml:space="preserve"> </w:t>
      </w:r>
      <w:r w:rsidR="00E05846">
        <w:t>(CEJA/Sierra Club)</w:t>
      </w:r>
      <w:r>
        <w:rPr>
          <w:rFonts w:ascii="Book Antiqua" w:hAnsi="Book Antiqua"/>
        </w:rPr>
        <w:t xml:space="preserve">, CESA, </w:t>
      </w:r>
      <w:r w:rsidRPr="002031AE" w:rsidR="00E05846">
        <w:t>California</w:t>
      </w:r>
      <w:r w:rsidR="00E05846">
        <w:t xml:space="preserve"> Large Energy Consumers Association (CLECA)</w:t>
      </w:r>
      <w:r>
        <w:rPr>
          <w:rFonts w:ascii="Book Antiqua" w:hAnsi="Book Antiqua"/>
        </w:rPr>
        <w:t xml:space="preserve">, </w:t>
      </w:r>
      <w:r w:rsidR="00E05846">
        <w:t>Department of Market Monitoring of CAISO (DMM)</w:t>
      </w:r>
      <w:r>
        <w:rPr>
          <w:rFonts w:ascii="Book Antiqua" w:hAnsi="Book Antiqua"/>
        </w:rPr>
        <w:t xml:space="preserve">, IEP, </w:t>
      </w:r>
      <w:r w:rsidR="008428F1">
        <w:t>LS Power Development LLC (LS Power)</w:t>
      </w:r>
      <w:r>
        <w:rPr>
          <w:rFonts w:ascii="Book Antiqua" w:hAnsi="Book Antiqua"/>
        </w:rPr>
        <w:t xml:space="preserve">, </w:t>
      </w:r>
      <w:r w:rsidR="008428F1">
        <w:t>Middle River Power, LLC (MRP)</w:t>
      </w:r>
      <w:r>
        <w:rPr>
          <w:rFonts w:ascii="Book Antiqua" w:hAnsi="Book Antiqua"/>
        </w:rPr>
        <w:t xml:space="preserve">, </w:t>
      </w:r>
      <w:r w:rsidRPr="005568C4" w:rsidR="008428F1">
        <w:t>Pattern</w:t>
      </w:r>
      <w:r w:rsidR="008428F1">
        <w:t xml:space="preserve"> Energy Group, LP (Pattern Energy)</w:t>
      </w:r>
      <w:r>
        <w:rPr>
          <w:rFonts w:ascii="Book Antiqua" w:hAnsi="Book Antiqua"/>
        </w:rPr>
        <w:t xml:space="preserve">, PCF, PG&amp;E, </w:t>
      </w:r>
      <w:r w:rsidR="00E05846">
        <w:t xml:space="preserve">Public Advocates Office (Cal Advocates), </w:t>
      </w:r>
      <w:r>
        <w:rPr>
          <w:rFonts w:ascii="Book Antiqua" w:hAnsi="Book Antiqua"/>
        </w:rPr>
        <w:t xml:space="preserve">SCE, SDG&amp;E, Shell Energy North America (US), LP (Shell Energy), and </w:t>
      </w:r>
      <w:r w:rsidR="00E05846">
        <w:t>the Utility Reform Network (TURN)</w:t>
      </w:r>
      <w:r>
        <w:rPr>
          <w:rFonts w:ascii="Book Antiqua" w:hAnsi="Book Antiqua"/>
        </w:rPr>
        <w:t>.</w:t>
      </w:r>
    </w:p>
    <w:p w:rsidR="005445A1" w:rsidP="00D2784D" w:rsidRDefault="005445A1" w14:paraId="04B7A73D" w14:textId="73EAC6AE">
      <w:pPr>
        <w:pStyle w:val="standard0"/>
        <w:rPr>
          <w:rFonts w:ascii="Book Antiqua" w:hAnsi="Book Antiqua"/>
        </w:rPr>
      </w:pPr>
      <w:r>
        <w:rPr>
          <w:rFonts w:ascii="Book Antiqua" w:hAnsi="Book Antiqua"/>
        </w:rPr>
        <w:t xml:space="preserve">Second revised Track 3B.2 proposals were filed on February 26, </w:t>
      </w:r>
      <w:proofErr w:type="gramStart"/>
      <w:r>
        <w:rPr>
          <w:rFonts w:ascii="Book Antiqua" w:hAnsi="Book Antiqua"/>
        </w:rPr>
        <w:t>2021</w:t>
      </w:r>
      <w:proofErr w:type="gramEnd"/>
      <w:r>
        <w:rPr>
          <w:rFonts w:ascii="Book Antiqua" w:hAnsi="Book Antiqua"/>
        </w:rPr>
        <w:t xml:space="preserve"> by: CAISO, PG&amp;E, SCE/</w:t>
      </w:r>
      <w:proofErr w:type="spellStart"/>
      <w:r>
        <w:rPr>
          <w:rFonts w:ascii="Book Antiqua" w:hAnsi="Book Antiqua"/>
        </w:rPr>
        <w:t>CalCCA</w:t>
      </w:r>
      <w:proofErr w:type="spellEnd"/>
      <w:r>
        <w:rPr>
          <w:rFonts w:ascii="Book Antiqua" w:hAnsi="Book Antiqua"/>
        </w:rPr>
        <w:t>, and SDG&amp;E.  Energy Division’s second revised Track 3B.2 proposal was filed and served by an ALJ ruling.</w:t>
      </w:r>
      <w:r w:rsidR="00D2784D">
        <w:rPr>
          <w:rFonts w:ascii="Book Antiqua" w:hAnsi="Book Antiqua"/>
        </w:rPr>
        <w:t xml:space="preserve">  </w:t>
      </w:r>
      <w:r>
        <w:rPr>
          <w:rFonts w:ascii="Book Antiqua" w:hAnsi="Book Antiqua"/>
        </w:rPr>
        <w:t xml:space="preserve">Comments on second revised Track 3B.2 proposals were filed on March 12, 2021 by: </w:t>
      </w:r>
      <w:r w:rsidR="00E05846">
        <w:t>ACP</w:t>
      </w:r>
      <w:r w:rsidR="008428F1">
        <w:rPr>
          <w:rFonts w:ascii="Book Antiqua" w:hAnsi="Book Antiqua"/>
        </w:rPr>
        <w:t>;</w:t>
      </w:r>
      <w:r>
        <w:rPr>
          <w:rFonts w:ascii="Book Antiqua" w:hAnsi="Book Antiqua"/>
        </w:rPr>
        <w:t xml:space="preserve"> AReM</w:t>
      </w:r>
      <w:r w:rsidR="008428F1">
        <w:rPr>
          <w:rFonts w:ascii="Book Antiqua" w:hAnsi="Book Antiqua"/>
        </w:rPr>
        <w:t>;</w:t>
      </w:r>
      <w:r>
        <w:rPr>
          <w:rFonts w:ascii="Book Antiqua" w:hAnsi="Book Antiqua"/>
        </w:rPr>
        <w:t xml:space="preserve"> </w:t>
      </w:r>
      <w:r w:rsidR="00E05846">
        <w:t>BRTM</w:t>
      </w:r>
      <w:r w:rsidR="008428F1">
        <w:rPr>
          <w:rFonts w:ascii="Book Antiqua" w:hAnsi="Book Antiqua"/>
        </w:rPr>
        <w:t>;</w:t>
      </w:r>
      <w:r>
        <w:rPr>
          <w:rFonts w:ascii="Book Antiqua" w:hAnsi="Book Antiqua"/>
        </w:rPr>
        <w:t xml:space="preserve"> CAISO</w:t>
      </w:r>
      <w:r w:rsidR="008428F1">
        <w:rPr>
          <w:rFonts w:ascii="Book Antiqua" w:hAnsi="Book Antiqua"/>
        </w:rPr>
        <w:t>;</w:t>
      </w:r>
      <w:r>
        <w:rPr>
          <w:rFonts w:ascii="Book Antiqua" w:hAnsi="Book Antiqua"/>
        </w:rPr>
        <w:t xml:space="preserve"> Cal Advocates</w:t>
      </w:r>
      <w:r w:rsidR="008428F1">
        <w:rPr>
          <w:rFonts w:ascii="Book Antiqua" w:hAnsi="Book Antiqua"/>
        </w:rPr>
        <w:t>;</w:t>
      </w:r>
      <w:r>
        <w:rPr>
          <w:rFonts w:ascii="Book Antiqua" w:hAnsi="Book Antiqua"/>
        </w:rPr>
        <w:t xml:space="preserve"> California Municipal Utility Association (CMUA)</w:t>
      </w:r>
      <w:r w:rsidR="008428F1">
        <w:rPr>
          <w:rFonts w:ascii="Book Antiqua" w:hAnsi="Book Antiqua"/>
        </w:rPr>
        <w:t>;</w:t>
      </w:r>
      <w:r>
        <w:rPr>
          <w:rFonts w:ascii="Book Antiqua" w:hAnsi="Book Antiqua"/>
        </w:rPr>
        <w:t xml:space="preserve"> Calpine</w:t>
      </w:r>
      <w:r w:rsidR="008428F1">
        <w:rPr>
          <w:rFonts w:ascii="Book Antiqua" w:hAnsi="Book Antiqua"/>
        </w:rPr>
        <w:t>;</w:t>
      </w:r>
      <w:r>
        <w:rPr>
          <w:rFonts w:ascii="Book Antiqua" w:hAnsi="Book Antiqua"/>
        </w:rPr>
        <w:t xml:space="preserve"> </w:t>
      </w:r>
      <w:proofErr w:type="spellStart"/>
      <w:r>
        <w:rPr>
          <w:rFonts w:ascii="Book Antiqua" w:hAnsi="Book Antiqua"/>
        </w:rPr>
        <w:t>CalWEA</w:t>
      </w:r>
      <w:proofErr w:type="spellEnd"/>
      <w:r w:rsidR="008428F1">
        <w:rPr>
          <w:rFonts w:ascii="Book Antiqua" w:hAnsi="Book Antiqua"/>
        </w:rPr>
        <w:t>;</w:t>
      </w:r>
      <w:r>
        <w:rPr>
          <w:rFonts w:ascii="Book Antiqua" w:hAnsi="Book Antiqua"/>
        </w:rPr>
        <w:t xml:space="preserve"> CEJA/Sierra Club</w:t>
      </w:r>
      <w:r w:rsidR="008428F1">
        <w:rPr>
          <w:rFonts w:ascii="Book Antiqua" w:hAnsi="Book Antiqua"/>
        </w:rPr>
        <w:t>;</w:t>
      </w:r>
      <w:r>
        <w:rPr>
          <w:rFonts w:ascii="Book Antiqua" w:hAnsi="Book Antiqua"/>
        </w:rPr>
        <w:t xml:space="preserve"> </w:t>
      </w:r>
      <w:r w:rsidRPr="00731815" w:rsidR="00CC0545">
        <w:rPr>
          <w:rFonts w:ascii="Book Antiqua" w:hAnsi="Book Antiqua"/>
        </w:rPr>
        <w:t>CEERT;</w:t>
      </w:r>
      <w:r w:rsidR="00CC0545">
        <w:rPr>
          <w:rFonts w:ascii="Book Antiqua" w:hAnsi="Book Antiqua"/>
        </w:rPr>
        <w:t xml:space="preserve"> </w:t>
      </w:r>
      <w:r>
        <w:rPr>
          <w:rFonts w:ascii="Book Antiqua" w:hAnsi="Book Antiqua"/>
        </w:rPr>
        <w:t>CESA</w:t>
      </w:r>
      <w:r w:rsidR="008428F1">
        <w:rPr>
          <w:rFonts w:ascii="Book Antiqua" w:hAnsi="Book Antiqua"/>
        </w:rPr>
        <w:t>;</w:t>
      </w:r>
      <w:r>
        <w:rPr>
          <w:rFonts w:ascii="Book Antiqua" w:hAnsi="Book Antiqua"/>
        </w:rPr>
        <w:t xml:space="preserve"> CLECA</w:t>
      </w:r>
      <w:r w:rsidR="008428F1">
        <w:rPr>
          <w:rFonts w:ascii="Book Antiqua" w:hAnsi="Book Antiqua"/>
        </w:rPr>
        <w:t>;</w:t>
      </w:r>
      <w:r>
        <w:rPr>
          <w:rFonts w:ascii="Book Antiqua" w:hAnsi="Book Antiqua"/>
        </w:rPr>
        <w:t xml:space="preserve"> DMM</w:t>
      </w:r>
      <w:r w:rsidR="008428F1">
        <w:rPr>
          <w:rFonts w:ascii="Book Antiqua" w:hAnsi="Book Antiqua"/>
        </w:rPr>
        <w:t>;</w:t>
      </w:r>
      <w:r>
        <w:rPr>
          <w:rFonts w:ascii="Book Antiqua" w:hAnsi="Book Antiqua"/>
        </w:rPr>
        <w:t xml:space="preserve"> </w:t>
      </w:r>
      <w:r w:rsidR="00E05846">
        <w:t>Golden State Clean Energy (GSCE)</w:t>
      </w:r>
      <w:r w:rsidR="008428F1">
        <w:rPr>
          <w:rFonts w:ascii="Book Antiqua" w:hAnsi="Book Antiqua"/>
        </w:rPr>
        <w:t>;</w:t>
      </w:r>
      <w:r>
        <w:rPr>
          <w:rFonts w:ascii="Book Antiqua" w:hAnsi="Book Antiqua"/>
        </w:rPr>
        <w:t xml:space="preserve"> GPI</w:t>
      </w:r>
      <w:r w:rsidR="008428F1">
        <w:rPr>
          <w:rFonts w:ascii="Book Antiqua" w:hAnsi="Book Antiqua"/>
        </w:rPr>
        <w:t>;</w:t>
      </w:r>
      <w:r>
        <w:rPr>
          <w:rFonts w:ascii="Book Antiqua" w:hAnsi="Book Antiqua"/>
        </w:rPr>
        <w:t xml:space="preserve"> </w:t>
      </w:r>
      <w:proofErr w:type="spellStart"/>
      <w:r w:rsidR="00E05846">
        <w:t>Hydrostor</w:t>
      </w:r>
      <w:proofErr w:type="spellEnd"/>
      <w:r w:rsidR="00E05846">
        <w:t>, Inc. (</w:t>
      </w:r>
      <w:proofErr w:type="spellStart"/>
      <w:r w:rsidR="00E05846">
        <w:t>Hydrostor</w:t>
      </w:r>
      <w:proofErr w:type="spellEnd"/>
      <w:r w:rsidR="00E05846">
        <w:t>)</w:t>
      </w:r>
      <w:r w:rsidR="008428F1">
        <w:rPr>
          <w:rFonts w:ascii="Book Antiqua" w:hAnsi="Book Antiqua"/>
        </w:rPr>
        <w:t>;</w:t>
      </w:r>
      <w:r>
        <w:rPr>
          <w:rFonts w:ascii="Book Antiqua" w:hAnsi="Book Antiqua"/>
        </w:rPr>
        <w:t xml:space="preserve"> IEP</w:t>
      </w:r>
      <w:r w:rsidR="008428F1">
        <w:rPr>
          <w:rFonts w:ascii="Book Antiqua" w:hAnsi="Book Antiqua"/>
        </w:rPr>
        <w:t>;</w:t>
      </w:r>
      <w:r>
        <w:rPr>
          <w:rFonts w:ascii="Book Antiqua" w:hAnsi="Book Antiqua"/>
        </w:rPr>
        <w:t xml:space="preserve"> </w:t>
      </w:r>
      <w:r w:rsidR="00E05846">
        <w:t xml:space="preserve">CEDMC, </w:t>
      </w:r>
      <w:proofErr w:type="spellStart"/>
      <w:r w:rsidR="00E05846">
        <w:t>CPower</w:t>
      </w:r>
      <w:proofErr w:type="spellEnd"/>
      <w:r w:rsidR="00E05846">
        <w:t xml:space="preserve">, Enel X, Leapfrog Power, Inc., and </w:t>
      </w:r>
      <w:proofErr w:type="spellStart"/>
      <w:r w:rsidR="00E05846">
        <w:t>OhmConnect</w:t>
      </w:r>
      <w:proofErr w:type="spellEnd"/>
      <w:r w:rsidR="00E05846">
        <w:t xml:space="preserve">, Inc. (collectively, </w:t>
      </w:r>
      <w:r w:rsidRPr="008428F1" w:rsidR="00E05846">
        <w:t>Joint DR Parties</w:t>
      </w:r>
      <w:r w:rsidR="00E05846">
        <w:t>)</w:t>
      </w:r>
      <w:r w:rsidR="008428F1">
        <w:rPr>
          <w:rFonts w:ascii="Book Antiqua" w:hAnsi="Book Antiqua"/>
        </w:rPr>
        <w:t>;</w:t>
      </w:r>
      <w:r>
        <w:rPr>
          <w:rFonts w:ascii="Book Antiqua" w:hAnsi="Book Antiqua"/>
        </w:rPr>
        <w:t xml:space="preserve"> </w:t>
      </w:r>
      <w:r w:rsidR="00E05846">
        <w:t>LS Power</w:t>
      </w:r>
      <w:r w:rsidR="008428F1">
        <w:t>;</w:t>
      </w:r>
      <w:r w:rsidRPr="005568C4" w:rsidR="00E05846">
        <w:t xml:space="preserve"> </w:t>
      </w:r>
      <w:r w:rsidR="00E05846">
        <w:t>MRP</w:t>
      </w:r>
      <w:r w:rsidR="008428F1">
        <w:t>;</w:t>
      </w:r>
      <w:r w:rsidR="00E05846">
        <w:t xml:space="preserve"> </w:t>
      </w:r>
      <w:r>
        <w:rPr>
          <w:rFonts w:ascii="Book Antiqua" w:hAnsi="Book Antiqua"/>
        </w:rPr>
        <w:t>PCF</w:t>
      </w:r>
      <w:r w:rsidR="008428F1">
        <w:rPr>
          <w:rFonts w:ascii="Book Antiqua" w:hAnsi="Book Antiqua"/>
        </w:rPr>
        <w:t>;</w:t>
      </w:r>
      <w:r>
        <w:rPr>
          <w:rFonts w:ascii="Book Antiqua" w:hAnsi="Book Antiqua"/>
        </w:rPr>
        <w:t xml:space="preserve"> PG&amp;E</w:t>
      </w:r>
      <w:r w:rsidR="008428F1">
        <w:rPr>
          <w:rFonts w:ascii="Book Antiqua" w:hAnsi="Book Antiqua"/>
        </w:rPr>
        <w:t>;</w:t>
      </w:r>
      <w:r>
        <w:rPr>
          <w:rFonts w:ascii="Book Antiqua" w:hAnsi="Book Antiqua"/>
        </w:rPr>
        <w:t xml:space="preserve"> SCE</w:t>
      </w:r>
      <w:r w:rsidR="008428F1">
        <w:rPr>
          <w:rFonts w:ascii="Book Antiqua" w:hAnsi="Book Antiqua"/>
        </w:rPr>
        <w:t>;</w:t>
      </w:r>
      <w:r>
        <w:rPr>
          <w:rFonts w:ascii="Book Antiqua" w:hAnsi="Book Antiqua"/>
        </w:rPr>
        <w:t xml:space="preserve"> SDG&amp;E</w:t>
      </w:r>
      <w:r w:rsidR="008428F1">
        <w:rPr>
          <w:rFonts w:ascii="Book Antiqua" w:hAnsi="Book Antiqua"/>
        </w:rPr>
        <w:t>;</w:t>
      </w:r>
      <w:r>
        <w:rPr>
          <w:rFonts w:ascii="Book Antiqua" w:hAnsi="Book Antiqua"/>
        </w:rPr>
        <w:t xml:space="preserve"> Solar Parties</w:t>
      </w:r>
      <w:r w:rsidR="008428F1">
        <w:rPr>
          <w:rFonts w:ascii="Book Antiqua" w:hAnsi="Book Antiqua"/>
        </w:rPr>
        <w:t>;</w:t>
      </w:r>
      <w:r>
        <w:rPr>
          <w:rFonts w:ascii="Book Antiqua" w:hAnsi="Book Antiqua"/>
        </w:rPr>
        <w:t xml:space="preserve"> Shell Energy</w:t>
      </w:r>
      <w:r w:rsidR="008428F1">
        <w:rPr>
          <w:rFonts w:ascii="Book Antiqua" w:hAnsi="Book Antiqua"/>
        </w:rPr>
        <w:t>;</w:t>
      </w:r>
      <w:r>
        <w:rPr>
          <w:rFonts w:ascii="Book Antiqua" w:hAnsi="Book Antiqua"/>
        </w:rPr>
        <w:t xml:space="preserve"> TURN</w:t>
      </w:r>
      <w:r w:rsidR="008428F1">
        <w:rPr>
          <w:rFonts w:ascii="Book Antiqua" w:hAnsi="Book Antiqua"/>
        </w:rPr>
        <w:t>;</w:t>
      </w:r>
      <w:r>
        <w:rPr>
          <w:rFonts w:ascii="Book Antiqua" w:hAnsi="Book Antiqua"/>
        </w:rPr>
        <w:t xml:space="preserve"> </w:t>
      </w:r>
      <w:proofErr w:type="spellStart"/>
      <w:r w:rsidR="00E05846">
        <w:t>Vistra</w:t>
      </w:r>
      <w:proofErr w:type="spellEnd"/>
      <w:r w:rsidR="00E05846">
        <w:t xml:space="preserve"> Corp. (</w:t>
      </w:r>
      <w:proofErr w:type="spellStart"/>
      <w:r w:rsidR="00E05846">
        <w:t>Vistra</w:t>
      </w:r>
      <w:proofErr w:type="spellEnd"/>
      <w:r w:rsidR="00E05846">
        <w:t>)</w:t>
      </w:r>
      <w:r w:rsidR="008428F1">
        <w:rPr>
          <w:rFonts w:ascii="Book Antiqua" w:hAnsi="Book Antiqua"/>
        </w:rPr>
        <w:t>;</w:t>
      </w:r>
      <w:r>
        <w:rPr>
          <w:rFonts w:ascii="Book Antiqua" w:hAnsi="Book Antiqua"/>
        </w:rPr>
        <w:t xml:space="preserve"> and WPTF.</w:t>
      </w:r>
    </w:p>
    <w:p w:rsidR="002A4556" w:rsidP="002A4556" w:rsidRDefault="005445A1" w14:paraId="6C9799F7" w14:textId="1FBA3EAB">
      <w:pPr>
        <w:pStyle w:val="standard0"/>
        <w:rPr>
          <w:rFonts w:ascii="Book Antiqua" w:hAnsi="Book Antiqua"/>
        </w:rPr>
      </w:pPr>
      <w:r>
        <w:rPr>
          <w:rFonts w:ascii="Book Antiqua" w:hAnsi="Book Antiqua"/>
        </w:rPr>
        <w:t xml:space="preserve">Reply comments on second revised Track 3B.2 proposals were filed on March 23, </w:t>
      </w:r>
      <w:proofErr w:type="gramStart"/>
      <w:r>
        <w:rPr>
          <w:rFonts w:ascii="Book Antiqua" w:hAnsi="Book Antiqua"/>
        </w:rPr>
        <w:t>2021</w:t>
      </w:r>
      <w:proofErr w:type="gramEnd"/>
      <w:r>
        <w:rPr>
          <w:rFonts w:ascii="Book Antiqua" w:hAnsi="Book Antiqua"/>
        </w:rPr>
        <w:t xml:space="preserve"> by: AReM, CAISO, Calpine, </w:t>
      </w:r>
      <w:proofErr w:type="spellStart"/>
      <w:r>
        <w:rPr>
          <w:rFonts w:ascii="Book Antiqua" w:hAnsi="Book Antiqua"/>
        </w:rPr>
        <w:t>CalWEA</w:t>
      </w:r>
      <w:proofErr w:type="spellEnd"/>
      <w:r>
        <w:rPr>
          <w:rFonts w:ascii="Book Antiqua" w:hAnsi="Book Antiqua"/>
        </w:rPr>
        <w:t xml:space="preserve">, CLECA, </w:t>
      </w:r>
      <w:proofErr w:type="spellStart"/>
      <w:r>
        <w:rPr>
          <w:rFonts w:ascii="Book Antiqua" w:hAnsi="Book Antiqua"/>
        </w:rPr>
        <w:t>Hydrostor</w:t>
      </w:r>
      <w:proofErr w:type="spellEnd"/>
      <w:r>
        <w:rPr>
          <w:rFonts w:ascii="Book Antiqua" w:hAnsi="Book Antiqua"/>
        </w:rPr>
        <w:t>, IEP, MRP, PG&amp;E, SCE, Solar Parties, and TURN.</w:t>
      </w:r>
      <w:r w:rsidR="00D2784D">
        <w:rPr>
          <w:rFonts w:ascii="Book Antiqua" w:hAnsi="Book Antiqua"/>
        </w:rPr>
        <w:t xml:space="preserve">  </w:t>
      </w:r>
      <w:r w:rsidR="00D950D3">
        <w:rPr>
          <w:rFonts w:ascii="Book Antiqua" w:hAnsi="Book Antiqua"/>
        </w:rPr>
        <w:t>The</w:t>
      </w:r>
      <w:r>
        <w:rPr>
          <w:rFonts w:ascii="Book Antiqua" w:hAnsi="Book Antiqua"/>
        </w:rPr>
        <w:t xml:space="preserve"> following </w:t>
      </w:r>
      <w:r w:rsidR="00D950D3">
        <w:rPr>
          <w:rFonts w:ascii="Book Antiqua" w:hAnsi="Book Antiqua"/>
        </w:rPr>
        <w:t>parties</w:t>
      </w:r>
      <w:r>
        <w:rPr>
          <w:rFonts w:ascii="Book Antiqua" w:hAnsi="Book Antiqua"/>
        </w:rPr>
        <w:t xml:space="preserve"> submitted joint </w:t>
      </w:r>
      <w:r w:rsidR="004508F5">
        <w:rPr>
          <w:rFonts w:ascii="Book Antiqua" w:hAnsi="Book Antiqua"/>
        </w:rPr>
        <w:t>comments</w:t>
      </w:r>
      <w:r>
        <w:rPr>
          <w:rFonts w:ascii="Book Antiqua" w:hAnsi="Book Antiqua"/>
        </w:rPr>
        <w:t xml:space="preserve">: AReM, CEDMC, CLECA, </w:t>
      </w:r>
      <w:proofErr w:type="spellStart"/>
      <w:r>
        <w:rPr>
          <w:rFonts w:ascii="Book Antiqua" w:hAnsi="Book Antiqua"/>
        </w:rPr>
        <w:t>CPower</w:t>
      </w:r>
      <w:proofErr w:type="spellEnd"/>
      <w:r>
        <w:rPr>
          <w:rFonts w:ascii="Book Antiqua" w:hAnsi="Book Antiqua"/>
        </w:rPr>
        <w:t xml:space="preserve">, Direct Access Customer Coalition, Energy Users Forum, MRP, </w:t>
      </w:r>
      <w:proofErr w:type="spellStart"/>
      <w:r w:rsidR="00E05846">
        <w:t>OhmConnect</w:t>
      </w:r>
      <w:proofErr w:type="spellEnd"/>
      <w:r w:rsidR="00E05846">
        <w:t>, Inc.</w:t>
      </w:r>
      <w:r>
        <w:rPr>
          <w:rFonts w:ascii="Book Antiqua" w:hAnsi="Book Antiqua"/>
        </w:rPr>
        <w:t>, SDG&amp;E, The Regents of the University of California, and WPTF (collectively, Coalition Parties).</w:t>
      </w:r>
    </w:p>
    <w:p w:rsidRPr="002A4556" w:rsidR="005445A1" w:rsidP="002A4556" w:rsidRDefault="005939A5" w14:paraId="6909DCE9" w14:textId="445331D5">
      <w:pPr>
        <w:pStyle w:val="Heading1"/>
      </w:pPr>
      <w:bookmarkStart w:name="_Toc74206109" w:id="7"/>
      <w:r w:rsidRPr="002A4556">
        <w:lastRenderedPageBreak/>
        <w:t>Issues Before the Commission</w:t>
      </w:r>
      <w:bookmarkEnd w:id="6"/>
      <w:bookmarkEnd w:id="7"/>
    </w:p>
    <w:p w:rsidR="005445A1" w:rsidP="005445A1" w:rsidRDefault="005445A1" w14:paraId="51F2664E" w14:textId="3B6CAC4B">
      <w:pPr>
        <w:pStyle w:val="ALJBodyText"/>
      </w:pPr>
      <w:r>
        <w:t>The scope of Track 3B.2</w:t>
      </w:r>
      <w:r w:rsidR="00C4677F">
        <w:t xml:space="preserve">, as adopted in the December 11, </w:t>
      </w:r>
      <w:proofErr w:type="gramStart"/>
      <w:r w:rsidR="00C4677F">
        <w:t>2021</w:t>
      </w:r>
      <w:proofErr w:type="gramEnd"/>
      <w:r w:rsidR="00C4677F">
        <w:t xml:space="preserve"> Amended Scoping Memo,</w:t>
      </w:r>
      <w:r>
        <w:t xml:space="preserve"> include</w:t>
      </w:r>
      <w:r w:rsidR="00D2784D">
        <w:t>d</w:t>
      </w:r>
      <w:r>
        <w:t xml:space="preserve"> the following issues:</w:t>
      </w:r>
    </w:p>
    <w:p w:rsidRPr="000041D2" w:rsidR="005445A1" w:rsidP="00EF5FC0" w:rsidRDefault="005445A1" w14:paraId="006CCD41" w14:textId="741F63B0">
      <w:pPr>
        <w:pStyle w:val="ListAlpha"/>
        <w:numPr>
          <w:ilvl w:val="0"/>
          <w:numId w:val="10"/>
        </w:numPr>
        <w:ind w:right="1440"/>
      </w:pPr>
      <w:r w:rsidRPr="000041D2">
        <w:t>Examination of the broader RA capacity structure to</w:t>
      </w:r>
      <w:r>
        <w:t xml:space="preserve"> </w:t>
      </w:r>
      <w:r w:rsidRPr="000041D2">
        <w:t>address energy attributes and hourly capacity</w:t>
      </w:r>
      <w:r>
        <w:t xml:space="preserve"> </w:t>
      </w:r>
      <w:r w:rsidRPr="000041D2">
        <w:t>requirements, given the increasing penetration of use</w:t>
      </w:r>
      <w:r>
        <w:t>-</w:t>
      </w:r>
      <w:r w:rsidRPr="000041D2">
        <w:t>limited</w:t>
      </w:r>
      <w:r>
        <w:t xml:space="preserve"> </w:t>
      </w:r>
      <w:r w:rsidRPr="000041D2">
        <w:t>resources, greater reliance on preferred resources,</w:t>
      </w:r>
      <w:r>
        <w:t xml:space="preserve"> </w:t>
      </w:r>
      <w:r w:rsidRPr="000041D2">
        <w:t xml:space="preserve">rolling </w:t>
      </w:r>
      <w:proofErr w:type="gramStart"/>
      <w:r w:rsidRPr="000041D2">
        <w:t>off of</w:t>
      </w:r>
      <w:proofErr w:type="gramEnd"/>
      <w:r w:rsidRPr="000041D2">
        <w:t xml:space="preserve"> a significant amount of long-term tolling</w:t>
      </w:r>
      <w:r>
        <w:t xml:space="preserve"> </w:t>
      </w:r>
      <w:r w:rsidRPr="000041D2">
        <w:t>contracts held by utilities, and material increases in energy</w:t>
      </w:r>
      <w:r>
        <w:t xml:space="preserve"> </w:t>
      </w:r>
      <w:r w:rsidRPr="000041D2">
        <w:t>and capacity prices experienced in California over the past</w:t>
      </w:r>
      <w:r>
        <w:t xml:space="preserve"> </w:t>
      </w:r>
      <w:r w:rsidRPr="000041D2">
        <w:t>years.</w:t>
      </w:r>
    </w:p>
    <w:p w:rsidRPr="000041D2" w:rsidR="005445A1" w:rsidP="00EF5FC0" w:rsidRDefault="005445A1" w14:paraId="61563673" w14:textId="5329FD4E">
      <w:pPr>
        <w:pStyle w:val="ListAlpha"/>
        <w:ind w:left="1350" w:right="1440"/>
      </w:pPr>
      <w:r w:rsidRPr="000041D2">
        <w:t>Specifically, address the direction the Commission</w:t>
      </w:r>
      <w:r>
        <w:t xml:space="preserve"> </w:t>
      </w:r>
      <w:r w:rsidRPr="000041D2">
        <w:t>intends to move in with respect to larger structural</w:t>
      </w:r>
      <w:r>
        <w:t xml:space="preserve"> </w:t>
      </w:r>
      <w:r w:rsidRPr="000041D2">
        <w:t>changes (</w:t>
      </w:r>
      <w:r w:rsidRPr="00DB2886" w:rsidR="00DB2886">
        <w:rPr>
          <w:i/>
          <w:iCs/>
        </w:rPr>
        <w:t>e.g.</w:t>
      </w:r>
      <w:r w:rsidRPr="000041D2">
        <w:t>, capacity construct addressing energy</w:t>
      </w:r>
      <w:r>
        <w:t xml:space="preserve"> </w:t>
      </w:r>
      <w:r w:rsidRPr="000041D2">
        <w:t>attributes and reliance on resource use-limitations,</w:t>
      </w:r>
      <w:r>
        <w:t xml:space="preserve"> </w:t>
      </w:r>
      <w:r w:rsidRPr="000041D2">
        <w:t xml:space="preserve">forward energy requirement construct). </w:t>
      </w:r>
      <w:r w:rsidR="00D2784D">
        <w:t xml:space="preserve"> </w:t>
      </w:r>
      <w:r w:rsidRPr="000041D2">
        <w:t>Set forth the</w:t>
      </w:r>
      <w:r>
        <w:t xml:space="preserve"> </w:t>
      </w:r>
      <w:r w:rsidRPr="000041D2">
        <w:t>necessary milestones and additional details that must</w:t>
      </w:r>
      <w:r>
        <w:t xml:space="preserve"> </w:t>
      </w:r>
      <w:r w:rsidRPr="000041D2">
        <w:t xml:space="preserve">be determined </w:t>
      </w:r>
      <w:proofErr w:type="gramStart"/>
      <w:r w:rsidRPr="000041D2">
        <w:t>in order to</w:t>
      </w:r>
      <w:proofErr w:type="gramEnd"/>
      <w:r w:rsidRPr="000041D2">
        <w:t xml:space="preserve"> implement the adopted</w:t>
      </w:r>
      <w:r>
        <w:t xml:space="preserve"> </w:t>
      </w:r>
      <w:r w:rsidRPr="000041D2">
        <w:t>direction for a compliance year no earlier than 2023.</w:t>
      </w:r>
    </w:p>
    <w:p w:rsidR="005445A1" w:rsidP="00EF5FC0" w:rsidRDefault="005445A1" w14:paraId="3FFEC03D" w14:textId="7367996F">
      <w:pPr>
        <w:pStyle w:val="ListAlpha"/>
        <w:ind w:left="1350" w:right="1440"/>
      </w:pPr>
      <w:r w:rsidRPr="000041D2">
        <w:t>Multi-year system and flexible RA requirements, as</w:t>
      </w:r>
      <w:r>
        <w:t xml:space="preserve"> </w:t>
      </w:r>
      <w:r w:rsidRPr="000041D2">
        <w:t>stated in D.20</w:t>
      </w:r>
      <w:r w:rsidR="00EF5FC0">
        <w:noBreakHyphen/>
      </w:r>
      <w:r w:rsidRPr="000041D2">
        <w:t>06</w:t>
      </w:r>
      <w:r w:rsidR="00EF5FC0">
        <w:noBreakHyphen/>
      </w:r>
      <w:r w:rsidRPr="000041D2">
        <w:t>002.</w:t>
      </w:r>
    </w:p>
    <w:p w:rsidR="005445A1" w:rsidP="005445A1" w:rsidRDefault="005445A1" w14:paraId="1D821889" w14:textId="3590EE7F">
      <w:pPr>
        <w:pStyle w:val="ALJBodyText"/>
      </w:pPr>
      <w:bookmarkStart w:name="_Hlk7176765" w:id="8"/>
      <w:r>
        <w:t xml:space="preserve">All proposals and comments submitted by parties were considered; however, given the large number of parties in this proceeding, some comments may receive little or no discussion in this decision.  </w:t>
      </w:r>
      <w:bookmarkEnd w:id="8"/>
    </w:p>
    <w:p w:rsidR="005445A1" w:rsidP="002A4556" w:rsidRDefault="008972DE" w14:paraId="1B148C8F" w14:textId="1879E3A1">
      <w:pPr>
        <w:pStyle w:val="Heading1"/>
      </w:pPr>
      <w:bookmarkStart w:name="_Toc69976146" w:id="9"/>
      <w:bookmarkStart w:name="_Toc74206110" w:id="10"/>
      <w:r>
        <w:t>Background on</w:t>
      </w:r>
      <w:r w:rsidR="005445A1">
        <w:t xml:space="preserve"> the Resource Adequacy Program</w:t>
      </w:r>
      <w:bookmarkEnd w:id="9"/>
      <w:bookmarkEnd w:id="10"/>
    </w:p>
    <w:p w:rsidR="005445A1" w:rsidP="005445A1" w:rsidRDefault="006132F4" w14:paraId="7E60FF12" w14:textId="0D08367D">
      <w:pPr>
        <w:pStyle w:val="Standard"/>
      </w:pPr>
      <w:r>
        <w:t>T</w:t>
      </w:r>
      <w:r w:rsidR="003F79A8">
        <w:t>he</w:t>
      </w:r>
      <w:r w:rsidR="005445A1">
        <w:t xml:space="preserve"> RA program was first implemented in 2006</w:t>
      </w:r>
      <w:r>
        <w:t xml:space="preserve"> and</w:t>
      </w:r>
      <w:r w:rsidR="005445A1">
        <w:t xml:space="preserve"> </w:t>
      </w:r>
      <w:r w:rsidR="00F377ED">
        <w:t>was</w:t>
      </w:r>
      <w:r w:rsidR="003F79A8">
        <w:t xml:space="preserve"> </w:t>
      </w:r>
      <w:r w:rsidR="00F377ED">
        <w:t>designed to</w:t>
      </w:r>
      <w:r w:rsidR="005445A1">
        <w:t xml:space="preserve"> ensure that LSEs secure</w:t>
      </w:r>
      <w:r w:rsidR="00F377ED">
        <w:t>d</w:t>
      </w:r>
      <w:r w:rsidR="005445A1">
        <w:t xml:space="preserve"> sufficient generating capacity to meet anticipated peak demand needs to maintain grid reliability.  At the </w:t>
      </w:r>
      <w:r w:rsidR="003F79A8">
        <w:t xml:space="preserve">time of the </w:t>
      </w:r>
      <w:r w:rsidR="00622018">
        <w:t xml:space="preserve">RA </w:t>
      </w:r>
      <w:r w:rsidR="005445A1">
        <w:t xml:space="preserve">program’s inception, the vast majority of California’s load was served by the three large </w:t>
      </w:r>
      <w:r w:rsidR="00622018">
        <w:t>investor-owned utilities (</w:t>
      </w:r>
      <w:r w:rsidR="005445A1">
        <w:t>IOUs</w:t>
      </w:r>
      <w:r w:rsidR="00622018">
        <w:t>)</w:t>
      </w:r>
      <w:r w:rsidR="00E85840">
        <w:t xml:space="preserve"> </w:t>
      </w:r>
      <w:r w:rsidR="006509ED">
        <w:t>who held a significant amount of</w:t>
      </w:r>
      <w:r w:rsidR="00E85840">
        <w:t xml:space="preserve"> </w:t>
      </w:r>
      <w:r w:rsidR="005445A1">
        <w:t xml:space="preserve">long-term </w:t>
      </w:r>
      <w:r w:rsidR="005445A1">
        <w:lastRenderedPageBreak/>
        <w:t xml:space="preserve">tolling </w:t>
      </w:r>
      <w:r w:rsidR="00E85840">
        <w:t xml:space="preserve">arrangements </w:t>
      </w:r>
      <w:r w:rsidR="006509ED">
        <w:t>with</w:t>
      </w:r>
      <w:r w:rsidR="004E51CF">
        <w:t xml:space="preserve"> gas-fired generation</w:t>
      </w:r>
      <w:r w:rsidR="005445A1">
        <w:t>.</w:t>
      </w:r>
      <w:r w:rsidR="00E20454">
        <w:rPr>
          <w:rStyle w:val="FootnoteReference"/>
        </w:rPr>
        <w:footnoteReference w:id="3"/>
      </w:r>
      <w:r w:rsidR="005445A1">
        <w:t xml:space="preserve">  </w:t>
      </w:r>
      <w:r w:rsidR="00940793">
        <w:t>These IOU tolling arrangements were subject to least-cost dispatch requirements, which resulted in lower costs to ratepayers.</w:t>
      </w:r>
      <w:r w:rsidR="00940793">
        <w:rPr>
          <w:rStyle w:val="FootnoteReference"/>
        </w:rPr>
        <w:footnoteReference w:id="4"/>
      </w:r>
      <w:r w:rsidR="00940793">
        <w:t xml:space="preserve">  </w:t>
      </w:r>
      <w:r w:rsidR="00622018">
        <w:t>At that time, t</w:t>
      </w:r>
      <w:r w:rsidR="005445A1">
        <w:t xml:space="preserve">here were limited renewable </w:t>
      </w:r>
      <w:r w:rsidR="004E51CF">
        <w:t>resources</w:t>
      </w:r>
      <w:r w:rsidR="005445A1">
        <w:t xml:space="preserve"> and very few resources with physical constraints due to use limitations.</w:t>
      </w:r>
    </w:p>
    <w:p w:rsidR="00297DDD" w:rsidP="005445A1" w:rsidRDefault="005445A1" w14:paraId="26F80771" w14:textId="0F1F13DC">
      <w:pPr>
        <w:pStyle w:val="Standard"/>
      </w:pPr>
      <w:r>
        <w:t xml:space="preserve">The RA landscape </w:t>
      </w:r>
      <w:r w:rsidR="006132F4">
        <w:t xml:space="preserve">in California </w:t>
      </w:r>
      <w:r>
        <w:t xml:space="preserve">has changed dramatically </w:t>
      </w:r>
      <w:r w:rsidR="006132F4">
        <w:t xml:space="preserve">in </w:t>
      </w:r>
      <w:r>
        <w:t xml:space="preserve">the intervening years.  </w:t>
      </w:r>
      <w:r w:rsidR="00DF097F">
        <w:t>There</w:t>
      </w:r>
      <w:r>
        <w:t xml:space="preserve"> are </w:t>
      </w:r>
      <w:r w:rsidR="00731815">
        <w:t xml:space="preserve">approximately </w:t>
      </w:r>
      <w:r w:rsidR="00A902E7">
        <w:t>3</w:t>
      </w:r>
      <w:r w:rsidR="00D52B9B">
        <w:t>8</w:t>
      </w:r>
      <w:r>
        <w:t xml:space="preserve"> </w:t>
      </w:r>
      <w:r w:rsidR="004D6085">
        <w:t xml:space="preserve">Commission-jurisdictional </w:t>
      </w:r>
      <w:r>
        <w:t>LSEs</w:t>
      </w:r>
      <w:r w:rsidR="00DF097F">
        <w:t xml:space="preserve"> committed to serving load in 2021</w:t>
      </w:r>
      <w:r w:rsidR="00A902E7">
        <w:t xml:space="preserve">, </w:t>
      </w:r>
      <w:r w:rsidR="00E85840">
        <w:t xml:space="preserve">including </w:t>
      </w:r>
      <w:r w:rsidR="00F54F33">
        <w:t>3 IOUs,</w:t>
      </w:r>
      <w:r>
        <w:t xml:space="preserve"> </w:t>
      </w:r>
      <w:r w:rsidR="00A902E7">
        <w:t>2</w:t>
      </w:r>
      <w:r w:rsidR="00D52B9B">
        <w:t>5</w:t>
      </w:r>
      <w:r w:rsidR="004E51CF">
        <w:t xml:space="preserve"> </w:t>
      </w:r>
      <w:r w:rsidR="00622018">
        <w:t>community choice aggregators (</w:t>
      </w:r>
      <w:r w:rsidR="00F54F33">
        <w:t>CCAs</w:t>
      </w:r>
      <w:r w:rsidR="00622018">
        <w:t>)</w:t>
      </w:r>
      <w:r w:rsidR="00F54F33">
        <w:t>,</w:t>
      </w:r>
      <w:r w:rsidR="004E51CF">
        <w:t xml:space="preserve"> and </w:t>
      </w:r>
      <w:r w:rsidR="00A902E7">
        <w:t>1</w:t>
      </w:r>
      <w:r w:rsidR="00D52B9B">
        <w:t>0</w:t>
      </w:r>
      <w:r w:rsidR="00F54F33">
        <w:t xml:space="preserve"> </w:t>
      </w:r>
      <w:r w:rsidR="006132F4">
        <w:t>electricity service providers (</w:t>
      </w:r>
      <w:r w:rsidR="00F54F33">
        <w:t>ESPs</w:t>
      </w:r>
      <w:r w:rsidR="006132F4">
        <w:t>)</w:t>
      </w:r>
      <w:r>
        <w:t xml:space="preserve">.  </w:t>
      </w:r>
      <w:r w:rsidR="00D52B9B">
        <w:t xml:space="preserve">These numbers reflect the rapid growth in retail choice seen primarily </w:t>
      </w:r>
      <w:r w:rsidR="0046285C">
        <w:t>over</w:t>
      </w:r>
      <w:r w:rsidR="00D52B9B">
        <w:t xml:space="preserve"> the last five years.</w:t>
      </w:r>
      <w:r w:rsidR="00D52B9B">
        <w:rPr>
          <w:rStyle w:val="FootnoteReference"/>
        </w:rPr>
        <w:footnoteReference w:id="5"/>
      </w:r>
      <w:r w:rsidR="00D52B9B">
        <w:t xml:space="preserve">  </w:t>
      </w:r>
      <w:r w:rsidR="00150AE8">
        <w:t>The proliferation of retail choice has also led to a decline in load served by IOUs</w:t>
      </w:r>
      <w:r w:rsidR="008034E7">
        <w:t>, as well as</w:t>
      </w:r>
      <w:r w:rsidR="00150AE8">
        <w:t xml:space="preserve"> uncertainty about future load migration.  </w:t>
      </w:r>
      <w:r w:rsidR="00A63420">
        <w:t>This load uncertainty</w:t>
      </w:r>
      <w:r w:rsidR="00F54F33">
        <w:t>,</w:t>
      </w:r>
      <w:r w:rsidR="00150AE8">
        <w:t xml:space="preserve"> paired with </w:t>
      </w:r>
      <w:r w:rsidR="008034E7">
        <w:t>signal</w:t>
      </w:r>
      <w:r w:rsidR="00846867">
        <w:t>s</w:t>
      </w:r>
      <w:r w:rsidR="008034E7">
        <w:t xml:space="preserve"> </w:t>
      </w:r>
      <w:r w:rsidR="00846867">
        <w:t>from</w:t>
      </w:r>
      <w:r w:rsidR="008034E7">
        <w:t xml:space="preserve"> </w:t>
      </w:r>
      <w:r w:rsidR="00150AE8">
        <w:t>policymakers</w:t>
      </w:r>
      <w:r w:rsidR="008034E7">
        <w:t xml:space="preserve"> </w:t>
      </w:r>
      <w:r w:rsidR="00150AE8">
        <w:t xml:space="preserve">of </w:t>
      </w:r>
      <w:r w:rsidR="00846867">
        <w:t xml:space="preserve">a </w:t>
      </w:r>
      <w:r w:rsidR="00150AE8">
        <w:t xml:space="preserve">shift </w:t>
      </w:r>
      <w:r w:rsidR="004508F5">
        <w:t xml:space="preserve">away </w:t>
      </w:r>
      <w:r w:rsidR="00150AE8">
        <w:t>from reliance on gas-fired generation,</w:t>
      </w:r>
      <w:r w:rsidR="00F54F33">
        <w:t xml:space="preserve"> </w:t>
      </w:r>
      <w:r w:rsidR="00A63420">
        <w:t xml:space="preserve">has </w:t>
      </w:r>
      <w:r w:rsidR="006132F4">
        <w:t>led to</w:t>
      </w:r>
      <w:r w:rsidR="00A63420">
        <w:t xml:space="preserve"> </w:t>
      </w:r>
      <w:r w:rsidR="00262706">
        <w:t>a</w:t>
      </w:r>
      <w:r w:rsidR="00A63420">
        <w:t xml:space="preserve"> significant</w:t>
      </w:r>
      <w:r w:rsidR="00262706">
        <w:t xml:space="preserve"> decline in multi-year </w:t>
      </w:r>
      <w:r w:rsidR="00A63420">
        <w:t xml:space="preserve">tolling contracts </w:t>
      </w:r>
      <w:r w:rsidR="00F54F33">
        <w:t xml:space="preserve">and </w:t>
      </w:r>
      <w:r w:rsidR="006132F4">
        <w:t xml:space="preserve">has been </w:t>
      </w:r>
      <w:r w:rsidR="00A63420">
        <w:t xml:space="preserve">replaced </w:t>
      </w:r>
      <w:r w:rsidR="00F57DE7">
        <w:t>by</w:t>
      </w:r>
      <w:r w:rsidR="00A63420">
        <w:t xml:space="preserve"> </w:t>
      </w:r>
      <w:r w:rsidR="00150AE8">
        <w:t xml:space="preserve">short-term </w:t>
      </w:r>
      <w:r w:rsidR="00A63420">
        <w:t>RA</w:t>
      </w:r>
      <w:r w:rsidR="00150AE8">
        <w:t>-only</w:t>
      </w:r>
      <w:r w:rsidR="00A63420">
        <w:t xml:space="preserve"> </w:t>
      </w:r>
      <w:r w:rsidR="00150AE8">
        <w:t>capacity</w:t>
      </w:r>
      <w:r w:rsidR="00A63420">
        <w:t xml:space="preserve"> contracts</w:t>
      </w:r>
      <w:r>
        <w:t xml:space="preserve">.  </w:t>
      </w:r>
    </w:p>
    <w:p w:rsidR="00150AE8" w:rsidP="005445A1" w:rsidRDefault="008B1E9F" w14:paraId="57D5B30B" w14:textId="5D01E574">
      <w:pPr>
        <w:pStyle w:val="Standard"/>
      </w:pPr>
      <w:r>
        <w:t xml:space="preserve">In addition, </w:t>
      </w:r>
      <w:r w:rsidR="00150AE8">
        <w:t>much of the new generation that has come online in the past several years (or is expected to be online in the near</w:t>
      </w:r>
      <w:r w:rsidR="004F4B90">
        <w:t xml:space="preserve"> </w:t>
      </w:r>
      <w:r w:rsidR="00150AE8">
        <w:t xml:space="preserve">term) includes variable resources, particularly solar and wind, and use-limited </w:t>
      </w:r>
      <w:r w:rsidR="00F32EE2">
        <w:t xml:space="preserve">resources, such as </w:t>
      </w:r>
      <w:r w:rsidR="00150AE8">
        <w:t xml:space="preserve">storage </w:t>
      </w:r>
      <w:r w:rsidR="00150AE8">
        <w:lastRenderedPageBreak/>
        <w:t xml:space="preserve">and demand response.  The significant growth </w:t>
      </w:r>
      <w:r w:rsidR="004508F5">
        <w:t xml:space="preserve">of </w:t>
      </w:r>
      <w:r w:rsidR="00764BBA">
        <w:t xml:space="preserve">such </w:t>
      </w:r>
      <w:r w:rsidR="00150AE8">
        <w:t xml:space="preserve">resources has been driven by California’s implementation of broader greenhouse gas emission and clean energy goals.  These resources, however, have significant use limitations: wind and solar depend on the weather, demand response depends </w:t>
      </w:r>
      <w:r w:rsidR="00C4133B">
        <w:t>largely</w:t>
      </w:r>
      <w:r w:rsidR="00150AE8">
        <w:t xml:space="preserve"> on preferences of customers paid to drop load</w:t>
      </w:r>
      <w:r w:rsidR="00C4133B">
        <w:t xml:space="preserve">, and storage resources – </w:t>
      </w:r>
      <w:r w:rsidR="005E51D4">
        <w:t>both</w:t>
      </w:r>
      <w:r w:rsidR="00C4133B">
        <w:t xml:space="preserve"> online and expected to come online </w:t>
      </w:r>
      <w:r w:rsidR="005E51D4">
        <w:t xml:space="preserve">in the near term </w:t>
      </w:r>
      <w:r w:rsidR="00C4133B">
        <w:t xml:space="preserve">- are almost universally sized to serve </w:t>
      </w:r>
      <w:r w:rsidR="002A44C4">
        <w:t>four</w:t>
      </w:r>
      <w:r w:rsidR="00E85840">
        <w:t>-</w:t>
      </w:r>
      <w:r w:rsidR="002A44C4">
        <w:t>hour load</w:t>
      </w:r>
      <w:r w:rsidR="00150AE8">
        <w:t>.</w:t>
      </w:r>
    </w:p>
    <w:p w:rsidR="005445A1" w:rsidP="009B3DB6" w:rsidRDefault="00F57DE7" w14:paraId="5A751A0D" w14:textId="2CCC88C8">
      <w:pPr>
        <w:pStyle w:val="Standard"/>
      </w:pPr>
      <w:r>
        <w:t>Simultaneously,</w:t>
      </w:r>
      <w:r w:rsidR="00297DDD">
        <w:t xml:space="preserve"> </w:t>
      </w:r>
      <w:r w:rsidR="005445A1">
        <w:t xml:space="preserve">retirement of </w:t>
      </w:r>
      <w:r w:rsidR="00262706">
        <w:t>older gas facilities</w:t>
      </w:r>
      <w:r>
        <w:t xml:space="preserve"> </w:t>
      </w:r>
      <w:r w:rsidR="00F32EE2">
        <w:t xml:space="preserve">has been ongoing </w:t>
      </w:r>
      <w:r>
        <w:t xml:space="preserve">throughout the West, resulting in a decline in </w:t>
      </w:r>
      <w:r w:rsidR="00262706">
        <w:t xml:space="preserve">overall </w:t>
      </w:r>
      <w:r w:rsidR="005445A1">
        <w:t xml:space="preserve">capacity </w:t>
      </w:r>
      <w:r w:rsidR="00262706">
        <w:t>that can be used to meet RA requirements</w:t>
      </w:r>
      <w:r w:rsidR="00A63420">
        <w:t xml:space="preserve"> </w:t>
      </w:r>
      <w:r w:rsidR="008B1E9F">
        <w:t>during peak hours</w:t>
      </w:r>
      <w:r w:rsidR="005445A1">
        <w:t xml:space="preserve">. </w:t>
      </w:r>
      <w:r w:rsidR="009624B6">
        <w:t xml:space="preserve"> </w:t>
      </w:r>
      <w:r w:rsidR="006A4917">
        <w:t>W</w:t>
      </w:r>
      <w:r w:rsidR="00297DDD">
        <w:t>ithout</w:t>
      </w:r>
      <w:r w:rsidR="004E51CF">
        <w:t xml:space="preserve"> adequate </w:t>
      </w:r>
      <w:r w:rsidR="00150AE8">
        <w:t xml:space="preserve">system </w:t>
      </w:r>
      <w:r w:rsidR="004E51CF">
        <w:t xml:space="preserve">market power mitigation measures </w:t>
      </w:r>
      <w:r w:rsidR="006A4917">
        <w:t xml:space="preserve">under the current framework, </w:t>
      </w:r>
      <w:r w:rsidR="004E51CF">
        <w:t>these trends may lead to costly energy price spikes and a failure to ensure grid reliability.</w:t>
      </w:r>
      <w:r w:rsidR="00150AE8">
        <w:t xml:space="preserve">  </w:t>
      </w:r>
      <w:r w:rsidR="005F6651">
        <w:t xml:space="preserve">The perils of these trends </w:t>
      </w:r>
      <w:r w:rsidR="006A4917">
        <w:t>became</w:t>
      </w:r>
      <w:r w:rsidR="005445A1">
        <w:t xml:space="preserve"> </w:t>
      </w:r>
      <w:r w:rsidR="00EB32CF">
        <w:t>much</w:t>
      </w:r>
      <w:r w:rsidR="005445A1">
        <w:t xml:space="preserve"> more apparent during the August 2020 </w:t>
      </w:r>
      <w:r w:rsidR="006A4917">
        <w:t xml:space="preserve">extreme </w:t>
      </w:r>
      <w:r w:rsidR="005445A1">
        <w:t xml:space="preserve">heat </w:t>
      </w:r>
      <w:r w:rsidR="006A4917">
        <w:t>wave</w:t>
      </w:r>
      <w:r w:rsidR="005445A1">
        <w:t xml:space="preserve"> that resulted in</w:t>
      </w:r>
      <w:r w:rsidR="006A4917">
        <w:t xml:space="preserve"> rotating electricity</w:t>
      </w:r>
      <w:r w:rsidR="005445A1">
        <w:t xml:space="preserve"> outages</w:t>
      </w:r>
      <w:r w:rsidR="00EB32CF">
        <w:t xml:space="preserve"> in California</w:t>
      </w:r>
      <w:r w:rsidR="00282ABB">
        <w:t xml:space="preserve">, which </w:t>
      </w:r>
      <w:r w:rsidR="005445A1">
        <w:t>underscored the need for reliability based on the system’s ability to meet</w:t>
      </w:r>
      <w:r w:rsidR="00CD46FA">
        <w:t xml:space="preserve"> both</w:t>
      </w:r>
      <w:r w:rsidR="005445A1">
        <w:t xml:space="preserve"> net peak </w:t>
      </w:r>
      <w:r w:rsidR="00CD46FA">
        <w:t xml:space="preserve">and </w:t>
      </w:r>
      <w:r w:rsidR="005445A1">
        <w:t>gross peak demand.  Given the</w:t>
      </w:r>
      <w:r w:rsidR="00EB32CF">
        <w:t>se</w:t>
      </w:r>
      <w:r w:rsidR="005445A1">
        <w:t xml:space="preserve"> </w:t>
      </w:r>
      <w:r w:rsidR="00EB32CF">
        <w:t>recent</w:t>
      </w:r>
      <w:r w:rsidR="005445A1">
        <w:t xml:space="preserve"> </w:t>
      </w:r>
      <w:r w:rsidR="005C09D3">
        <w:t>trends</w:t>
      </w:r>
      <w:r w:rsidR="005445A1">
        <w:t>, the Commission recognize</w:t>
      </w:r>
      <w:r w:rsidR="00EB32CF">
        <w:t>d</w:t>
      </w:r>
      <w:r w:rsidR="005445A1">
        <w:t xml:space="preserve"> an urgent need to reexamine the RA program as it was originally structured to ensure that </w:t>
      </w:r>
      <w:r w:rsidR="00EB32CF">
        <w:t xml:space="preserve">the </w:t>
      </w:r>
      <w:r w:rsidR="005445A1">
        <w:t xml:space="preserve">RA </w:t>
      </w:r>
      <w:r w:rsidR="00EB32CF">
        <w:t xml:space="preserve">program </w:t>
      </w:r>
      <w:r w:rsidR="005445A1">
        <w:t>can continue to provide grid reliability</w:t>
      </w:r>
      <w:r w:rsidR="00E242AE">
        <w:t xml:space="preserve"> at all times of the day</w:t>
      </w:r>
      <w:r w:rsidR="005445A1">
        <w:t xml:space="preserve"> and achieve </w:t>
      </w:r>
      <w:r w:rsidR="00EB32CF">
        <w:t>California’s</w:t>
      </w:r>
      <w:r w:rsidR="005445A1">
        <w:t xml:space="preserve"> environmental policy goals.  </w:t>
      </w:r>
    </w:p>
    <w:p w:rsidR="00353367" w:rsidP="00353367" w:rsidRDefault="002A4556" w14:paraId="649721F4" w14:textId="6ED60641">
      <w:pPr>
        <w:pStyle w:val="Heading1"/>
      </w:pPr>
      <w:bookmarkStart w:name="_Toc74206111" w:id="11"/>
      <w:r w:rsidRPr="002A4556">
        <w:t xml:space="preserve">Proposals to </w:t>
      </w:r>
      <w:r w:rsidR="006332DC">
        <w:t>Restructure</w:t>
      </w:r>
      <w:r w:rsidRPr="002A4556">
        <w:t xml:space="preserve"> the RA Program</w:t>
      </w:r>
      <w:bookmarkEnd w:id="11"/>
    </w:p>
    <w:p w:rsidRPr="005F6425" w:rsidR="005F6425" w:rsidP="005F6425" w:rsidRDefault="005F6425" w14:paraId="23BAE7C6" w14:textId="49C8AFBB">
      <w:pPr>
        <w:pStyle w:val="Standard"/>
      </w:pPr>
      <w:r>
        <w:t>In Track 3B.2, the Commission solicited proposals to reexamine and restructure the current RA framework.  The</w:t>
      </w:r>
      <w:r w:rsidR="00474B34">
        <w:t>se</w:t>
      </w:r>
      <w:r w:rsidR="006D0F1D">
        <w:t xml:space="preserve"> </w:t>
      </w:r>
      <w:r>
        <w:t>proposals</w:t>
      </w:r>
      <w:r w:rsidR="00764BBA">
        <w:t>, referred to as “restructuring proposals” in this decision,</w:t>
      </w:r>
      <w:r>
        <w:t xml:space="preserve"> are summarized below.</w:t>
      </w:r>
      <w:r>
        <w:rPr>
          <w:rStyle w:val="FootnoteReference"/>
        </w:rPr>
        <w:footnoteReference w:id="6"/>
      </w:r>
    </w:p>
    <w:p w:rsidR="00965259" w:rsidP="00965259" w:rsidRDefault="00B5078D" w14:paraId="79AA5846" w14:textId="50EB4DAF">
      <w:pPr>
        <w:pStyle w:val="Heading2"/>
      </w:pPr>
      <w:bookmarkStart w:name="_Toc69976147" w:id="12"/>
      <w:bookmarkStart w:name="_Toc74206112" w:id="13"/>
      <w:r>
        <w:lastRenderedPageBreak/>
        <w:t>SCE/</w:t>
      </w:r>
      <w:proofErr w:type="spellStart"/>
      <w:r>
        <w:t>CalCCA’s</w:t>
      </w:r>
      <w:proofErr w:type="spellEnd"/>
      <w:r w:rsidR="005445A1">
        <w:t xml:space="preserve"> Net Qualifying Energy Proposal</w:t>
      </w:r>
      <w:bookmarkEnd w:id="12"/>
      <w:bookmarkEnd w:id="13"/>
    </w:p>
    <w:p w:rsidRPr="00F13C5B" w:rsidR="00F13C5B" w:rsidP="00F13C5B" w:rsidRDefault="00B5078D" w14:paraId="174D33D4" w14:textId="1C391A3D">
      <w:pPr>
        <w:textAlignment w:val="baseline"/>
        <w:rPr>
          <w:rFonts w:eastAsia="Times New Roman" w:cs="Segoe UI"/>
          <w:sz w:val="18"/>
          <w:szCs w:val="18"/>
        </w:rPr>
      </w:pPr>
      <w:r>
        <w:rPr>
          <w:rFonts w:eastAsia="Times New Roman" w:cs="Times New Roman"/>
          <w:color w:val="000000"/>
        </w:rPr>
        <w:t>SCE/</w:t>
      </w:r>
      <w:proofErr w:type="spellStart"/>
      <w:r>
        <w:rPr>
          <w:rFonts w:eastAsia="Times New Roman" w:cs="Times New Roman"/>
          <w:color w:val="000000"/>
        </w:rPr>
        <w:t>CalCCA</w:t>
      </w:r>
      <w:proofErr w:type="spellEnd"/>
      <w:r w:rsidRPr="00965259" w:rsidR="00965259">
        <w:rPr>
          <w:rFonts w:eastAsia="Times New Roman" w:cs="Times New Roman"/>
          <w:color w:val="000000"/>
        </w:rPr>
        <w:t xml:space="preserve"> propose a three-pronged approach to </w:t>
      </w:r>
      <w:r>
        <w:rPr>
          <w:rFonts w:eastAsia="Times New Roman" w:cs="Times New Roman"/>
          <w:color w:val="000000"/>
        </w:rPr>
        <w:t xml:space="preserve">the </w:t>
      </w:r>
      <w:r w:rsidRPr="00965259" w:rsidR="00965259">
        <w:rPr>
          <w:rFonts w:eastAsia="Times New Roman" w:cs="Times New Roman"/>
          <w:color w:val="000000"/>
        </w:rPr>
        <w:t xml:space="preserve">RA </w:t>
      </w:r>
      <w:r>
        <w:rPr>
          <w:rFonts w:eastAsia="Times New Roman" w:cs="Times New Roman"/>
          <w:color w:val="000000"/>
        </w:rPr>
        <w:t xml:space="preserve">structure </w:t>
      </w:r>
      <w:r w:rsidRPr="00965259" w:rsidR="00965259">
        <w:rPr>
          <w:rFonts w:eastAsia="Times New Roman" w:cs="Times New Roman"/>
          <w:color w:val="000000"/>
        </w:rPr>
        <w:t xml:space="preserve">with compliance elements </w:t>
      </w:r>
      <w:r w:rsidR="00A143C3">
        <w:rPr>
          <w:rFonts w:eastAsia="Times New Roman" w:cs="Times New Roman"/>
          <w:color w:val="000000"/>
        </w:rPr>
        <w:t>for</w:t>
      </w:r>
      <w:r w:rsidRPr="00965259" w:rsidR="00965259">
        <w:rPr>
          <w:rFonts w:eastAsia="Times New Roman" w:cs="Times New Roman"/>
          <w:color w:val="000000"/>
        </w:rPr>
        <w:t xml:space="preserve"> </w:t>
      </w:r>
      <w:r>
        <w:rPr>
          <w:rFonts w:eastAsia="Times New Roman" w:cs="Times New Roman"/>
          <w:color w:val="000000"/>
        </w:rPr>
        <w:t>net qualifying capacity (</w:t>
      </w:r>
      <w:r w:rsidRPr="00965259" w:rsidR="00965259">
        <w:rPr>
          <w:rFonts w:eastAsia="Times New Roman" w:cs="Times New Roman"/>
          <w:color w:val="000000"/>
        </w:rPr>
        <w:t>NQC</w:t>
      </w:r>
      <w:r>
        <w:rPr>
          <w:rFonts w:eastAsia="Times New Roman" w:cs="Times New Roman"/>
          <w:color w:val="000000"/>
        </w:rPr>
        <w:t>)</w:t>
      </w:r>
      <w:r w:rsidRPr="00965259" w:rsidR="00965259">
        <w:rPr>
          <w:rFonts w:eastAsia="Times New Roman" w:cs="Times New Roman"/>
          <w:color w:val="000000"/>
        </w:rPr>
        <w:t>, net qualifying energy (NQE), and energy storage charging sufficiency.</w:t>
      </w:r>
      <w:r w:rsidR="00031BCA">
        <w:rPr>
          <w:rStyle w:val="FootnoteReference"/>
        </w:rPr>
        <w:footnoteReference w:id="7"/>
      </w:r>
      <w:r w:rsidR="009C1631">
        <w:rPr>
          <w:rFonts w:eastAsia="Times New Roman" w:cs="Times New Roman"/>
          <w:color w:val="000000"/>
        </w:rPr>
        <w:t xml:space="preserve">  </w:t>
      </w:r>
      <w:r w:rsidRPr="00965259" w:rsidR="00F13C5B">
        <w:rPr>
          <w:rFonts w:eastAsia="Times New Roman" w:cs="Times New Roman"/>
          <w:color w:val="000000"/>
        </w:rPr>
        <w:t>The proposal would require verification that an LSE’s portfolio has sufficient energy to meet both its load and storage charging needs.</w:t>
      </w:r>
      <w:r w:rsidR="00EF5FC0">
        <w:rPr>
          <w:rFonts w:eastAsia="Times New Roman" w:cs="Times New Roman"/>
          <w:color w:val="000000"/>
        </w:rPr>
        <w:t xml:space="preserve"> </w:t>
      </w:r>
      <w:r w:rsidRPr="00965259" w:rsidR="00F13C5B">
        <w:rPr>
          <w:rFonts w:eastAsia="Times New Roman" w:cs="Times New Roman"/>
          <w:color w:val="000000"/>
        </w:rPr>
        <w:t xml:space="preserve"> The NQE requirement would replace the </w:t>
      </w:r>
      <w:r w:rsidR="00CF1C68">
        <w:rPr>
          <w:rFonts w:eastAsia="Times New Roman" w:cs="Times New Roman"/>
          <w:color w:val="000000"/>
        </w:rPr>
        <w:t>Maximum Cumulative Capacity (</w:t>
      </w:r>
      <w:r w:rsidRPr="00965259" w:rsidR="00F13C5B">
        <w:rPr>
          <w:rFonts w:eastAsia="Times New Roman" w:cs="Times New Roman"/>
          <w:color w:val="000000"/>
        </w:rPr>
        <w:t>MCC</w:t>
      </w:r>
      <w:r w:rsidR="00CF1C68">
        <w:rPr>
          <w:rFonts w:eastAsia="Times New Roman" w:cs="Times New Roman"/>
          <w:color w:val="000000"/>
        </w:rPr>
        <w:t>)</w:t>
      </w:r>
      <w:r w:rsidRPr="00965259" w:rsidR="00F13C5B">
        <w:rPr>
          <w:rFonts w:eastAsia="Times New Roman" w:cs="Times New Roman"/>
          <w:color w:val="000000"/>
        </w:rPr>
        <w:t xml:space="preserve"> </w:t>
      </w:r>
      <w:r w:rsidR="00CF1C68">
        <w:rPr>
          <w:rFonts w:eastAsia="Times New Roman" w:cs="Times New Roman"/>
          <w:color w:val="000000"/>
        </w:rPr>
        <w:t>b</w:t>
      </w:r>
      <w:r w:rsidRPr="00965259" w:rsidR="00F13C5B">
        <w:rPr>
          <w:rFonts w:eastAsia="Times New Roman" w:cs="Times New Roman"/>
          <w:color w:val="000000"/>
        </w:rPr>
        <w:t xml:space="preserve">uckets and </w:t>
      </w:r>
      <w:r w:rsidR="00F13C5B">
        <w:rPr>
          <w:rFonts w:eastAsia="Times New Roman" w:cs="Times New Roman"/>
          <w:color w:val="000000"/>
        </w:rPr>
        <w:t>is intended</w:t>
      </w:r>
      <w:r w:rsidRPr="00965259" w:rsidR="00F13C5B">
        <w:rPr>
          <w:rFonts w:eastAsia="Times New Roman" w:cs="Times New Roman"/>
          <w:color w:val="000000"/>
        </w:rPr>
        <w:t xml:space="preserve"> </w:t>
      </w:r>
      <w:r w:rsidR="00391C23">
        <w:rPr>
          <w:rFonts w:eastAsia="Times New Roman" w:cs="Times New Roman"/>
          <w:color w:val="000000"/>
        </w:rPr>
        <w:t xml:space="preserve">to </w:t>
      </w:r>
      <w:r w:rsidRPr="00965259" w:rsidR="00F13C5B">
        <w:rPr>
          <w:rFonts w:eastAsia="Times New Roman" w:cs="Times New Roman"/>
          <w:color w:val="000000"/>
        </w:rPr>
        <w:t>support planning for the growing fleet of use-limited resources.</w:t>
      </w:r>
    </w:p>
    <w:p w:rsidR="00D852D8" w:rsidP="00DC418D" w:rsidRDefault="00965259" w14:paraId="60F16691" w14:textId="330A6297">
      <w:pPr>
        <w:textAlignment w:val="baseline"/>
        <w:rPr>
          <w:rFonts w:eastAsia="Times New Roman" w:cs="Times New Roman"/>
          <w:color w:val="000000"/>
        </w:rPr>
      </w:pPr>
      <w:r w:rsidRPr="00965259">
        <w:rPr>
          <w:rFonts w:eastAsia="Times New Roman" w:cs="Times New Roman"/>
          <w:color w:val="000000"/>
        </w:rPr>
        <w:t xml:space="preserve">The NQE concept would utilize the capacity and operating hours of a resource to define the possible energy output from the resource to meet energy needs.  NQE requirements would be the amount of energy necessary to meet </w:t>
      </w:r>
      <w:r w:rsidR="00A143C3">
        <w:rPr>
          <w:rFonts w:eastAsia="Times New Roman" w:cs="Times New Roman"/>
          <w:color w:val="000000"/>
        </w:rPr>
        <w:t>an LSE’s forecasted hourly net</w:t>
      </w:r>
      <w:r w:rsidRPr="00965259">
        <w:rPr>
          <w:rFonts w:eastAsia="Times New Roman" w:cs="Times New Roman"/>
          <w:color w:val="000000"/>
        </w:rPr>
        <w:t xml:space="preserve"> energy needs for each month</w:t>
      </w:r>
      <w:r w:rsidR="00F13C5B">
        <w:rPr>
          <w:rFonts w:eastAsia="Times New Roman" w:cs="Times New Roman"/>
          <w:color w:val="000000"/>
        </w:rPr>
        <w:t>.  The proposal envision</w:t>
      </w:r>
      <w:r w:rsidR="007655E9">
        <w:rPr>
          <w:rFonts w:eastAsia="Times New Roman" w:cs="Times New Roman"/>
          <w:color w:val="000000"/>
        </w:rPr>
        <w:t>s</w:t>
      </w:r>
      <w:r w:rsidR="00F13C5B">
        <w:rPr>
          <w:rFonts w:eastAsia="Times New Roman" w:cs="Times New Roman"/>
          <w:color w:val="000000"/>
        </w:rPr>
        <w:t xml:space="preserve"> </w:t>
      </w:r>
      <w:r w:rsidRPr="00965259" w:rsidR="00890CDE">
        <w:rPr>
          <w:rFonts w:eastAsia="Times New Roman" w:cs="Times New Roman"/>
          <w:color w:val="000000"/>
        </w:rPr>
        <w:t xml:space="preserve">a </w:t>
      </w:r>
      <w:r w:rsidR="00890CDE">
        <w:rPr>
          <w:rFonts w:eastAsia="Times New Roman" w:cs="Times New Roman"/>
          <w:color w:val="000000"/>
        </w:rPr>
        <w:t>“</w:t>
      </w:r>
      <w:r w:rsidRPr="00965259" w:rsidR="00890CDE">
        <w:rPr>
          <w:rFonts w:eastAsia="Times New Roman" w:cs="Times New Roman"/>
          <w:color w:val="000000"/>
        </w:rPr>
        <w:t>bottom-up</w:t>
      </w:r>
      <w:r w:rsidR="00890CDE">
        <w:rPr>
          <w:rFonts w:eastAsia="Times New Roman" w:cs="Times New Roman"/>
          <w:color w:val="000000"/>
        </w:rPr>
        <w:t>”</w:t>
      </w:r>
      <w:r w:rsidRPr="00965259" w:rsidR="00890CDE">
        <w:rPr>
          <w:rFonts w:eastAsia="Times New Roman" w:cs="Times New Roman"/>
          <w:color w:val="000000"/>
        </w:rPr>
        <w:t xml:space="preserve"> approach to establish individual LSE </w:t>
      </w:r>
      <w:r w:rsidR="00A143C3">
        <w:rPr>
          <w:rFonts w:eastAsia="Times New Roman" w:cs="Times New Roman"/>
          <w:color w:val="000000"/>
        </w:rPr>
        <w:t xml:space="preserve">hourly </w:t>
      </w:r>
      <w:r w:rsidRPr="00965259" w:rsidR="00890CDE">
        <w:rPr>
          <w:rFonts w:eastAsia="Times New Roman" w:cs="Times New Roman"/>
          <w:color w:val="000000"/>
        </w:rPr>
        <w:t>net load forecasts</w:t>
      </w:r>
      <w:r w:rsidR="00F13C5B">
        <w:rPr>
          <w:rFonts w:eastAsia="Times New Roman" w:cs="Times New Roman"/>
          <w:color w:val="000000"/>
        </w:rPr>
        <w:t xml:space="preserve">, which would </w:t>
      </w:r>
      <w:r w:rsidRPr="00965259" w:rsidR="00890CDE">
        <w:rPr>
          <w:rFonts w:eastAsia="Times New Roman" w:cs="Times New Roman"/>
          <w:color w:val="000000"/>
        </w:rPr>
        <w:t>establish an LSE</w:t>
      </w:r>
      <w:r w:rsidR="00031BCA">
        <w:rPr>
          <w:rFonts w:eastAsia="Times New Roman" w:cs="Times New Roman"/>
          <w:color w:val="000000"/>
        </w:rPr>
        <w:t>’</w:t>
      </w:r>
      <w:r w:rsidRPr="00965259" w:rsidR="00890CDE">
        <w:rPr>
          <w:rFonts w:eastAsia="Times New Roman" w:cs="Times New Roman"/>
          <w:color w:val="000000"/>
        </w:rPr>
        <w:t xml:space="preserve">s NQC and NQE requirements. </w:t>
      </w:r>
      <w:r w:rsidR="00F13C5B">
        <w:rPr>
          <w:rFonts w:eastAsia="Times New Roman" w:cs="Times New Roman"/>
          <w:color w:val="000000"/>
        </w:rPr>
        <w:t xml:space="preserve"> </w:t>
      </w:r>
      <w:r w:rsidR="00B5078D">
        <w:rPr>
          <w:rFonts w:eastAsia="Times New Roman" w:cs="Times New Roman"/>
          <w:color w:val="000000"/>
        </w:rPr>
        <w:t>SCE/</w:t>
      </w:r>
      <w:proofErr w:type="spellStart"/>
      <w:r w:rsidR="00B5078D">
        <w:rPr>
          <w:rFonts w:eastAsia="Times New Roman" w:cs="Times New Roman"/>
          <w:color w:val="000000"/>
        </w:rPr>
        <w:t>CalCCA</w:t>
      </w:r>
      <w:proofErr w:type="spellEnd"/>
      <w:r w:rsidRPr="00965259" w:rsidR="00890CDE">
        <w:rPr>
          <w:rFonts w:eastAsia="Times New Roman" w:cs="Times New Roman"/>
          <w:color w:val="000000"/>
        </w:rPr>
        <w:t xml:space="preserve"> state that the load forecasting process “would be applied to each LSE individually by creating an hourly load forecast by LSE for every hour of the compliance month. </w:t>
      </w:r>
      <w:r w:rsidR="00031BCA">
        <w:rPr>
          <w:rFonts w:eastAsia="Times New Roman" w:cs="Times New Roman"/>
          <w:color w:val="000000"/>
        </w:rPr>
        <w:t xml:space="preserve"> </w:t>
      </w:r>
      <w:r w:rsidRPr="00965259" w:rsidR="00890CDE">
        <w:rPr>
          <w:rFonts w:eastAsia="Times New Roman" w:cs="Times New Roman"/>
          <w:color w:val="000000"/>
        </w:rPr>
        <w:t>This load would then be reduced by anticipated wind and solar generation within the LSE’s portfolio.”</w:t>
      </w:r>
      <w:r w:rsidR="00072ED0">
        <w:rPr>
          <w:rStyle w:val="FootnoteReference"/>
          <w:rFonts w:eastAsia="Times New Roman" w:cs="Times New Roman"/>
          <w:color w:val="000000"/>
        </w:rPr>
        <w:footnoteReference w:id="8"/>
      </w:r>
      <w:r w:rsidRPr="00965259" w:rsidR="00890CDE">
        <w:rPr>
          <w:rFonts w:eastAsia="Times New Roman" w:cs="Times New Roman"/>
          <w:color w:val="000000"/>
        </w:rPr>
        <w:t xml:space="preserve"> </w:t>
      </w:r>
      <w:r w:rsidR="00031BCA">
        <w:rPr>
          <w:rFonts w:eastAsia="Times New Roman" w:cs="Times New Roman"/>
          <w:color w:val="000000"/>
        </w:rPr>
        <w:t xml:space="preserve"> </w:t>
      </w:r>
      <w:r w:rsidRPr="00965259" w:rsidR="00890CDE">
        <w:rPr>
          <w:rFonts w:eastAsia="Times New Roman" w:cs="Times New Roman"/>
          <w:color w:val="000000"/>
        </w:rPr>
        <w:t xml:space="preserve">The </w:t>
      </w:r>
      <w:r w:rsidR="00A143C3">
        <w:rPr>
          <w:rFonts w:eastAsia="Times New Roman" w:cs="Times New Roman"/>
          <w:color w:val="000000"/>
        </w:rPr>
        <w:t xml:space="preserve">anticipated wind and solar generation would be developed using solar and wind production </w:t>
      </w:r>
      <w:r w:rsidRPr="00965259" w:rsidR="00890CDE">
        <w:rPr>
          <w:rFonts w:eastAsia="Times New Roman" w:cs="Times New Roman"/>
          <w:color w:val="000000"/>
        </w:rPr>
        <w:t xml:space="preserve">profiles </w:t>
      </w:r>
      <w:r w:rsidR="00A143C3">
        <w:rPr>
          <w:rFonts w:eastAsia="Times New Roman" w:cs="Times New Roman"/>
          <w:color w:val="000000"/>
        </w:rPr>
        <w:t xml:space="preserve">that </w:t>
      </w:r>
      <w:r w:rsidRPr="00965259" w:rsidR="00890CDE">
        <w:rPr>
          <w:rFonts w:eastAsia="Times New Roman" w:cs="Times New Roman"/>
          <w:color w:val="000000"/>
        </w:rPr>
        <w:t xml:space="preserve">would be applied to </w:t>
      </w:r>
      <w:r w:rsidR="00D852D8">
        <w:rPr>
          <w:rFonts w:eastAsia="Times New Roman" w:cs="Times New Roman"/>
          <w:color w:val="000000"/>
        </w:rPr>
        <w:t>an</w:t>
      </w:r>
      <w:r w:rsidRPr="00965259" w:rsidR="00890CDE">
        <w:rPr>
          <w:rFonts w:eastAsia="Times New Roman" w:cs="Times New Roman"/>
          <w:color w:val="000000"/>
        </w:rPr>
        <w:t xml:space="preserve"> LSE</w:t>
      </w:r>
      <w:r w:rsidR="00963B75">
        <w:rPr>
          <w:rFonts w:eastAsia="Times New Roman" w:cs="Times New Roman"/>
          <w:color w:val="000000"/>
        </w:rPr>
        <w:t>’</w:t>
      </w:r>
      <w:r w:rsidRPr="00965259" w:rsidR="00890CDE">
        <w:rPr>
          <w:rFonts w:eastAsia="Times New Roman" w:cs="Times New Roman"/>
          <w:color w:val="000000"/>
        </w:rPr>
        <w:t xml:space="preserve">s contracted and planned wind and solar capacity to produce an expected energy output value for solar and wind.  </w:t>
      </w:r>
      <w:r w:rsidR="00D852D8">
        <w:rPr>
          <w:rFonts w:eastAsia="Times New Roman" w:cs="Times New Roman"/>
          <w:color w:val="000000"/>
        </w:rPr>
        <w:t>The</w:t>
      </w:r>
      <w:r w:rsidRPr="00031BCA" w:rsidR="00031BCA">
        <w:rPr>
          <w:rFonts w:eastAsia="Times New Roman" w:cs="Times New Roman"/>
          <w:color w:val="000000"/>
        </w:rPr>
        <w:t xml:space="preserve"> hourly expected output would be subtracted from the hourly managed load forecast.  </w:t>
      </w:r>
    </w:p>
    <w:p w:rsidRPr="00DC418D" w:rsidR="00031BCA" w:rsidP="00DC418D" w:rsidRDefault="00B5078D" w14:paraId="2C05F414" w14:textId="23D76860">
      <w:pPr>
        <w:textAlignment w:val="baseline"/>
        <w:rPr>
          <w:rFonts w:eastAsia="Times New Roman" w:cs="Segoe UI"/>
          <w:sz w:val="18"/>
          <w:szCs w:val="18"/>
        </w:rPr>
      </w:pPr>
      <w:r>
        <w:rPr>
          <w:rFonts w:eastAsia="Times New Roman" w:cs="Times New Roman"/>
          <w:color w:val="000000"/>
        </w:rPr>
        <w:lastRenderedPageBreak/>
        <w:t>SCE/</w:t>
      </w:r>
      <w:proofErr w:type="spellStart"/>
      <w:r>
        <w:rPr>
          <w:rFonts w:eastAsia="Times New Roman" w:cs="Times New Roman"/>
          <w:color w:val="000000"/>
        </w:rPr>
        <w:t>CalCCA</w:t>
      </w:r>
      <w:proofErr w:type="spellEnd"/>
      <w:r w:rsidRPr="00031BCA" w:rsidR="00031BCA">
        <w:rPr>
          <w:rFonts w:eastAsia="Times New Roman" w:cs="Times New Roman"/>
          <w:color w:val="000000"/>
        </w:rPr>
        <w:t xml:space="preserve"> next propose that the </w:t>
      </w:r>
      <w:r w:rsidR="00A143C3">
        <w:rPr>
          <w:rFonts w:eastAsia="Times New Roman" w:cs="Times New Roman"/>
          <w:color w:val="000000"/>
        </w:rPr>
        <w:t xml:space="preserve">LSE’s </w:t>
      </w:r>
      <w:r w:rsidRPr="00031BCA" w:rsidR="00031BCA">
        <w:rPr>
          <w:rFonts w:eastAsia="Times New Roman" w:cs="Times New Roman"/>
          <w:color w:val="000000"/>
        </w:rPr>
        <w:t xml:space="preserve">hourly net load forecast be ranked to form a net load duration curve: </w:t>
      </w:r>
    </w:p>
    <w:p w:rsidRPr="00EF5FC0" w:rsidR="00F101BF" w:rsidP="00EF5FC0" w:rsidRDefault="00031BCA" w14:paraId="79813CAA" w14:textId="7181323E">
      <w:pPr>
        <w:pStyle w:val="BlockQuote"/>
        <w:ind w:right="1440"/>
      </w:pPr>
      <w:r>
        <w:t>R</w:t>
      </w:r>
      <w:r w:rsidRPr="00031BCA">
        <w:t xml:space="preserve">ank ordering this curve would produce the net peak load as the highest value observed. </w:t>
      </w:r>
      <w:r>
        <w:t xml:space="preserve"> </w:t>
      </w:r>
      <w:r w:rsidRPr="00031BCA">
        <w:t xml:space="preserve">It would also indicate the overall amount and duration of energy needed above and beyond the renewable generation as well as the amount of energy available for storage charging. </w:t>
      </w:r>
      <w:r w:rsidR="0082122D">
        <w:t xml:space="preserve"> </w:t>
      </w:r>
      <w:r w:rsidRPr="00031BCA">
        <w:t>These values would then create the RA capacity need of the LSE that must be met by resources other than wind and solar resources.</w:t>
      </w:r>
      <w:r w:rsidR="00911414">
        <w:rPr>
          <w:rStyle w:val="FootnoteReference"/>
          <w:rFonts w:eastAsia="Times New Roman" w:cs="Times New Roman"/>
          <w:color w:val="000000"/>
        </w:rPr>
        <w:footnoteReference w:id="9"/>
      </w:r>
    </w:p>
    <w:p w:rsidRPr="00031BCA" w:rsidR="00965259" w:rsidP="00031BCA" w:rsidRDefault="00B5078D" w14:paraId="620D2B21" w14:textId="3CECDC40">
      <w:pPr>
        <w:textAlignment w:val="baseline"/>
        <w:rPr>
          <w:rFonts w:eastAsia="Times New Roman" w:cs="Segoe UI"/>
          <w:sz w:val="18"/>
          <w:szCs w:val="18"/>
        </w:rPr>
      </w:pPr>
      <w:r>
        <w:rPr>
          <w:rFonts w:eastAsia="Times New Roman" w:cs="Times New Roman"/>
          <w:color w:val="000000"/>
        </w:rPr>
        <w:t>SCE/</w:t>
      </w:r>
      <w:proofErr w:type="spellStart"/>
      <w:r>
        <w:rPr>
          <w:rFonts w:eastAsia="Times New Roman" w:cs="Times New Roman"/>
          <w:color w:val="000000"/>
        </w:rPr>
        <w:t>CalCCA</w:t>
      </w:r>
      <w:proofErr w:type="spellEnd"/>
      <w:r w:rsidR="00E83B4E">
        <w:rPr>
          <w:rFonts w:eastAsia="Times New Roman" w:cs="Times New Roman"/>
          <w:color w:val="000000"/>
        </w:rPr>
        <w:t xml:space="preserve"> </w:t>
      </w:r>
      <w:r w:rsidRPr="00965259" w:rsidR="00965259">
        <w:rPr>
          <w:rFonts w:eastAsia="Times New Roman" w:cs="Times New Roman"/>
          <w:color w:val="000000"/>
        </w:rPr>
        <w:t xml:space="preserve">propose that </w:t>
      </w:r>
      <w:r w:rsidR="00A143C3">
        <w:rPr>
          <w:rFonts w:eastAsia="Times New Roman" w:cs="Times New Roman"/>
          <w:color w:val="000000"/>
        </w:rPr>
        <w:t xml:space="preserve">the highest load hour from the net load duration curve be used to set the LSE’s monthly NQC requirement.  This would move the existing monthly </w:t>
      </w:r>
      <w:r w:rsidRPr="00965259" w:rsidR="00965259">
        <w:rPr>
          <w:rFonts w:eastAsia="Times New Roman" w:cs="Times New Roman"/>
          <w:color w:val="000000"/>
        </w:rPr>
        <w:t xml:space="preserve">peak requirement </w:t>
      </w:r>
      <w:r w:rsidR="00A143C3">
        <w:rPr>
          <w:rFonts w:eastAsia="Times New Roman" w:cs="Times New Roman"/>
          <w:color w:val="000000"/>
        </w:rPr>
        <w:t xml:space="preserve">from a gross peak to a net peak requirement.  The hourly net load duration curve would also be used to calculate the NQE requirement.  </w:t>
      </w:r>
      <w:r w:rsidRPr="00965259" w:rsidR="00965259">
        <w:rPr>
          <w:rFonts w:eastAsia="Times New Roman" w:cs="Times New Roman"/>
          <w:color w:val="000000"/>
        </w:rPr>
        <w:t>Basing NQC and NQE requirements off the net load would convert all deliverable variable</w:t>
      </w:r>
      <w:r w:rsidR="006F1349">
        <w:rPr>
          <w:rFonts w:eastAsia="Times New Roman" w:cs="Times New Roman"/>
          <w:color w:val="000000"/>
        </w:rPr>
        <w:t xml:space="preserve"> </w:t>
      </w:r>
      <w:r w:rsidRPr="00965259" w:rsidR="00965259">
        <w:rPr>
          <w:rFonts w:eastAsia="Times New Roman" w:cs="Times New Roman"/>
          <w:color w:val="000000"/>
        </w:rPr>
        <w:t>energy</w:t>
      </w:r>
      <w:r w:rsidR="006F1349">
        <w:rPr>
          <w:rFonts w:eastAsia="Times New Roman" w:cs="Times New Roman"/>
          <w:color w:val="000000"/>
        </w:rPr>
        <w:t xml:space="preserve"> </w:t>
      </w:r>
      <w:r w:rsidRPr="00965259" w:rsidR="00965259">
        <w:rPr>
          <w:rFonts w:eastAsia="Times New Roman" w:cs="Times New Roman"/>
          <w:color w:val="000000"/>
        </w:rPr>
        <w:t xml:space="preserve">resources (VER) to RA-reducing assets, eliminating the need to calculate </w:t>
      </w:r>
      <w:r w:rsidR="0079008E">
        <w:rPr>
          <w:rFonts w:eastAsia="Times New Roman" w:cs="Times New Roman"/>
          <w:color w:val="000000"/>
        </w:rPr>
        <w:t xml:space="preserve">effective load carrying </w:t>
      </w:r>
      <w:r w:rsidR="00CF1142">
        <w:rPr>
          <w:rFonts w:eastAsia="Times New Roman" w:cs="Times New Roman"/>
          <w:color w:val="000000"/>
        </w:rPr>
        <w:t>capability</w:t>
      </w:r>
      <w:r w:rsidR="0079008E">
        <w:rPr>
          <w:rFonts w:eastAsia="Times New Roman" w:cs="Times New Roman"/>
          <w:color w:val="000000"/>
        </w:rPr>
        <w:t xml:space="preserve"> (</w:t>
      </w:r>
      <w:r w:rsidRPr="00965259" w:rsidR="00965259">
        <w:rPr>
          <w:rFonts w:eastAsia="Times New Roman" w:cs="Times New Roman"/>
          <w:color w:val="000000"/>
        </w:rPr>
        <w:t>ELCC</w:t>
      </w:r>
      <w:r w:rsidR="0079008E">
        <w:rPr>
          <w:rFonts w:eastAsia="Times New Roman" w:cs="Times New Roman"/>
          <w:color w:val="000000"/>
        </w:rPr>
        <w:t>)</w:t>
      </w:r>
      <w:r w:rsidRPr="00965259" w:rsidR="00965259">
        <w:rPr>
          <w:rFonts w:eastAsia="Times New Roman" w:cs="Times New Roman"/>
          <w:color w:val="000000"/>
        </w:rPr>
        <w:t xml:space="preserve"> values. </w:t>
      </w:r>
      <w:r w:rsidR="00890CDE">
        <w:rPr>
          <w:rFonts w:eastAsia="Times New Roman" w:cs="Times New Roman"/>
          <w:color w:val="000000"/>
        </w:rPr>
        <w:t xml:space="preserve"> </w:t>
      </w:r>
    </w:p>
    <w:p w:rsidR="00965259" w:rsidP="00031BCA" w:rsidRDefault="00CF1142" w14:paraId="610E7F57" w14:textId="344118C1">
      <w:pPr>
        <w:autoSpaceDE w:val="0"/>
        <w:autoSpaceDN w:val="0"/>
        <w:adjustRightInd w:val="0"/>
        <w:rPr>
          <w:rFonts w:eastAsia="Times New Roman" w:cs="Times New Roman"/>
          <w:color w:val="000000"/>
        </w:rPr>
      </w:pPr>
      <w:r>
        <w:rPr>
          <w:rFonts w:eastAsia="Times New Roman" w:cs="Times New Roman"/>
          <w:color w:val="000000"/>
        </w:rPr>
        <w:t>To count</w:t>
      </w:r>
      <w:r w:rsidRPr="00031BCA" w:rsidR="00965259">
        <w:rPr>
          <w:rFonts w:eastAsia="Times New Roman" w:cs="Times New Roman"/>
          <w:color w:val="000000"/>
        </w:rPr>
        <w:t xml:space="preserve"> how much NQE resources can provide, </w:t>
      </w:r>
      <w:r w:rsidR="00031BCA">
        <w:rPr>
          <w:rFonts w:eastAsia="Times New Roman" w:cs="Times New Roman"/>
          <w:color w:val="000000"/>
        </w:rPr>
        <w:t xml:space="preserve">the proposal </w:t>
      </w:r>
      <w:r w:rsidRPr="00031BCA" w:rsidR="00965259">
        <w:rPr>
          <w:rFonts w:eastAsia="Times New Roman" w:cs="Times New Roman"/>
          <w:color w:val="000000"/>
        </w:rPr>
        <w:t>state</w:t>
      </w:r>
      <w:r w:rsidR="00031BCA">
        <w:rPr>
          <w:rFonts w:eastAsia="Times New Roman" w:cs="Times New Roman"/>
          <w:color w:val="000000"/>
        </w:rPr>
        <w:t>s</w:t>
      </w:r>
      <w:r w:rsidRPr="00031BCA" w:rsidR="00965259">
        <w:rPr>
          <w:rFonts w:eastAsia="Times New Roman" w:cs="Times New Roman"/>
          <w:color w:val="000000"/>
        </w:rPr>
        <w:t xml:space="preserve"> that “</w:t>
      </w:r>
      <w:r w:rsidR="00031BCA">
        <w:rPr>
          <w:rFonts w:eastAsia="Times New Roman" w:cs="Times New Roman"/>
          <w:color w:val="000000"/>
        </w:rPr>
        <w:t>[t]</w:t>
      </w:r>
      <w:r w:rsidRPr="00031BCA" w:rsidR="00965259">
        <w:rPr>
          <w:rFonts w:eastAsia="Times New Roman" w:cs="Times New Roman"/>
          <w:color w:val="000000"/>
        </w:rPr>
        <w:t>he specifics of NQE development for each resource is a detail that will require working groups or workshops to determine the correct methodology and measurement for each resource for each month.”</w:t>
      </w:r>
      <w:r w:rsidR="006F1349">
        <w:rPr>
          <w:rStyle w:val="FootnoteReference"/>
          <w:rFonts w:eastAsia="Times New Roman" w:cs="Times New Roman"/>
          <w:color w:val="000000"/>
        </w:rPr>
        <w:footnoteReference w:id="10"/>
      </w:r>
      <w:r w:rsidRPr="00031BCA" w:rsidR="00965259">
        <w:rPr>
          <w:rFonts w:eastAsia="Times New Roman" w:cs="Times New Roman"/>
          <w:color w:val="000000"/>
        </w:rPr>
        <w:t xml:space="preserve"> </w:t>
      </w:r>
      <w:r w:rsidR="006F1349">
        <w:rPr>
          <w:rFonts w:eastAsia="Times New Roman" w:cs="Times New Roman"/>
          <w:color w:val="000000"/>
        </w:rPr>
        <w:t xml:space="preserve"> </w:t>
      </w:r>
      <w:r w:rsidR="00181F6A">
        <w:rPr>
          <w:rFonts w:eastAsia="Times New Roman" w:cs="Times New Roman"/>
          <w:color w:val="000000"/>
        </w:rPr>
        <w:t>To count</w:t>
      </w:r>
      <w:r w:rsidRPr="00031BCA" w:rsidR="00965259">
        <w:rPr>
          <w:rFonts w:eastAsia="Times New Roman" w:cs="Times New Roman"/>
          <w:color w:val="000000"/>
        </w:rPr>
        <w:t xml:space="preserve"> NQC</w:t>
      </w:r>
      <w:r w:rsidR="00031BCA">
        <w:rPr>
          <w:rFonts w:eastAsia="Times New Roman" w:cs="Times New Roman"/>
          <w:color w:val="000000"/>
        </w:rPr>
        <w:t>,</w:t>
      </w:r>
      <w:r w:rsidRPr="00031BCA" w:rsidR="00965259">
        <w:rPr>
          <w:rFonts w:eastAsia="Times New Roman" w:cs="Times New Roman"/>
          <w:color w:val="000000"/>
        </w:rPr>
        <w:t xml:space="preserve"> </w:t>
      </w:r>
      <w:r w:rsidR="00031BCA">
        <w:rPr>
          <w:rFonts w:eastAsia="Times New Roman" w:cs="Times New Roman"/>
          <w:color w:val="000000"/>
        </w:rPr>
        <w:t>the</w:t>
      </w:r>
      <w:r w:rsidRPr="00031BCA" w:rsidR="00965259">
        <w:rPr>
          <w:rFonts w:eastAsia="Times New Roman" w:cs="Times New Roman"/>
          <w:color w:val="000000"/>
        </w:rPr>
        <w:t xml:space="preserve"> propos</w:t>
      </w:r>
      <w:r w:rsidR="00031BCA">
        <w:rPr>
          <w:rFonts w:eastAsia="Times New Roman" w:cs="Times New Roman"/>
          <w:color w:val="000000"/>
        </w:rPr>
        <w:t xml:space="preserve">al </w:t>
      </w:r>
      <w:r w:rsidR="00837178">
        <w:rPr>
          <w:rFonts w:eastAsia="Times New Roman" w:cs="Times New Roman"/>
          <w:color w:val="000000"/>
        </w:rPr>
        <w:t>states</w:t>
      </w:r>
      <w:r w:rsidRPr="00031BCA" w:rsidR="00965259">
        <w:rPr>
          <w:rFonts w:eastAsia="Times New Roman" w:cs="Times New Roman"/>
          <w:color w:val="000000"/>
        </w:rPr>
        <w:t xml:space="preserve"> that the current NQC counting </w:t>
      </w:r>
      <w:r w:rsidR="00837178">
        <w:rPr>
          <w:rFonts w:eastAsia="Times New Roman" w:cs="Times New Roman"/>
          <w:color w:val="000000"/>
        </w:rPr>
        <w:t>method</w:t>
      </w:r>
      <w:r w:rsidR="006509ED">
        <w:rPr>
          <w:rFonts w:eastAsia="Times New Roman" w:cs="Times New Roman"/>
          <w:color w:val="000000"/>
        </w:rPr>
        <w:t>s</w:t>
      </w:r>
      <w:r w:rsidRPr="00031BCA" w:rsidR="00965259">
        <w:rPr>
          <w:rFonts w:eastAsia="Times New Roman" w:cs="Times New Roman"/>
          <w:color w:val="000000"/>
        </w:rPr>
        <w:t xml:space="preserve"> </w:t>
      </w:r>
      <w:r w:rsidR="009C587D">
        <w:rPr>
          <w:rFonts w:eastAsia="Times New Roman" w:cs="Times New Roman"/>
          <w:color w:val="000000"/>
        </w:rPr>
        <w:t xml:space="preserve">will </w:t>
      </w:r>
      <w:r w:rsidRPr="00031BCA" w:rsidR="00965259">
        <w:rPr>
          <w:rFonts w:eastAsia="Times New Roman" w:cs="Times New Roman"/>
          <w:color w:val="000000"/>
        </w:rPr>
        <w:t xml:space="preserve">continue for all resources except solar and wind, which will be accounted for in the development of the net load forecasts.  </w:t>
      </w:r>
    </w:p>
    <w:p w:rsidR="00E85840" w:rsidP="00CF6631" w:rsidRDefault="00E85840" w14:paraId="7FF1A947" w14:textId="5C308A22">
      <w:pPr>
        <w:autoSpaceDE w:val="0"/>
        <w:autoSpaceDN w:val="0"/>
        <w:adjustRightInd w:val="0"/>
        <w:rPr>
          <w:rFonts w:eastAsia="Times New Roman" w:cs="Times New Roman"/>
          <w:color w:val="000000"/>
        </w:rPr>
      </w:pPr>
      <w:r>
        <w:rPr>
          <w:rFonts w:eastAsia="Times New Roman" w:cs="Times New Roman"/>
          <w:color w:val="000000"/>
        </w:rPr>
        <w:lastRenderedPageBreak/>
        <w:t>As for energy storage charging, SCE/</w:t>
      </w:r>
      <w:proofErr w:type="spellStart"/>
      <w:r>
        <w:rPr>
          <w:rFonts w:eastAsia="Times New Roman" w:cs="Times New Roman"/>
          <w:color w:val="000000"/>
        </w:rPr>
        <w:t>CalCCA</w:t>
      </w:r>
      <w:proofErr w:type="spellEnd"/>
      <w:r>
        <w:rPr>
          <w:rFonts w:eastAsia="Times New Roman" w:cs="Times New Roman"/>
          <w:color w:val="000000"/>
        </w:rPr>
        <w:t xml:space="preserve"> </w:t>
      </w:r>
      <w:r w:rsidRPr="00965259">
        <w:rPr>
          <w:rFonts w:eastAsia="Times New Roman" w:cs="Times New Roman"/>
          <w:color w:val="000000"/>
        </w:rPr>
        <w:t xml:space="preserve">propose </w:t>
      </w:r>
      <w:r>
        <w:rPr>
          <w:rFonts w:eastAsia="Times New Roman" w:cs="Times New Roman"/>
          <w:color w:val="000000"/>
        </w:rPr>
        <w:t xml:space="preserve">that an LSE showing </w:t>
      </w:r>
      <w:r w:rsidRPr="00154361">
        <w:rPr>
          <w:rFonts w:eastAsia="Times New Roman" w:cs="Times New Roman"/>
          <w:color w:val="000000"/>
        </w:rPr>
        <w:t>energy storage</w:t>
      </w:r>
      <w:r>
        <w:rPr>
          <w:rFonts w:eastAsia="Times New Roman" w:cs="Times New Roman"/>
          <w:color w:val="000000"/>
        </w:rPr>
        <w:t xml:space="preserve"> </w:t>
      </w:r>
      <w:r w:rsidRPr="00154361">
        <w:rPr>
          <w:rFonts w:eastAsia="Times New Roman" w:cs="Times New Roman"/>
          <w:color w:val="000000"/>
        </w:rPr>
        <w:t xml:space="preserve">to meet </w:t>
      </w:r>
      <w:r>
        <w:rPr>
          <w:rFonts w:eastAsia="Times New Roman" w:cs="Times New Roman"/>
          <w:color w:val="000000"/>
        </w:rPr>
        <w:t>its NQC requirement</w:t>
      </w:r>
      <w:r w:rsidR="00CF6631">
        <w:rPr>
          <w:rFonts w:eastAsia="Times New Roman" w:cs="Times New Roman"/>
          <w:color w:val="000000"/>
        </w:rPr>
        <w:t>s</w:t>
      </w:r>
      <w:r>
        <w:rPr>
          <w:rFonts w:eastAsia="Times New Roman" w:cs="Times New Roman"/>
          <w:color w:val="000000"/>
        </w:rPr>
        <w:t xml:space="preserve"> must show </w:t>
      </w:r>
      <w:r w:rsidRPr="00D01773">
        <w:rPr>
          <w:rFonts w:eastAsia="Times New Roman" w:cs="Times New Roman"/>
          <w:color w:val="000000"/>
        </w:rPr>
        <w:t>it</w:t>
      </w:r>
      <w:r>
        <w:rPr>
          <w:rFonts w:eastAsia="Times New Roman" w:cs="Times New Roman"/>
          <w:color w:val="000000"/>
        </w:rPr>
        <w:t xml:space="preserve"> has sufficient energy to meet both load and storage charging needs.  If an LSE </w:t>
      </w:r>
      <w:r w:rsidR="00F94757">
        <w:rPr>
          <w:rFonts w:eastAsia="Times New Roman" w:cs="Times New Roman"/>
          <w:color w:val="000000"/>
        </w:rPr>
        <w:t>uses</w:t>
      </w:r>
      <w:r>
        <w:rPr>
          <w:rFonts w:eastAsia="Times New Roman" w:cs="Times New Roman"/>
          <w:color w:val="000000"/>
        </w:rPr>
        <w:t xml:space="preserve"> </w:t>
      </w:r>
      <w:r w:rsidRPr="00154361">
        <w:rPr>
          <w:rFonts w:eastAsia="Times New Roman" w:cs="Times New Roman"/>
          <w:color w:val="000000"/>
        </w:rPr>
        <w:t xml:space="preserve">energy storage to </w:t>
      </w:r>
      <w:r>
        <w:rPr>
          <w:rFonts w:eastAsia="Times New Roman" w:cs="Times New Roman"/>
          <w:color w:val="000000"/>
        </w:rPr>
        <w:t>meet its NQE</w:t>
      </w:r>
      <w:r w:rsidR="00CF6631">
        <w:rPr>
          <w:rFonts w:eastAsia="Times New Roman" w:cs="Times New Roman"/>
          <w:color w:val="000000"/>
        </w:rPr>
        <w:t xml:space="preserve"> requirement</w:t>
      </w:r>
      <w:r w:rsidR="00F94757">
        <w:rPr>
          <w:rFonts w:eastAsia="Times New Roman" w:cs="Times New Roman"/>
          <w:color w:val="000000"/>
        </w:rPr>
        <w:t>s</w:t>
      </w:r>
      <w:r w:rsidR="00CF6631">
        <w:rPr>
          <w:rFonts w:eastAsia="Times New Roman" w:cs="Times New Roman"/>
          <w:color w:val="000000"/>
        </w:rPr>
        <w:t>,</w:t>
      </w:r>
      <w:r>
        <w:rPr>
          <w:rFonts w:eastAsia="Times New Roman" w:cs="Times New Roman"/>
          <w:color w:val="000000"/>
        </w:rPr>
        <w:t xml:space="preserve"> the LSE </w:t>
      </w:r>
      <w:r w:rsidR="00CF6631">
        <w:rPr>
          <w:rFonts w:eastAsia="Times New Roman" w:cs="Times New Roman"/>
          <w:color w:val="000000"/>
        </w:rPr>
        <w:t>must</w:t>
      </w:r>
      <w:r>
        <w:rPr>
          <w:rFonts w:eastAsia="Times New Roman" w:cs="Times New Roman"/>
          <w:color w:val="000000"/>
        </w:rPr>
        <w:t xml:space="preserve"> also show it has enough excess energy available to charge the storage resource (including efficiency losses) </w:t>
      </w:r>
      <w:r w:rsidRPr="00154361">
        <w:rPr>
          <w:rFonts w:eastAsia="Times New Roman" w:cs="Times New Roman"/>
          <w:color w:val="000000"/>
        </w:rPr>
        <w:t xml:space="preserve">after serving </w:t>
      </w:r>
      <w:r w:rsidR="00CF6631">
        <w:rPr>
          <w:rFonts w:eastAsia="Times New Roman" w:cs="Times New Roman"/>
          <w:color w:val="000000"/>
        </w:rPr>
        <w:t>its</w:t>
      </w:r>
      <w:r>
        <w:rPr>
          <w:rFonts w:eastAsia="Times New Roman" w:cs="Times New Roman"/>
          <w:color w:val="000000"/>
        </w:rPr>
        <w:t xml:space="preserve"> </w:t>
      </w:r>
      <w:r w:rsidRPr="00154361">
        <w:rPr>
          <w:rFonts w:eastAsia="Times New Roman" w:cs="Times New Roman"/>
          <w:color w:val="000000"/>
        </w:rPr>
        <w:t>instantaneous load.</w:t>
      </w:r>
      <w:r w:rsidRPr="00FC6479">
        <w:rPr>
          <w:rFonts w:ascii="TimesNewRomanPSMT" w:hAnsi="TimesNewRomanPSMT" w:cs="TimesNewRomanPSMT"/>
          <w:sz w:val="24"/>
          <w:szCs w:val="24"/>
        </w:rPr>
        <w:t xml:space="preserve"> </w:t>
      </w:r>
      <w:r w:rsidR="00CF6631">
        <w:rPr>
          <w:rFonts w:ascii="TimesNewRomanPSMT" w:hAnsi="TimesNewRomanPSMT" w:cs="TimesNewRomanPSMT"/>
          <w:sz w:val="24"/>
          <w:szCs w:val="24"/>
        </w:rPr>
        <w:t xml:space="preserve"> </w:t>
      </w:r>
      <w:r>
        <w:rPr>
          <w:rFonts w:eastAsia="Times New Roman" w:cs="Times New Roman"/>
          <w:color w:val="000000"/>
        </w:rPr>
        <w:t>E</w:t>
      </w:r>
      <w:r w:rsidRPr="00FC6479">
        <w:rPr>
          <w:rFonts w:eastAsia="Times New Roman" w:cs="Times New Roman"/>
          <w:color w:val="000000"/>
        </w:rPr>
        <w:t xml:space="preserve">xcess energy </w:t>
      </w:r>
      <w:r w:rsidR="00CF6631">
        <w:rPr>
          <w:rFonts w:eastAsia="Times New Roman" w:cs="Times New Roman"/>
          <w:color w:val="000000"/>
        </w:rPr>
        <w:t>may</w:t>
      </w:r>
      <w:r>
        <w:rPr>
          <w:rFonts w:eastAsia="Times New Roman" w:cs="Times New Roman"/>
          <w:color w:val="000000"/>
        </w:rPr>
        <w:t xml:space="preserve"> come from oversupply conditions of solar and wind in an LSE</w:t>
      </w:r>
      <w:r w:rsidR="00CF6631">
        <w:rPr>
          <w:rFonts w:eastAsia="Times New Roman" w:cs="Times New Roman"/>
          <w:color w:val="000000"/>
        </w:rPr>
        <w:t>’</w:t>
      </w:r>
      <w:r>
        <w:rPr>
          <w:rFonts w:eastAsia="Times New Roman" w:cs="Times New Roman"/>
          <w:color w:val="000000"/>
        </w:rPr>
        <w:t xml:space="preserve">s portfolio or from the energy output of resources that </w:t>
      </w:r>
      <w:r w:rsidRPr="00FC6479">
        <w:rPr>
          <w:rFonts w:eastAsia="Times New Roman" w:cs="Times New Roman"/>
          <w:color w:val="000000"/>
        </w:rPr>
        <w:t>can</w:t>
      </w:r>
      <w:r>
        <w:rPr>
          <w:rFonts w:eastAsia="Times New Roman" w:cs="Times New Roman"/>
          <w:color w:val="000000"/>
        </w:rPr>
        <w:t xml:space="preserve"> </w:t>
      </w:r>
      <w:r w:rsidRPr="00FC6479">
        <w:rPr>
          <w:rFonts w:eastAsia="Times New Roman" w:cs="Times New Roman"/>
          <w:color w:val="000000"/>
        </w:rPr>
        <w:t xml:space="preserve">produce in more hours or more energy at times than are needed to serve the LSE’s load. </w:t>
      </w:r>
    </w:p>
    <w:p w:rsidR="00D2405D" w:rsidP="00D2405D" w:rsidRDefault="00B5078D" w14:paraId="75086BE6" w14:textId="0CE7895B">
      <w:pPr>
        <w:autoSpaceDE w:val="0"/>
        <w:autoSpaceDN w:val="0"/>
        <w:adjustRightInd w:val="0"/>
        <w:rPr>
          <w:rFonts w:eastAsia="Times New Roman" w:cs="Times New Roman"/>
          <w:color w:val="000000"/>
        </w:rPr>
      </w:pPr>
      <w:r>
        <w:rPr>
          <w:rFonts w:cs="TimesNewRomanPSMT"/>
        </w:rPr>
        <w:t>SCE/</w:t>
      </w:r>
      <w:proofErr w:type="spellStart"/>
      <w:r>
        <w:rPr>
          <w:rFonts w:cs="TimesNewRomanPSMT"/>
        </w:rPr>
        <w:t>CalCCA</w:t>
      </w:r>
      <w:proofErr w:type="spellEnd"/>
      <w:r w:rsidRPr="00031BCA" w:rsidR="00965259">
        <w:rPr>
          <w:rFonts w:cs="TimesNewRomanPSMT"/>
        </w:rPr>
        <w:t xml:space="preserve"> acknowledge that </w:t>
      </w:r>
      <w:r w:rsidR="00C733EC">
        <w:rPr>
          <w:rFonts w:cs="TimesNewRomanPSMT"/>
        </w:rPr>
        <w:t>using</w:t>
      </w:r>
      <w:r w:rsidRPr="00031BCA" w:rsidR="00965259">
        <w:rPr>
          <w:rFonts w:cs="TimesNewRomanPSMT"/>
        </w:rPr>
        <w:t xml:space="preserve"> </w:t>
      </w:r>
      <w:r w:rsidR="00E352D5">
        <w:rPr>
          <w:rFonts w:cs="TimesNewRomanPSMT"/>
        </w:rPr>
        <w:t>a</w:t>
      </w:r>
      <w:r w:rsidRPr="00031BCA" w:rsidR="00965259">
        <w:rPr>
          <w:rFonts w:cs="TimesNewRomanPSMT"/>
        </w:rPr>
        <w:t xml:space="preserve"> </w:t>
      </w:r>
      <w:r w:rsidR="00CF6631">
        <w:rPr>
          <w:rFonts w:cs="TimesNewRomanPSMT"/>
        </w:rPr>
        <w:t xml:space="preserve">monthly </w:t>
      </w:r>
      <w:r w:rsidRPr="00031BCA" w:rsidR="00965259">
        <w:rPr>
          <w:rFonts w:cs="TimesNewRomanPSMT"/>
        </w:rPr>
        <w:t xml:space="preserve">net load duration curve and </w:t>
      </w:r>
      <w:r w:rsidR="00CF6631">
        <w:rPr>
          <w:rFonts w:cs="TimesNewRomanPSMT"/>
        </w:rPr>
        <w:t xml:space="preserve">monthly </w:t>
      </w:r>
      <w:r w:rsidRPr="00031BCA" w:rsidR="00965259">
        <w:rPr>
          <w:rFonts w:cs="TimesNewRomanPSMT"/>
        </w:rPr>
        <w:t xml:space="preserve">energy output </w:t>
      </w:r>
      <w:r w:rsidR="0057318A">
        <w:rPr>
          <w:rFonts w:cs="TimesNewRomanPSMT"/>
        </w:rPr>
        <w:t xml:space="preserve">does not account for </w:t>
      </w:r>
      <w:r w:rsidR="000D13B3">
        <w:rPr>
          <w:rFonts w:cs="TimesNewRomanPSMT"/>
        </w:rPr>
        <w:t>the specific hour in which the hour is needed</w:t>
      </w:r>
      <w:r w:rsidRPr="00031BCA" w:rsidR="00965259">
        <w:rPr>
          <w:rFonts w:cs="TimesNewRomanPSMT"/>
        </w:rPr>
        <w:t xml:space="preserve">. </w:t>
      </w:r>
      <w:r w:rsidR="00031BCA">
        <w:rPr>
          <w:rFonts w:cs="TimesNewRomanPSMT"/>
        </w:rPr>
        <w:t xml:space="preserve"> </w:t>
      </w:r>
      <w:r>
        <w:rPr>
          <w:rFonts w:cs="TimesNewRomanPSMT"/>
        </w:rPr>
        <w:t>SCE/</w:t>
      </w:r>
      <w:proofErr w:type="spellStart"/>
      <w:r>
        <w:rPr>
          <w:rFonts w:cs="TimesNewRomanPSMT"/>
        </w:rPr>
        <w:t>CalCCA</w:t>
      </w:r>
      <w:proofErr w:type="spellEnd"/>
      <w:r w:rsidRPr="00031BCA" w:rsidR="00965259">
        <w:rPr>
          <w:rFonts w:cs="TimesNewRomanPSMT"/>
        </w:rPr>
        <w:t xml:space="preserve"> describe </w:t>
      </w:r>
      <w:r w:rsidR="00443A05">
        <w:rPr>
          <w:rFonts w:cs="TimesNewRomanPSMT"/>
        </w:rPr>
        <w:t>this issue</w:t>
      </w:r>
      <w:r w:rsidR="00E04152">
        <w:rPr>
          <w:rFonts w:cs="TimesNewRomanPSMT"/>
        </w:rPr>
        <w:t xml:space="preserve"> </w:t>
      </w:r>
      <w:r w:rsidRPr="00031BCA" w:rsidR="00965259">
        <w:rPr>
          <w:rFonts w:cs="TimesNewRomanPSMT"/>
        </w:rPr>
        <w:t>as</w:t>
      </w:r>
      <w:r w:rsidR="00E04152">
        <w:rPr>
          <w:rFonts w:cs="TimesNewRomanPSMT"/>
        </w:rPr>
        <w:t xml:space="preserve"> follows:</w:t>
      </w:r>
      <w:r w:rsidRPr="00031BCA" w:rsidR="00965259">
        <w:rPr>
          <w:rFonts w:cs="TimesNewRomanPSMT"/>
        </w:rPr>
        <w:t xml:space="preserve"> “the use of a net load duration curve does not directly account for the specific hour in which the energy is needed while a Net Qualifying Energy (“NQE”) structure likewise does not address specific hours.”</w:t>
      </w:r>
      <w:r w:rsidR="00D56BF3">
        <w:rPr>
          <w:rStyle w:val="FootnoteReference"/>
        </w:rPr>
        <w:footnoteReference w:id="11"/>
      </w:r>
      <w:r w:rsidRPr="00031BCA" w:rsidR="00965259">
        <w:rPr>
          <w:rFonts w:cs="TimesNewRomanPSMT"/>
        </w:rPr>
        <w:t xml:space="preserve">  </w:t>
      </w:r>
      <w:r>
        <w:rPr>
          <w:rFonts w:cs="TimesNewRomanPSMT"/>
        </w:rPr>
        <w:t>SCE/</w:t>
      </w:r>
      <w:proofErr w:type="spellStart"/>
      <w:r>
        <w:rPr>
          <w:rFonts w:cs="TimesNewRomanPSMT"/>
        </w:rPr>
        <w:t>CalCCA</w:t>
      </w:r>
      <w:proofErr w:type="spellEnd"/>
      <w:r w:rsidRPr="00031BCA" w:rsidR="00965259">
        <w:rPr>
          <w:rFonts w:cs="TimesNewRomanPSMT"/>
        </w:rPr>
        <w:t xml:space="preserve"> recommend that </w:t>
      </w:r>
      <w:r w:rsidR="002C448E">
        <w:rPr>
          <w:rFonts w:cs="TimesNewRomanPSMT"/>
        </w:rPr>
        <w:t>th</w:t>
      </w:r>
      <w:r w:rsidR="00F94757">
        <w:rPr>
          <w:rFonts w:cs="TimesNewRomanPSMT"/>
        </w:rPr>
        <w:t>is</w:t>
      </w:r>
      <w:r w:rsidR="00035371">
        <w:rPr>
          <w:rFonts w:cs="TimesNewRomanPSMT"/>
        </w:rPr>
        <w:t xml:space="preserve"> </w:t>
      </w:r>
      <w:r w:rsidR="00F94757">
        <w:rPr>
          <w:rFonts w:cs="TimesNewRomanPSMT"/>
        </w:rPr>
        <w:t>“</w:t>
      </w:r>
      <w:r w:rsidR="00035371">
        <w:rPr>
          <w:rFonts w:cs="TimesNewRomanPSMT"/>
        </w:rPr>
        <w:t>temporal concern</w:t>
      </w:r>
      <w:r w:rsidR="00F94757">
        <w:rPr>
          <w:rFonts w:cs="TimesNewRomanPSMT"/>
        </w:rPr>
        <w:t>”</w:t>
      </w:r>
      <w:r w:rsidR="00035371">
        <w:rPr>
          <w:rFonts w:cs="TimesNewRomanPSMT"/>
        </w:rPr>
        <w:t xml:space="preserve"> </w:t>
      </w:r>
      <w:r w:rsidRPr="00031BCA" w:rsidR="00965259">
        <w:rPr>
          <w:rFonts w:cs="TimesNewRomanPSMT"/>
        </w:rPr>
        <w:t xml:space="preserve">be </w:t>
      </w:r>
      <w:r w:rsidR="007A7D88">
        <w:rPr>
          <w:rFonts w:cs="TimesNewRomanPSMT"/>
        </w:rPr>
        <w:t>addressed</w:t>
      </w:r>
      <w:r w:rsidRPr="00031BCA" w:rsidR="00965259">
        <w:rPr>
          <w:rFonts w:cs="TimesNewRomanPSMT"/>
        </w:rPr>
        <w:t xml:space="preserve"> in workshops to determine the magnitude of the issue (</w:t>
      </w:r>
      <w:r w:rsidRPr="00DB2886" w:rsidR="00DB2886">
        <w:rPr>
          <w:rFonts w:cs="TimesNewRomanPSMT"/>
          <w:i/>
          <w:iCs/>
        </w:rPr>
        <w:t>i.e.</w:t>
      </w:r>
      <w:r w:rsidR="007A7D88">
        <w:rPr>
          <w:rFonts w:cs="TimesNewRomanPSMT"/>
        </w:rPr>
        <w:t>,</w:t>
      </w:r>
      <w:r w:rsidR="00031BCA">
        <w:rPr>
          <w:rFonts w:cs="TimesNewRomanPSMT"/>
        </w:rPr>
        <w:t xml:space="preserve"> </w:t>
      </w:r>
      <w:r w:rsidRPr="00031BCA" w:rsidR="00965259">
        <w:rPr>
          <w:rFonts w:cs="TimesNewRomanPSMT"/>
        </w:rPr>
        <w:t xml:space="preserve">the probability that the existing fleet and expected loads will produce such a result). </w:t>
      </w:r>
      <w:r w:rsidR="00031BCA">
        <w:rPr>
          <w:rFonts w:cs="TimesNewRomanPSMT"/>
        </w:rPr>
        <w:t xml:space="preserve"> </w:t>
      </w:r>
      <w:r w:rsidRPr="00031BCA" w:rsidR="00965259">
        <w:rPr>
          <w:rFonts w:cs="TimesNewRomanPSMT"/>
        </w:rPr>
        <w:t xml:space="preserve">If a solution is </w:t>
      </w:r>
      <w:r w:rsidR="00E23C4A">
        <w:rPr>
          <w:rFonts w:cs="TimesNewRomanPSMT"/>
        </w:rPr>
        <w:t>necessary</w:t>
      </w:r>
      <w:r w:rsidR="00031BCA">
        <w:rPr>
          <w:rFonts w:cs="TimesNewRomanPSMT"/>
        </w:rPr>
        <w:t xml:space="preserve">, </w:t>
      </w:r>
      <w:r>
        <w:rPr>
          <w:rFonts w:cs="TimesNewRomanPSMT"/>
        </w:rPr>
        <w:t>SCE/</w:t>
      </w:r>
      <w:proofErr w:type="spellStart"/>
      <w:r>
        <w:rPr>
          <w:rFonts w:cs="TimesNewRomanPSMT"/>
        </w:rPr>
        <w:t>CalCCA</w:t>
      </w:r>
      <w:proofErr w:type="spellEnd"/>
      <w:r w:rsidR="00031BCA">
        <w:rPr>
          <w:rFonts w:cs="TimesNewRomanPSMT"/>
        </w:rPr>
        <w:t xml:space="preserve"> </w:t>
      </w:r>
      <w:r w:rsidR="00455F5E">
        <w:rPr>
          <w:rFonts w:cs="TimesNewRomanPSMT"/>
        </w:rPr>
        <w:t>offer</w:t>
      </w:r>
      <w:r w:rsidRPr="00031BCA" w:rsidR="00965259">
        <w:rPr>
          <w:rFonts w:cs="TimesNewRomanPSMT"/>
        </w:rPr>
        <w:t xml:space="preserve"> potential </w:t>
      </w:r>
      <w:r w:rsidR="006218DB">
        <w:rPr>
          <w:rFonts w:cs="TimesNewRomanPSMT"/>
        </w:rPr>
        <w:t xml:space="preserve">solutions, </w:t>
      </w:r>
      <w:r w:rsidR="008B0C93">
        <w:rPr>
          <w:rFonts w:cs="TimesNewRomanPSMT"/>
        </w:rPr>
        <w:t>such as</w:t>
      </w:r>
      <w:r w:rsidR="006218DB">
        <w:rPr>
          <w:rFonts w:cs="TimesNewRomanPSMT"/>
        </w:rPr>
        <w:t xml:space="preserve"> </w:t>
      </w:r>
      <w:r w:rsidRPr="00031BCA" w:rsidR="00965259">
        <w:rPr>
          <w:rFonts w:eastAsia="Times New Roman" w:cs="Times New Roman"/>
          <w:color w:val="000000"/>
        </w:rPr>
        <w:t xml:space="preserve">establishment of Minimum Availability Categories, assignment of </w:t>
      </w:r>
      <w:r w:rsidR="00031BCA">
        <w:rPr>
          <w:rFonts w:eastAsia="Times New Roman" w:cs="Times New Roman"/>
          <w:color w:val="000000"/>
        </w:rPr>
        <w:t>must-offer obligations</w:t>
      </w:r>
      <w:r w:rsidRPr="00031BCA" w:rsidR="00965259">
        <w:rPr>
          <w:rFonts w:eastAsia="Times New Roman" w:cs="Times New Roman"/>
          <w:color w:val="000000"/>
        </w:rPr>
        <w:t xml:space="preserve"> for specific hours, </w:t>
      </w:r>
      <w:r w:rsidR="00031BCA">
        <w:rPr>
          <w:rFonts w:eastAsia="Times New Roman" w:cs="Times New Roman"/>
          <w:color w:val="000000"/>
        </w:rPr>
        <w:t>establishing</w:t>
      </w:r>
      <w:r w:rsidRPr="00031BCA" w:rsidR="00965259">
        <w:rPr>
          <w:rFonts w:eastAsia="Times New Roman" w:cs="Times New Roman"/>
          <w:color w:val="000000"/>
        </w:rPr>
        <w:t xml:space="preserve"> hours for NQE demonstration and representative day NQE analysis, </w:t>
      </w:r>
      <w:r w:rsidR="00D207B7">
        <w:rPr>
          <w:rFonts w:eastAsia="Times New Roman" w:cs="Times New Roman"/>
          <w:color w:val="000000"/>
        </w:rPr>
        <w:t xml:space="preserve">or </w:t>
      </w:r>
      <w:r w:rsidRPr="00031BCA" w:rsidR="00965259">
        <w:rPr>
          <w:rFonts w:eastAsia="Times New Roman" w:cs="Times New Roman"/>
          <w:color w:val="000000"/>
        </w:rPr>
        <w:t xml:space="preserve">inclusion </w:t>
      </w:r>
      <w:r w:rsidR="001D6792">
        <w:rPr>
          <w:rFonts w:eastAsia="Times New Roman" w:cs="Times New Roman"/>
          <w:color w:val="000000"/>
        </w:rPr>
        <w:t>in</w:t>
      </w:r>
      <w:r w:rsidRPr="00031BCA" w:rsidR="00965259">
        <w:rPr>
          <w:rFonts w:eastAsia="Times New Roman" w:cs="Times New Roman"/>
          <w:color w:val="000000"/>
        </w:rPr>
        <w:t xml:space="preserve"> the </w:t>
      </w:r>
      <w:r w:rsidR="005875AB">
        <w:rPr>
          <w:rFonts w:eastAsia="Times New Roman" w:cs="Times New Roman"/>
          <w:color w:val="000000"/>
        </w:rPr>
        <w:t>planning reserve margin (</w:t>
      </w:r>
      <w:r w:rsidRPr="00031BCA" w:rsidR="00965259">
        <w:rPr>
          <w:rFonts w:eastAsia="Times New Roman" w:cs="Times New Roman"/>
          <w:color w:val="000000"/>
        </w:rPr>
        <w:t>PRM</w:t>
      </w:r>
      <w:r w:rsidR="005875AB">
        <w:rPr>
          <w:rFonts w:eastAsia="Times New Roman" w:cs="Times New Roman"/>
          <w:color w:val="000000"/>
        </w:rPr>
        <w:t>)</w:t>
      </w:r>
      <w:r w:rsidRPr="00031BCA" w:rsidR="00965259">
        <w:rPr>
          <w:rFonts w:eastAsia="Times New Roman" w:cs="Times New Roman"/>
          <w:color w:val="000000"/>
        </w:rPr>
        <w:t>. </w:t>
      </w:r>
      <w:r w:rsidR="00D2405D">
        <w:rPr>
          <w:rFonts w:eastAsia="Times New Roman" w:cs="Times New Roman"/>
          <w:color w:val="000000"/>
        </w:rPr>
        <w:t xml:space="preserve">  </w:t>
      </w:r>
    </w:p>
    <w:p w:rsidRPr="005E322A" w:rsidR="005445A1" w:rsidP="00D2405D" w:rsidRDefault="00C74CD2" w14:paraId="1FC5CC5A" w14:textId="335D7725">
      <w:pPr>
        <w:autoSpaceDE w:val="0"/>
        <w:autoSpaceDN w:val="0"/>
        <w:adjustRightInd w:val="0"/>
        <w:rPr>
          <w:rFonts w:eastAsia="Times New Roman" w:cs="Times New Roman"/>
          <w:color w:val="000000"/>
        </w:rPr>
      </w:pPr>
      <w:r>
        <w:rPr>
          <w:rFonts w:eastAsia="Times New Roman" w:cs="Times New Roman"/>
          <w:color w:val="000000"/>
        </w:rPr>
        <w:lastRenderedPageBreak/>
        <w:t>In addition to the temporal concerns of load and generation</w:t>
      </w:r>
      <w:r w:rsidR="007009A3">
        <w:rPr>
          <w:rFonts w:eastAsia="Times New Roman" w:cs="Times New Roman"/>
          <w:color w:val="000000"/>
        </w:rPr>
        <w:t xml:space="preserve">, </w:t>
      </w:r>
      <w:r w:rsidR="00B5078D">
        <w:rPr>
          <w:rFonts w:eastAsia="Times New Roman" w:cs="Times New Roman"/>
          <w:color w:val="000000"/>
        </w:rPr>
        <w:t>SCE/</w:t>
      </w:r>
      <w:proofErr w:type="spellStart"/>
      <w:r w:rsidR="00B5078D">
        <w:rPr>
          <w:rFonts w:eastAsia="Times New Roman" w:cs="Times New Roman"/>
          <w:color w:val="000000"/>
        </w:rPr>
        <w:t>CalCCA</w:t>
      </w:r>
      <w:proofErr w:type="spellEnd"/>
      <w:r w:rsidRPr="00031BCA" w:rsidR="00965259">
        <w:rPr>
          <w:rFonts w:eastAsia="Times New Roman" w:cs="Times New Roman"/>
          <w:color w:val="000000"/>
        </w:rPr>
        <w:t xml:space="preserve"> note </w:t>
      </w:r>
      <w:r w:rsidR="00D2405D">
        <w:rPr>
          <w:rFonts w:eastAsia="Times New Roman" w:cs="Times New Roman"/>
          <w:color w:val="000000"/>
        </w:rPr>
        <w:t>other</w:t>
      </w:r>
      <w:r w:rsidRPr="00031BCA" w:rsidR="00965259">
        <w:rPr>
          <w:rFonts w:eastAsia="Times New Roman" w:cs="Times New Roman"/>
          <w:color w:val="000000"/>
        </w:rPr>
        <w:t xml:space="preserve"> elements </w:t>
      </w:r>
      <w:r w:rsidR="00CB0EB7">
        <w:rPr>
          <w:rFonts w:eastAsia="Times New Roman" w:cs="Times New Roman"/>
          <w:color w:val="000000"/>
        </w:rPr>
        <w:t>that need to</w:t>
      </w:r>
      <w:r w:rsidRPr="00031BCA" w:rsidR="00965259">
        <w:rPr>
          <w:rFonts w:eastAsia="Times New Roman" w:cs="Times New Roman"/>
          <w:color w:val="000000"/>
        </w:rPr>
        <w:t xml:space="preserve"> be </w:t>
      </w:r>
      <w:r w:rsidR="00CB0EB7">
        <w:rPr>
          <w:rFonts w:eastAsia="Times New Roman" w:cs="Times New Roman"/>
          <w:color w:val="000000"/>
        </w:rPr>
        <w:t xml:space="preserve">further </w:t>
      </w:r>
      <w:r w:rsidRPr="00031BCA" w:rsidR="00965259">
        <w:rPr>
          <w:rFonts w:eastAsia="Times New Roman" w:cs="Times New Roman"/>
          <w:color w:val="000000"/>
        </w:rPr>
        <w:t>developed</w:t>
      </w:r>
      <w:r w:rsidR="00031BCA">
        <w:rPr>
          <w:rFonts w:eastAsia="Times New Roman" w:cs="Times New Roman"/>
          <w:color w:val="000000"/>
        </w:rPr>
        <w:t>, including</w:t>
      </w:r>
      <w:r w:rsidRPr="00031BCA" w:rsidR="00965259">
        <w:rPr>
          <w:rFonts w:eastAsia="Times New Roman" w:cs="Times New Roman"/>
          <w:color w:val="000000"/>
        </w:rPr>
        <w:t xml:space="preserve"> </w:t>
      </w:r>
      <w:r w:rsidR="00031BCA">
        <w:rPr>
          <w:rFonts w:eastAsia="Times New Roman" w:cs="Times New Roman"/>
          <w:color w:val="000000"/>
        </w:rPr>
        <w:t>t</w:t>
      </w:r>
      <w:r w:rsidRPr="00031BCA" w:rsidR="00965259">
        <w:rPr>
          <w:rFonts w:eastAsia="Times New Roman" w:cs="Times New Roman"/>
          <w:color w:val="000000"/>
        </w:rPr>
        <w:t>rading of product</w:t>
      </w:r>
      <w:r w:rsidR="00DC324D">
        <w:rPr>
          <w:rFonts w:eastAsia="Times New Roman" w:cs="Times New Roman"/>
          <w:color w:val="000000"/>
        </w:rPr>
        <w:t>s</w:t>
      </w:r>
      <w:r w:rsidRPr="00031BCA" w:rsidR="00965259">
        <w:rPr>
          <w:rFonts w:eastAsia="Times New Roman" w:cs="Times New Roman"/>
          <w:color w:val="000000"/>
        </w:rPr>
        <w:t xml:space="preserve">, </w:t>
      </w:r>
      <w:r w:rsidR="00031BCA">
        <w:rPr>
          <w:rFonts w:eastAsia="Times New Roman" w:cs="Times New Roman"/>
          <w:color w:val="000000"/>
        </w:rPr>
        <w:t>d</w:t>
      </w:r>
      <w:r w:rsidRPr="00031BCA" w:rsidR="00965259">
        <w:rPr>
          <w:rFonts w:eastAsia="Times New Roman" w:cs="Times New Roman"/>
          <w:color w:val="000000"/>
        </w:rPr>
        <w:t>iversity benefits, and the appropriate PRM.</w:t>
      </w:r>
    </w:p>
    <w:p w:rsidR="005445A1" w:rsidP="002A4556" w:rsidRDefault="005445A1" w14:paraId="023D6BDF" w14:textId="7C30A047">
      <w:pPr>
        <w:pStyle w:val="Heading3"/>
      </w:pPr>
      <w:bookmarkStart w:name="_Toc69976148" w:id="14"/>
      <w:bookmarkStart w:name="_Toc74206113" w:id="15"/>
      <w:r>
        <w:t>Comments on Proposal</w:t>
      </w:r>
      <w:bookmarkEnd w:id="14"/>
      <w:bookmarkEnd w:id="15"/>
    </w:p>
    <w:p w:rsidR="00A143C3" w:rsidP="00C40B50" w:rsidRDefault="008A116C" w14:paraId="1F123727" w14:textId="46E2A1DA">
      <w:pPr>
        <w:pStyle w:val="Standard"/>
      </w:pPr>
      <w:r>
        <w:t>Numerous parties</w:t>
      </w:r>
      <w:r w:rsidR="005445A1">
        <w:t xml:space="preserve"> support further development of </w:t>
      </w:r>
      <w:r w:rsidR="00DC49D9">
        <w:t>SCE/</w:t>
      </w:r>
      <w:proofErr w:type="spellStart"/>
      <w:r w:rsidR="00DC49D9">
        <w:t>CalCCA’s</w:t>
      </w:r>
      <w:proofErr w:type="spellEnd"/>
      <w:r w:rsidR="005445A1">
        <w:t xml:space="preserve"> proposal</w:t>
      </w:r>
      <w:r>
        <w:t>,</w:t>
      </w:r>
      <w:r w:rsidR="005445A1">
        <w:t xml:space="preserve"> includ</w:t>
      </w:r>
      <w:r>
        <w:t>ing</w:t>
      </w:r>
      <w:r w:rsidR="0024606F">
        <w:t xml:space="preserve"> </w:t>
      </w:r>
      <w:bookmarkStart w:name="_Hlk72951210" w:id="16"/>
      <w:r w:rsidR="005445A1">
        <w:t xml:space="preserve">ACP, </w:t>
      </w:r>
      <w:r w:rsidRPr="00A956B1" w:rsidR="0024606F">
        <w:t>BRTM</w:t>
      </w:r>
      <w:r w:rsidR="0024606F">
        <w:t xml:space="preserve">, </w:t>
      </w:r>
      <w:r w:rsidR="005445A1">
        <w:t>Cal Advocates, CAISO, Calpine, CEJA/Sierra Club, CE</w:t>
      </w:r>
      <w:r w:rsidR="00C95F8C">
        <w:t>E</w:t>
      </w:r>
      <w:r w:rsidR="005445A1">
        <w:t xml:space="preserve">RT, CESA, </w:t>
      </w:r>
      <w:proofErr w:type="spellStart"/>
      <w:r w:rsidR="005445A1">
        <w:t>Hydrostor</w:t>
      </w:r>
      <w:proofErr w:type="spellEnd"/>
      <w:r w:rsidR="005445A1">
        <w:t>,</w:t>
      </w:r>
      <w:r w:rsidR="0024606F">
        <w:t xml:space="preserve"> </w:t>
      </w:r>
      <w:r w:rsidRPr="000A08B3" w:rsidR="0024606F">
        <w:t>MRP</w:t>
      </w:r>
      <w:r w:rsidR="0024606F">
        <w:t>,</w:t>
      </w:r>
      <w:r w:rsidR="005445A1">
        <w:t xml:space="preserve"> Shell, and Solar Parties</w:t>
      </w:r>
      <w:bookmarkEnd w:id="16"/>
      <w:r w:rsidR="005445A1">
        <w:t>.</w:t>
      </w:r>
      <w:r w:rsidR="005445A1">
        <w:rPr>
          <w:rStyle w:val="FootnoteReference"/>
        </w:rPr>
        <w:footnoteReference w:id="12"/>
      </w:r>
      <w:r w:rsidR="00781EF4">
        <w:t xml:space="preserve">  </w:t>
      </w:r>
      <w:r w:rsidR="0088327F">
        <w:t>Most</w:t>
      </w:r>
      <w:r w:rsidR="00A143C3">
        <w:t xml:space="preserve"> of these </w:t>
      </w:r>
      <w:proofErr w:type="gramStart"/>
      <w:r w:rsidR="00A143C3">
        <w:t>parties</w:t>
      </w:r>
      <w:proofErr w:type="gramEnd"/>
      <w:r w:rsidR="00A143C3">
        <w:t xml:space="preserve"> support </w:t>
      </w:r>
      <w:r w:rsidR="00D81B5F">
        <w:t>development</w:t>
      </w:r>
      <w:r w:rsidR="00A143C3">
        <w:t xml:space="preserve"> of both </w:t>
      </w:r>
      <w:r w:rsidR="00F468B7">
        <w:t>SCE/</w:t>
      </w:r>
      <w:proofErr w:type="spellStart"/>
      <w:r w:rsidR="00F468B7">
        <w:t>CalCCA’s</w:t>
      </w:r>
      <w:proofErr w:type="spellEnd"/>
      <w:r w:rsidR="00A143C3">
        <w:t xml:space="preserve"> proposal and PG&amp;E’s slice-of-day proposal, and/or support </w:t>
      </w:r>
      <w:r w:rsidR="00C40B50">
        <w:t>combining elements of both proposals into one framework.</w:t>
      </w:r>
      <w:r w:rsidR="00C40B50">
        <w:rPr>
          <w:rStyle w:val="FootnoteReference"/>
        </w:rPr>
        <w:footnoteReference w:id="13"/>
      </w:r>
      <w:r w:rsidR="00A143C3">
        <w:t xml:space="preserve"> </w:t>
      </w:r>
    </w:p>
    <w:p w:rsidR="00E9354A" w:rsidP="004433AA" w:rsidRDefault="003F08A7" w14:paraId="72CFF34B" w14:textId="298D30BE">
      <w:pPr>
        <w:pStyle w:val="Standard"/>
      </w:pPr>
      <w:r>
        <w:t>S</w:t>
      </w:r>
      <w:r w:rsidR="008A116C">
        <w:t>upporters</w:t>
      </w:r>
      <w:r w:rsidR="005445A1">
        <w:t xml:space="preserve"> </w:t>
      </w:r>
      <w:r>
        <w:t xml:space="preserve">generally </w:t>
      </w:r>
      <w:r w:rsidR="003F438B">
        <w:t>state</w:t>
      </w:r>
      <w:r w:rsidR="005445A1">
        <w:t xml:space="preserve"> that </w:t>
      </w:r>
      <w:r w:rsidR="00E9354A">
        <w:t xml:space="preserve">if the </w:t>
      </w:r>
      <w:r w:rsidR="008666A5">
        <w:t>hourly resource sufficiency</w:t>
      </w:r>
      <w:r w:rsidR="00E9354A">
        <w:t xml:space="preserve"> </w:t>
      </w:r>
      <w:r w:rsidR="00C43521">
        <w:t>concern</w:t>
      </w:r>
      <w:r w:rsidR="008666A5">
        <w:t xml:space="preserve"> (</w:t>
      </w:r>
      <w:r w:rsidRPr="00DB2886" w:rsidR="00DB2886">
        <w:rPr>
          <w:i/>
          <w:iCs/>
        </w:rPr>
        <w:t>i.e.</w:t>
      </w:r>
      <w:r w:rsidRPr="007E1624" w:rsidR="008666A5">
        <w:rPr>
          <w:i/>
          <w:iCs/>
        </w:rPr>
        <w:t>,</w:t>
      </w:r>
      <w:r w:rsidR="008666A5">
        <w:t xml:space="preserve"> temporal </w:t>
      </w:r>
      <w:r w:rsidR="005875AB">
        <w:t>concern</w:t>
      </w:r>
      <w:r w:rsidR="008666A5">
        <w:t>)</w:t>
      </w:r>
      <w:r w:rsidR="00E9354A">
        <w:t xml:space="preserve"> </w:t>
      </w:r>
      <w:r w:rsidR="00D207B7">
        <w:t>can</w:t>
      </w:r>
      <w:r w:rsidR="001E78F8">
        <w:t xml:space="preserve"> be addressed, </w:t>
      </w:r>
      <w:r w:rsidR="00D207B7">
        <w:t xml:space="preserve">as well as </w:t>
      </w:r>
      <w:r w:rsidR="00C43521">
        <w:t>other details developed</w:t>
      </w:r>
      <w:r w:rsidR="00E9354A">
        <w:t xml:space="preserve">, </w:t>
      </w:r>
      <w:r w:rsidR="003F438B">
        <w:t>this</w:t>
      </w:r>
      <w:r w:rsidR="00E9354A">
        <w:t xml:space="preserve"> proposal better ensure</w:t>
      </w:r>
      <w:r w:rsidR="00C43521">
        <w:t>s</w:t>
      </w:r>
      <w:r w:rsidR="00E9354A">
        <w:t xml:space="preserve"> availability of reliable resources during critical hours</w:t>
      </w:r>
      <w:r w:rsidR="008A116C">
        <w:t>.</w:t>
      </w:r>
      <w:r w:rsidR="008A116C">
        <w:rPr>
          <w:rStyle w:val="FootnoteReference"/>
        </w:rPr>
        <w:footnoteReference w:id="14"/>
      </w:r>
      <w:r w:rsidR="008A116C">
        <w:t xml:space="preserve">  Cal Advocates </w:t>
      </w:r>
      <w:r w:rsidR="008666A5">
        <w:t>states</w:t>
      </w:r>
      <w:r w:rsidR="008A116C">
        <w:t xml:space="preserve"> that</w:t>
      </w:r>
      <w:r w:rsidR="000E5414">
        <w:t xml:space="preserve"> the energy counting requirements may better align the </w:t>
      </w:r>
      <w:r w:rsidR="000E5414">
        <w:lastRenderedPageBreak/>
        <w:t>RA program with clean energy goals.</w:t>
      </w:r>
      <w:r w:rsidR="008A116C">
        <w:t xml:space="preserve"> </w:t>
      </w:r>
      <w:r w:rsidR="000E5414">
        <w:t xml:space="preserve"> </w:t>
      </w:r>
      <w:r w:rsidR="00F528C2">
        <w:t xml:space="preserve">CESA comments that the proposal </w:t>
      </w:r>
      <w:r w:rsidR="00E841F4">
        <w:t xml:space="preserve">may </w:t>
      </w:r>
      <w:r w:rsidR="00410983">
        <w:t xml:space="preserve">better </w:t>
      </w:r>
      <w:r w:rsidR="00E841F4">
        <w:t xml:space="preserve">evaluate the value of energy- and use-limited resources </w:t>
      </w:r>
      <w:r w:rsidR="008754CB">
        <w:t>by considering characteristics such as duration</w:t>
      </w:r>
      <w:r w:rsidR="00E9354A">
        <w:t xml:space="preserve">. </w:t>
      </w:r>
      <w:r w:rsidR="004E788D">
        <w:t xml:space="preserve"> </w:t>
      </w:r>
      <w:r w:rsidR="00E9354A">
        <w:t xml:space="preserve">CAISO states that the proposal is more adaptable to the existing CAISO tariff and systems, although CAISO may need to modify its tariff to implement net load or </w:t>
      </w:r>
      <w:r w:rsidR="009F75FF">
        <w:t xml:space="preserve">a </w:t>
      </w:r>
      <w:r w:rsidR="00E9354A">
        <w:t>post-solar peak RA requirement.</w:t>
      </w:r>
    </w:p>
    <w:p w:rsidR="00C81571" w:rsidP="004A3C4C" w:rsidRDefault="003F08A7" w14:paraId="2377DFDA" w14:textId="14C767F6">
      <w:pPr>
        <w:pStyle w:val="Standard"/>
      </w:pPr>
      <w:r>
        <w:t>Opponents</w:t>
      </w:r>
      <w:r w:rsidR="00E93D98">
        <w:t xml:space="preserve"> of</w:t>
      </w:r>
      <w:r w:rsidR="00E9354A">
        <w:t xml:space="preserve"> </w:t>
      </w:r>
      <w:r w:rsidR="005F2315">
        <w:t>the NQE</w:t>
      </w:r>
      <w:r w:rsidR="00E9354A">
        <w:t xml:space="preserve"> proposal</w:t>
      </w:r>
      <w:r w:rsidR="00220B13">
        <w:t xml:space="preserve">, </w:t>
      </w:r>
      <w:r w:rsidR="007F5AA1">
        <w:t>such as</w:t>
      </w:r>
      <w:r w:rsidR="00220B13">
        <w:t xml:space="preserve"> </w:t>
      </w:r>
      <w:r w:rsidR="00C81571">
        <w:t xml:space="preserve">AReM and </w:t>
      </w:r>
      <w:r w:rsidR="00220B13">
        <w:t>IEP,</w:t>
      </w:r>
      <w:r w:rsidR="00E9354A">
        <w:t xml:space="preserve"> state that it is overly </w:t>
      </w:r>
      <w:r w:rsidR="009359BC">
        <w:t>complex in that it seeks to ensure sufficien</w:t>
      </w:r>
      <w:r w:rsidR="009F75FF">
        <w:t>t</w:t>
      </w:r>
      <w:r w:rsidR="009359BC">
        <w:t xml:space="preserve"> reliability for all hours</w:t>
      </w:r>
      <w:r w:rsidR="00220B13">
        <w:t xml:space="preserve"> of the year and that it</w:t>
      </w:r>
      <w:r w:rsidR="0057420F">
        <w:t xml:space="preserve"> requires significant work to implement </w:t>
      </w:r>
      <w:r w:rsidR="009F75FF">
        <w:t>for</w:t>
      </w:r>
      <w:r w:rsidR="0057420F">
        <w:t xml:space="preserve"> the 2023 compliance year</w:t>
      </w:r>
      <w:r w:rsidR="00220B13">
        <w:t>.</w:t>
      </w:r>
      <w:r w:rsidR="00220B13">
        <w:rPr>
          <w:rStyle w:val="FootnoteReference"/>
        </w:rPr>
        <w:footnoteReference w:id="15"/>
      </w:r>
      <w:r w:rsidR="00C81571">
        <w:t xml:space="preserve">  IEP states that it </w:t>
      </w:r>
      <w:r w:rsidR="0057420F">
        <w:t>potentially disrupts existing contracts because it introduces a new RA product.</w:t>
      </w:r>
      <w:r>
        <w:t xml:space="preserve">  </w:t>
      </w:r>
      <w:r w:rsidR="00C81571">
        <w:t xml:space="preserve">AReM is concerned that the proposal has not been updated since the initial August 7, </w:t>
      </w:r>
      <w:proofErr w:type="gramStart"/>
      <w:r w:rsidR="00C81571">
        <w:t>2020</w:t>
      </w:r>
      <w:proofErr w:type="gramEnd"/>
      <w:r w:rsidR="00C81571">
        <w:t xml:space="preserve"> proposal, despite numerous concerns raised by parties.</w:t>
      </w:r>
    </w:p>
    <w:p w:rsidR="00657FB9" w:rsidP="00C80F25" w:rsidRDefault="00657FB9" w14:paraId="50AA4380" w14:textId="2D3005A3">
      <w:pPr>
        <w:pStyle w:val="Heading2"/>
      </w:pPr>
      <w:bookmarkStart w:name="_Toc74206114" w:id="18"/>
      <w:r>
        <w:t>PG&amp;E</w:t>
      </w:r>
      <w:r w:rsidR="00A7148B">
        <w:t>’s</w:t>
      </w:r>
      <w:r>
        <w:t xml:space="preserve"> Slice</w:t>
      </w:r>
      <w:r w:rsidR="00A7148B">
        <w:t>-</w:t>
      </w:r>
      <w:r>
        <w:t>of</w:t>
      </w:r>
      <w:r w:rsidR="00A7148B">
        <w:t>-</w:t>
      </w:r>
      <w:r>
        <w:t>Day</w:t>
      </w:r>
      <w:r w:rsidR="00C80F25">
        <w:t xml:space="preserve"> Proposal</w:t>
      </w:r>
      <w:bookmarkEnd w:id="18"/>
    </w:p>
    <w:p w:rsidRPr="000906C9" w:rsidR="000906C9" w:rsidP="000906C9" w:rsidRDefault="000906C9" w14:paraId="1BFE6042" w14:textId="0775E53A">
      <w:pPr>
        <w:textAlignment w:val="baseline"/>
        <w:rPr>
          <w:rFonts w:eastAsia="Times New Roman" w:cs="Segoe UI"/>
        </w:rPr>
      </w:pPr>
      <w:r w:rsidRPr="000906C9">
        <w:rPr>
          <w:rFonts w:eastAsia="Times New Roman" w:cs="Times New Roman"/>
          <w:color w:val="000000"/>
        </w:rPr>
        <w:t xml:space="preserve">PG&amp;E proposes to establish RA requirements based on a </w:t>
      </w:r>
      <w:r>
        <w:rPr>
          <w:rFonts w:eastAsia="Times New Roman" w:cs="Times New Roman"/>
          <w:color w:val="000000"/>
        </w:rPr>
        <w:t>“</w:t>
      </w:r>
      <w:r w:rsidRPr="000906C9">
        <w:rPr>
          <w:rFonts w:eastAsia="Times New Roman" w:cs="Times New Roman"/>
          <w:color w:val="000000"/>
        </w:rPr>
        <w:t>slice-of-day</w:t>
      </w:r>
      <w:r>
        <w:rPr>
          <w:rFonts w:eastAsia="Times New Roman" w:cs="Times New Roman"/>
          <w:color w:val="000000"/>
        </w:rPr>
        <w:t>”</w:t>
      </w:r>
      <w:r w:rsidRPr="000906C9">
        <w:rPr>
          <w:rFonts w:eastAsia="Times New Roman" w:cs="Times New Roman"/>
          <w:color w:val="000000"/>
        </w:rPr>
        <w:t xml:space="preserve"> framework</w:t>
      </w:r>
      <w:r w:rsidR="00A37D8C">
        <w:rPr>
          <w:rFonts w:eastAsia="Times New Roman" w:cs="Times New Roman"/>
          <w:color w:val="000000"/>
        </w:rPr>
        <w:t>,</w:t>
      </w:r>
      <w:r w:rsidRPr="000906C9">
        <w:rPr>
          <w:rFonts w:eastAsia="Times New Roman" w:cs="Times New Roman"/>
          <w:color w:val="000000"/>
        </w:rPr>
        <w:t xml:space="preserve"> which seeks to </w:t>
      </w:r>
      <w:r w:rsidRPr="000906C9">
        <w:rPr>
          <w:rFonts w:cs="TimesNewRomanPSMT"/>
        </w:rPr>
        <w:t>ensure load will be met in all hours of the day, not just during gross peak demand hours.</w:t>
      </w:r>
      <w:r w:rsidR="003D7709">
        <w:rPr>
          <w:rStyle w:val="FootnoteReference"/>
          <w:rFonts w:cs="TimesNewRomanPSMT"/>
        </w:rPr>
        <w:footnoteReference w:id="16"/>
      </w:r>
      <w:r w:rsidRPr="000906C9">
        <w:rPr>
          <w:rFonts w:cs="TimesNewRomanPSMT"/>
        </w:rPr>
        <w:t xml:space="preserve"> </w:t>
      </w:r>
      <w:r>
        <w:rPr>
          <w:rFonts w:cs="TimesNewRomanPSMT"/>
        </w:rPr>
        <w:t xml:space="preserve"> </w:t>
      </w:r>
      <w:r w:rsidR="00FA20D3">
        <w:rPr>
          <w:rFonts w:cs="TimesNewRomanPSMT"/>
        </w:rPr>
        <w:t>The proposal also</w:t>
      </w:r>
      <w:r w:rsidRPr="000906C9">
        <w:rPr>
          <w:rFonts w:cs="TimesNewRomanPSMT"/>
        </w:rPr>
        <w:t xml:space="preserve"> seeks to ensure there is sufficient energy on the system to charge energy storage resources.</w:t>
      </w:r>
      <w:r w:rsidRPr="000906C9">
        <w:rPr>
          <w:rFonts w:eastAsia="Times New Roman" w:cs="Times New Roman"/>
          <w:color w:val="000000"/>
        </w:rPr>
        <w:t xml:space="preserve"> </w:t>
      </w:r>
      <w:r>
        <w:rPr>
          <w:rFonts w:eastAsia="Times New Roman" w:cs="Times New Roman"/>
          <w:color w:val="000000"/>
        </w:rPr>
        <w:t xml:space="preserve"> The proposed</w:t>
      </w:r>
      <w:r w:rsidRPr="000906C9">
        <w:rPr>
          <w:rFonts w:eastAsia="Times New Roman" w:cs="Times New Roman"/>
          <w:color w:val="000000"/>
        </w:rPr>
        <w:t xml:space="preserve"> </w:t>
      </w:r>
      <w:r w:rsidR="002525BE">
        <w:rPr>
          <w:rFonts w:eastAsia="Times New Roman" w:cs="Times New Roman"/>
          <w:color w:val="000000"/>
        </w:rPr>
        <w:t xml:space="preserve">framework would establish </w:t>
      </w:r>
      <w:r w:rsidRPr="000906C9">
        <w:rPr>
          <w:rFonts w:eastAsia="Times New Roman" w:cs="Times New Roman"/>
          <w:color w:val="000000"/>
        </w:rPr>
        <w:t>RA requirements for multiple slices-of-day across seasons</w:t>
      </w:r>
      <w:r>
        <w:rPr>
          <w:rFonts w:eastAsia="Times New Roman" w:cs="Times New Roman"/>
          <w:color w:val="000000"/>
        </w:rPr>
        <w:t xml:space="preserve"> and </w:t>
      </w:r>
      <w:r w:rsidR="00FD128A">
        <w:rPr>
          <w:rFonts w:eastAsia="Times New Roman" w:cs="Times New Roman"/>
          <w:color w:val="000000"/>
        </w:rPr>
        <w:t xml:space="preserve">would </w:t>
      </w:r>
      <w:r w:rsidRPr="000906C9">
        <w:rPr>
          <w:rFonts w:eastAsia="Times New Roman" w:cs="Times New Roman"/>
          <w:color w:val="000000"/>
        </w:rPr>
        <w:t xml:space="preserve">establish a counting methodology to reflect an individual resource’s ability to produce energy during each respective slice.  </w:t>
      </w:r>
    </w:p>
    <w:p w:rsidR="0056424D" w:rsidP="0056424D" w:rsidRDefault="000906C9" w14:paraId="74C57390" w14:textId="6DFEFBD3">
      <w:pPr>
        <w:autoSpaceDE w:val="0"/>
        <w:autoSpaceDN w:val="0"/>
        <w:adjustRightInd w:val="0"/>
        <w:rPr>
          <w:rFonts w:eastAsia="Times New Roman" w:cs="Times New Roman"/>
          <w:color w:val="000000"/>
        </w:rPr>
      </w:pPr>
      <w:r w:rsidRPr="000906C9">
        <w:rPr>
          <w:rFonts w:eastAsia="Times New Roman" w:cs="Times New Roman"/>
          <w:color w:val="000000"/>
        </w:rPr>
        <w:t>PG&amp;E proposes that system requirements be determined for each slice</w:t>
      </w:r>
      <w:r w:rsidR="00FD213B">
        <w:rPr>
          <w:rFonts w:eastAsia="Times New Roman" w:cs="Times New Roman"/>
          <w:color w:val="000000"/>
        </w:rPr>
        <w:noBreakHyphen/>
      </w:r>
      <w:r w:rsidRPr="000906C9">
        <w:rPr>
          <w:rFonts w:eastAsia="Times New Roman" w:cs="Times New Roman"/>
          <w:color w:val="000000"/>
        </w:rPr>
        <w:t>of</w:t>
      </w:r>
      <w:r w:rsidR="00FD213B">
        <w:rPr>
          <w:rFonts w:eastAsia="Times New Roman" w:cs="Times New Roman"/>
          <w:color w:val="000000"/>
        </w:rPr>
        <w:noBreakHyphen/>
      </w:r>
      <w:r w:rsidRPr="000906C9">
        <w:rPr>
          <w:rFonts w:eastAsia="Times New Roman" w:cs="Times New Roman"/>
          <w:color w:val="000000"/>
        </w:rPr>
        <w:t xml:space="preserve">day based on the maximum level of demand for the </w:t>
      </w:r>
      <w:proofErr w:type="gramStart"/>
      <w:r w:rsidRPr="000906C9">
        <w:rPr>
          <w:rFonts w:eastAsia="Times New Roman" w:cs="Times New Roman"/>
          <w:color w:val="000000"/>
        </w:rPr>
        <w:t xml:space="preserve">particular </w:t>
      </w:r>
      <w:r w:rsidRPr="000906C9">
        <w:rPr>
          <w:rFonts w:eastAsia="Times New Roman" w:cs="Times New Roman"/>
          <w:color w:val="000000"/>
        </w:rPr>
        <w:lastRenderedPageBreak/>
        <w:t>slice</w:t>
      </w:r>
      <w:proofErr w:type="gramEnd"/>
      <w:r w:rsidR="00FD213B">
        <w:rPr>
          <w:rFonts w:eastAsia="Times New Roman" w:cs="Times New Roman"/>
          <w:color w:val="000000"/>
        </w:rPr>
        <w:noBreakHyphen/>
      </w:r>
      <w:r w:rsidRPr="000906C9">
        <w:rPr>
          <w:rFonts w:eastAsia="Times New Roman" w:cs="Times New Roman"/>
          <w:color w:val="000000"/>
        </w:rPr>
        <w:t>of</w:t>
      </w:r>
      <w:r w:rsidR="00FD213B">
        <w:rPr>
          <w:rFonts w:eastAsia="Times New Roman" w:cs="Times New Roman"/>
          <w:color w:val="000000"/>
        </w:rPr>
        <w:noBreakHyphen/>
      </w:r>
      <w:r w:rsidRPr="000906C9">
        <w:rPr>
          <w:rFonts w:eastAsia="Times New Roman" w:cs="Times New Roman"/>
          <w:color w:val="000000"/>
        </w:rPr>
        <w:t xml:space="preserve">day for the season. </w:t>
      </w:r>
      <w:r w:rsidR="009553D0">
        <w:rPr>
          <w:rFonts w:eastAsia="Times New Roman" w:cs="Times New Roman"/>
          <w:color w:val="000000"/>
        </w:rPr>
        <w:t xml:space="preserve"> </w:t>
      </w:r>
      <w:r w:rsidRPr="000906C9">
        <w:rPr>
          <w:rFonts w:eastAsia="Times New Roman" w:cs="Times New Roman"/>
          <w:color w:val="000000"/>
        </w:rPr>
        <w:t>PG&amp;E lays out two potential periods for the duration of the slice</w:t>
      </w:r>
      <w:r w:rsidR="0056424D">
        <w:rPr>
          <w:rFonts w:eastAsia="Times New Roman" w:cs="Times New Roman"/>
          <w:color w:val="000000"/>
        </w:rPr>
        <w:t>-</w:t>
      </w:r>
      <w:r w:rsidRPr="000906C9">
        <w:rPr>
          <w:rFonts w:eastAsia="Times New Roman" w:cs="Times New Roman"/>
          <w:color w:val="000000"/>
        </w:rPr>
        <w:t>of</w:t>
      </w:r>
      <w:r w:rsidR="0056424D">
        <w:rPr>
          <w:rFonts w:eastAsia="Times New Roman" w:cs="Times New Roman"/>
          <w:color w:val="000000"/>
        </w:rPr>
        <w:t>-</w:t>
      </w:r>
      <w:r w:rsidRPr="000906C9">
        <w:rPr>
          <w:rFonts w:eastAsia="Times New Roman" w:cs="Times New Roman"/>
          <w:color w:val="000000"/>
        </w:rPr>
        <w:t>day</w:t>
      </w:r>
      <w:r w:rsidR="0056424D">
        <w:rPr>
          <w:rFonts w:eastAsia="Times New Roman" w:cs="Times New Roman"/>
          <w:color w:val="000000"/>
        </w:rPr>
        <w:t>:</w:t>
      </w:r>
      <w:r w:rsidRPr="000906C9">
        <w:rPr>
          <w:rFonts w:eastAsia="Times New Roman" w:cs="Times New Roman"/>
          <w:color w:val="000000"/>
        </w:rPr>
        <w:t xml:space="preserve"> six four-hour slices or four six-hour slices. </w:t>
      </w:r>
      <w:r w:rsidR="0056424D">
        <w:rPr>
          <w:rFonts w:eastAsia="Times New Roman" w:cs="Times New Roman"/>
          <w:color w:val="000000"/>
        </w:rPr>
        <w:t xml:space="preserve"> </w:t>
      </w:r>
      <w:r w:rsidRPr="000906C9">
        <w:rPr>
          <w:rFonts w:eastAsia="Times New Roman" w:cs="Times New Roman"/>
          <w:color w:val="000000"/>
        </w:rPr>
        <w:t xml:space="preserve">To avoid administrative burdens associated with slice-of-day requirements for each month, PG&amp;E recommends moving from a monthly RA obligation to a seasonal obligation.  </w:t>
      </w:r>
    </w:p>
    <w:p w:rsidR="005166D4" w:rsidP="005166D4" w:rsidRDefault="0056424D" w14:paraId="661432D0" w14:textId="218B8721">
      <w:pPr>
        <w:autoSpaceDE w:val="0"/>
        <w:autoSpaceDN w:val="0"/>
        <w:adjustRightInd w:val="0"/>
        <w:rPr>
          <w:rFonts w:eastAsia="Times New Roman" w:cs="Times New Roman"/>
          <w:color w:val="000000"/>
        </w:rPr>
      </w:pPr>
      <w:r>
        <w:rPr>
          <w:rFonts w:eastAsia="Times New Roman" w:cs="Times New Roman"/>
          <w:color w:val="000000"/>
        </w:rPr>
        <w:t>To determine</w:t>
      </w:r>
      <w:r w:rsidRPr="0056424D" w:rsidR="000906C9">
        <w:rPr>
          <w:rFonts w:eastAsia="Times New Roman" w:cs="Times New Roman"/>
          <w:color w:val="000000"/>
        </w:rPr>
        <w:t xml:space="preserve"> specific seasons</w:t>
      </w:r>
      <w:r>
        <w:rPr>
          <w:rFonts w:eastAsia="Times New Roman" w:cs="Times New Roman"/>
          <w:color w:val="000000"/>
        </w:rPr>
        <w:t>,</w:t>
      </w:r>
      <w:r w:rsidRPr="0056424D" w:rsidR="000906C9">
        <w:rPr>
          <w:rFonts w:eastAsia="Times New Roman" w:cs="Times New Roman"/>
          <w:color w:val="000000"/>
        </w:rPr>
        <w:t xml:space="preserve"> </w:t>
      </w:r>
      <w:r>
        <w:rPr>
          <w:rFonts w:eastAsia="Times New Roman" w:cs="Times New Roman"/>
          <w:color w:val="000000"/>
        </w:rPr>
        <w:t>the proposal</w:t>
      </w:r>
      <w:r w:rsidRPr="0056424D" w:rsidR="000906C9">
        <w:rPr>
          <w:rFonts w:eastAsia="Times New Roman" w:cs="Times New Roman"/>
          <w:color w:val="000000"/>
        </w:rPr>
        <w:t xml:space="preserve"> </w:t>
      </w:r>
      <w:r w:rsidR="00A67CFF">
        <w:rPr>
          <w:rFonts w:eastAsia="Times New Roman" w:cs="Times New Roman"/>
          <w:color w:val="000000"/>
        </w:rPr>
        <w:t>offers</w:t>
      </w:r>
      <w:r w:rsidRPr="0056424D" w:rsidR="000906C9">
        <w:rPr>
          <w:rFonts w:eastAsia="Times New Roman" w:cs="Times New Roman"/>
          <w:color w:val="000000"/>
        </w:rPr>
        <w:t xml:space="preserve"> an analysis of the hourly load data by month (using </w:t>
      </w:r>
      <w:r w:rsidR="009C57F5">
        <w:rPr>
          <w:rFonts w:eastAsia="Times New Roman" w:cs="Times New Roman"/>
          <w:color w:val="000000"/>
        </w:rPr>
        <w:t xml:space="preserve">the </w:t>
      </w:r>
      <w:r w:rsidRPr="0056424D" w:rsidR="000906C9">
        <w:rPr>
          <w:rFonts w:eastAsia="Times New Roman" w:cs="Times New Roman"/>
          <w:color w:val="000000"/>
        </w:rPr>
        <w:t xml:space="preserve">2019 </w:t>
      </w:r>
      <w:r w:rsidR="009C57F5">
        <w:rPr>
          <w:rFonts w:eastAsia="Times New Roman" w:cs="Times New Roman"/>
          <w:color w:val="000000"/>
        </w:rPr>
        <w:t>California Energy Commission (</w:t>
      </w:r>
      <w:r w:rsidRPr="0056424D" w:rsidR="000906C9">
        <w:rPr>
          <w:rFonts w:eastAsia="Times New Roman" w:cs="Times New Roman"/>
          <w:color w:val="000000"/>
        </w:rPr>
        <w:t>CEC</w:t>
      </w:r>
      <w:r w:rsidR="009C57F5">
        <w:rPr>
          <w:rFonts w:eastAsia="Times New Roman" w:cs="Times New Roman"/>
          <w:color w:val="000000"/>
        </w:rPr>
        <w:t>) Integrated Energy Policy Report (</w:t>
      </w:r>
      <w:r w:rsidRPr="0056424D" w:rsidR="000906C9">
        <w:rPr>
          <w:rFonts w:eastAsia="Times New Roman" w:cs="Times New Roman"/>
          <w:color w:val="000000"/>
        </w:rPr>
        <w:t>IEPR</w:t>
      </w:r>
      <w:r w:rsidR="009C57F5">
        <w:rPr>
          <w:rFonts w:eastAsia="Times New Roman" w:cs="Times New Roman"/>
          <w:color w:val="000000"/>
        </w:rPr>
        <w:t>)</w:t>
      </w:r>
      <w:r w:rsidRPr="0056424D" w:rsidR="000906C9">
        <w:rPr>
          <w:rFonts w:eastAsia="Times New Roman" w:cs="Times New Roman"/>
          <w:color w:val="000000"/>
        </w:rPr>
        <w:t xml:space="preserve"> forecast) and hourly generation data of solar, wind</w:t>
      </w:r>
      <w:r>
        <w:rPr>
          <w:rFonts w:eastAsia="Times New Roman" w:cs="Times New Roman"/>
          <w:color w:val="000000"/>
        </w:rPr>
        <w:t>,</w:t>
      </w:r>
      <w:r w:rsidRPr="0056424D" w:rsidR="000906C9">
        <w:rPr>
          <w:rFonts w:eastAsia="Times New Roman" w:cs="Times New Roman"/>
          <w:color w:val="000000"/>
        </w:rPr>
        <w:t xml:space="preserve"> and hydro</w:t>
      </w:r>
      <w:r>
        <w:rPr>
          <w:rFonts w:eastAsia="Times New Roman" w:cs="Times New Roman"/>
          <w:color w:val="000000"/>
        </w:rPr>
        <w:t>electric</w:t>
      </w:r>
      <w:r w:rsidRPr="0056424D" w:rsidR="000906C9">
        <w:rPr>
          <w:rFonts w:eastAsia="Times New Roman" w:cs="Times New Roman"/>
          <w:color w:val="000000"/>
        </w:rPr>
        <w:t xml:space="preserve"> under a 50</w:t>
      </w:r>
      <w:r w:rsidR="00FD213B">
        <w:rPr>
          <w:rFonts w:eastAsia="Times New Roman" w:cs="Times New Roman"/>
          <w:color w:val="000000"/>
        </w:rPr>
        <w:t xml:space="preserve"> percent</w:t>
      </w:r>
      <w:r w:rsidRPr="0056424D" w:rsidR="000906C9">
        <w:rPr>
          <w:rFonts w:eastAsia="Times New Roman" w:cs="Times New Roman"/>
          <w:color w:val="000000"/>
        </w:rPr>
        <w:t xml:space="preserve"> exceedance by month (</w:t>
      </w:r>
      <w:r w:rsidR="00265125">
        <w:rPr>
          <w:rFonts w:eastAsia="Times New Roman" w:cs="Times New Roman"/>
          <w:color w:val="000000"/>
        </w:rPr>
        <w:t xml:space="preserve">using </w:t>
      </w:r>
      <w:r w:rsidRPr="0056424D" w:rsidR="000906C9">
        <w:rPr>
          <w:rFonts w:eastAsia="Times New Roman" w:cs="Times New Roman"/>
          <w:color w:val="000000"/>
        </w:rPr>
        <w:t xml:space="preserve">2018-2019 CAISO </w:t>
      </w:r>
      <w:r w:rsidR="00FA3AB2">
        <w:rPr>
          <w:rFonts w:eastAsia="Times New Roman" w:cs="Times New Roman"/>
          <w:color w:val="000000"/>
        </w:rPr>
        <w:t>Open Access Same-time Information System (</w:t>
      </w:r>
      <w:r w:rsidRPr="0056424D" w:rsidR="000906C9">
        <w:rPr>
          <w:rFonts w:eastAsia="Times New Roman" w:cs="Times New Roman"/>
          <w:color w:val="000000"/>
        </w:rPr>
        <w:t>OASIS</w:t>
      </w:r>
      <w:r w:rsidR="00FA3AB2">
        <w:rPr>
          <w:rFonts w:eastAsia="Times New Roman" w:cs="Times New Roman"/>
          <w:color w:val="000000"/>
        </w:rPr>
        <w:t>)</w:t>
      </w:r>
      <w:r w:rsidRPr="0056424D" w:rsidR="000906C9">
        <w:rPr>
          <w:rFonts w:eastAsia="Times New Roman" w:cs="Times New Roman"/>
          <w:color w:val="000000"/>
        </w:rPr>
        <w:t xml:space="preserve"> Resource Generation Data).  From this analysis</w:t>
      </w:r>
      <w:r w:rsidR="003F3B14">
        <w:rPr>
          <w:rFonts w:eastAsia="Times New Roman" w:cs="Times New Roman"/>
          <w:color w:val="000000"/>
        </w:rPr>
        <w:t>,</w:t>
      </w:r>
      <w:r w:rsidRPr="0056424D" w:rsidR="000906C9">
        <w:rPr>
          <w:rFonts w:eastAsia="Times New Roman" w:cs="Times New Roman"/>
          <w:color w:val="000000"/>
        </w:rPr>
        <w:t xml:space="preserve"> PG&amp;E provides three seasonal options:</w:t>
      </w:r>
      <w:r>
        <w:rPr>
          <w:rFonts w:eastAsia="Times New Roman" w:cs="Times New Roman"/>
          <w:color w:val="000000"/>
        </w:rPr>
        <w:t xml:space="preserve"> (</w:t>
      </w:r>
      <w:r w:rsidRPr="0056424D" w:rsidR="000906C9">
        <w:rPr>
          <w:rFonts w:eastAsia="Times New Roman" w:cs="Times New Roman"/>
          <w:color w:val="000000"/>
        </w:rPr>
        <w:t>1</w:t>
      </w:r>
      <w:r>
        <w:rPr>
          <w:rFonts w:eastAsia="Times New Roman" w:cs="Times New Roman"/>
          <w:color w:val="000000"/>
        </w:rPr>
        <w:t>) S</w:t>
      </w:r>
      <w:r w:rsidRPr="0056424D" w:rsidR="000906C9">
        <w:rPr>
          <w:rFonts w:eastAsia="Times New Roman" w:cs="Times New Roman"/>
          <w:color w:val="000000"/>
        </w:rPr>
        <w:t>ummer (June-September), Winter (November – April), Shoulder (May and October)</w:t>
      </w:r>
      <w:r>
        <w:rPr>
          <w:rFonts w:eastAsia="Times New Roman" w:cs="Times New Roman"/>
          <w:color w:val="000000"/>
        </w:rPr>
        <w:t>; (</w:t>
      </w:r>
      <w:r w:rsidRPr="0056424D" w:rsidR="000906C9">
        <w:rPr>
          <w:rFonts w:eastAsia="Times New Roman" w:cs="Times New Roman"/>
          <w:color w:val="000000"/>
        </w:rPr>
        <w:t>2</w:t>
      </w:r>
      <w:r>
        <w:rPr>
          <w:rFonts w:eastAsia="Times New Roman" w:cs="Times New Roman"/>
          <w:color w:val="000000"/>
        </w:rPr>
        <w:t>)</w:t>
      </w:r>
      <w:r w:rsidRPr="0056424D" w:rsidR="000906C9">
        <w:rPr>
          <w:rFonts w:eastAsia="Times New Roman" w:cs="Times New Roman"/>
          <w:color w:val="000000"/>
        </w:rPr>
        <w:t xml:space="preserve"> Early Summer (May-July), Late Summer (August-</w:t>
      </w:r>
      <w:r w:rsidR="00FD213B">
        <w:rPr>
          <w:rFonts w:eastAsia="Times New Roman" w:cs="Times New Roman"/>
          <w:color w:val="000000"/>
        </w:rPr>
        <w:t> </w:t>
      </w:r>
      <w:r w:rsidRPr="0056424D" w:rsidR="000906C9">
        <w:rPr>
          <w:rFonts w:eastAsia="Times New Roman" w:cs="Times New Roman"/>
          <w:color w:val="000000"/>
        </w:rPr>
        <w:t>October), Winter (November-April)</w:t>
      </w:r>
      <w:r>
        <w:rPr>
          <w:rFonts w:eastAsia="Times New Roman" w:cs="Times New Roman"/>
          <w:color w:val="000000"/>
        </w:rPr>
        <w:t xml:space="preserve">; </w:t>
      </w:r>
      <w:r w:rsidR="00611851">
        <w:rPr>
          <w:rFonts w:eastAsia="Times New Roman" w:cs="Times New Roman"/>
          <w:color w:val="000000"/>
        </w:rPr>
        <w:t>or</w:t>
      </w:r>
      <w:r>
        <w:rPr>
          <w:rFonts w:eastAsia="Times New Roman" w:cs="Times New Roman"/>
          <w:color w:val="000000"/>
        </w:rPr>
        <w:t xml:space="preserve"> (3) </w:t>
      </w:r>
      <w:r w:rsidRPr="0056424D" w:rsidR="000906C9">
        <w:rPr>
          <w:rFonts w:eastAsia="Times New Roman" w:cs="Times New Roman"/>
          <w:color w:val="000000"/>
        </w:rPr>
        <w:t>Summer (May-August), Winter (November-April), Fall (September-October)</w:t>
      </w:r>
      <w:r>
        <w:rPr>
          <w:rFonts w:eastAsia="Times New Roman" w:cs="Times New Roman"/>
          <w:color w:val="000000"/>
        </w:rPr>
        <w:t>.</w:t>
      </w:r>
      <w:r w:rsidR="005166D4">
        <w:rPr>
          <w:rFonts w:eastAsia="Times New Roman" w:cs="Times New Roman"/>
          <w:color w:val="000000"/>
        </w:rPr>
        <w:t xml:space="preserve">  </w:t>
      </w:r>
      <w:r w:rsidRPr="005166D4" w:rsidR="000906C9">
        <w:t xml:space="preserve">PG&amp;E </w:t>
      </w:r>
      <w:r w:rsidR="00E95CFB">
        <w:t>states</w:t>
      </w:r>
      <w:r w:rsidRPr="005166D4" w:rsidR="000906C9">
        <w:t xml:space="preserve"> that determining seasons and slices should be coordinated to ensure a balance between administrative effort and accuracy in determining the level of reliability sought. </w:t>
      </w:r>
      <w:r w:rsidRPr="005166D4" w:rsidR="000906C9">
        <w:rPr>
          <w:rFonts w:eastAsia="Times New Roman" w:cs="Times New Roman"/>
          <w:color w:val="000000"/>
        </w:rPr>
        <w:t xml:space="preserve"> </w:t>
      </w:r>
    </w:p>
    <w:p w:rsidR="00CF6631" w:rsidP="007D5F14" w:rsidRDefault="008F6AB4" w14:paraId="04D4171D" w14:textId="7F67F957">
      <w:pPr>
        <w:autoSpaceDE w:val="0"/>
        <w:autoSpaceDN w:val="0"/>
        <w:adjustRightInd w:val="0"/>
        <w:rPr>
          <w:rFonts w:eastAsia="Times New Roman" w:cs="Times New Roman"/>
          <w:color w:val="000000"/>
        </w:rPr>
      </w:pPr>
      <w:r>
        <w:rPr>
          <w:rFonts w:eastAsia="Times New Roman" w:cs="Times New Roman"/>
          <w:color w:val="000000"/>
        </w:rPr>
        <w:t>To allocate</w:t>
      </w:r>
      <w:r w:rsidRPr="005166D4" w:rsidR="000906C9">
        <w:rPr>
          <w:rFonts w:eastAsia="Times New Roman" w:cs="Times New Roman"/>
          <w:color w:val="000000"/>
        </w:rPr>
        <w:t xml:space="preserve"> RA requirements to LSEs, the proposal identifies three options: top-down, bottom-up, and hybrid. </w:t>
      </w:r>
      <w:r w:rsidR="00B715CB">
        <w:rPr>
          <w:rFonts w:eastAsia="Times New Roman" w:cs="Times New Roman"/>
          <w:color w:val="000000"/>
        </w:rPr>
        <w:t xml:space="preserve"> </w:t>
      </w:r>
      <w:r w:rsidR="00AE762B">
        <w:rPr>
          <w:rFonts w:eastAsia="Times New Roman" w:cs="Times New Roman"/>
          <w:color w:val="000000"/>
        </w:rPr>
        <w:t>A</w:t>
      </w:r>
      <w:r w:rsidRPr="005166D4" w:rsidR="000906C9">
        <w:rPr>
          <w:rFonts w:eastAsia="Times New Roman" w:cs="Times New Roman"/>
          <w:color w:val="000000"/>
        </w:rPr>
        <w:t xml:space="preserve"> top-down approach would establish requirements based on</w:t>
      </w:r>
      <w:r w:rsidR="00AE762B">
        <w:rPr>
          <w:rFonts w:eastAsia="Times New Roman" w:cs="Times New Roman"/>
          <w:color w:val="000000"/>
        </w:rPr>
        <w:t xml:space="preserve"> the</w:t>
      </w:r>
      <w:r w:rsidRPr="005166D4" w:rsidR="000906C9">
        <w:rPr>
          <w:rFonts w:eastAsia="Times New Roman" w:cs="Times New Roman"/>
          <w:color w:val="000000"/>
        </w:rPr>
        <w:t xml:space="preserve"> existing CAISO</w:t>
      </w:r>
      <w:r w:rsidR="00AE762B">
        <w:rPr>
          <w:rFonts w:eastAsia="Times New Roman" w:cs="Times New Roman"/>
          <w:color w:val="000000"/>
        </w:rPr>
        <w:t>-</w:t>
      </w:r>
      <w:r w:rsidRPr="005166D4" w:rsidR="000906C9">
        <w:rPr>
          <w:rFonts w:eastAsia="Times New Roman" w:cs="Times New Roman"/>
          <w:color w:val="000000"/>
        </w:rPr>
        <w:t xml:space="preserve">level hourly CEC forecast and </w:t>
      </w:r>
      <w:r w:rsidRPr="005166D4" w:rsidR="000906C9">
        <w:t xml:space="preserve">allocate </w:t>
      </w:r>
      <w:r w:rsidR="00AE762B">
        <w:t xml:space="preserve">an LSE’s </w:t>
      </w:r>
      <w:r w:rsidRPr="005166D4" w:rsidR="000906C9">
        <w:t xml:space="preserve">requirements (the share of each season and slice) based on </w:t>
      </w:r>
      <w:r w:rsidR="00AE762B">
        <w:t>its</w:t>
      </w:r>
      <w:r w:rsidRPr="005166D4" w:rsidR="000906C9">
        <w:t xml:space="preserve"> monthly coincident peak load share. </w:t>
      </w:r>
      <w:r w:rsidR="00AE762B">
        <w:t xml:space="preserve"> </w:t>
      </w:r>
      <w:r w:rsidRPr="005166D4" w:rsidR="000906C9">
        <w:rPr>
          <w:rFonts w:eastAsia="Times New Roman" w:cs="Times New Roman"/>
          <w:color w:val="000000"/>
        </w:rPr>
        <w:t xml:space="preserve">A bottom-up approach would set requirements based on each LSE’s forecasted load </w:t>
      </w:r>
      <w:r w:rsidR="00CF6631">
        <w:rPr>
          <w:rFonts w:eastAsia="Times New Roman" w:cs="Times New Roman"/>
          <w:color w:val="000000"/>
        </w:rPr>
        <w:t xml:space="preserve">for each slice and season </w:t>
      </w:r>
      <w:r w:rsidRPr="005166D4" w:rsidR="000906C9">
        <w:rPr>
          <w:rFonts w:eastAsia="Times New Roman" w:cs="Times New Roman"/>
          <w:color w:val="000000"/>
        </w:rPr>
        <w:t>and</w:t>
      </w:r>
      <w:r w:rsidR="00CF6631">
        <w:rPr>
          <w:rFonts w:eastAsia="Times New Roman" w:cs="Times New Roman"/>
          <w:color w:val="000000"/>
        </w:rPr>
        <w:t xml:space="preserve"> then aggregate up to the CAISO system level needs</w:t>
      </w:r>
      <w:r w:rsidRPr="005166D4" w:rsidR="000906C9">
        <w:rPr>
          <w:rFonts w:eastAsia="Times New Roman" w:cs="Times New Roman"/>
          <w:color w:val="000000"/>
        </w:rPr>
        <w:t xml:space="preserve">. </w:t>
      </w:r>
      <w:r w:rsidR="00AE762B">
        <w:rPr>
          <w:rFonts w:eastAsia="Times New Roman" w:cs="Times New Roman"/>
          <w:color w:val="000000"/>
        </w:rPr>
        <w:t xml:space="preserve"> The</w:t>
      </w:r>
      <w:r w:rsidRPr="005166D4" w:rsidR="000906C9">
        <w:rPr>
          <w:rFonts w:eastAsia="Times New Roman" w:cs="Times New Roman"/>
          <w:color w:val="000000"/>
        </w:rPr>
        <w:t xml:space="preserve"> hybrid approach </w:t>
      </w:r>
      <w:r w:rsidR="00AE762B">
        <w:rPr>
          <w:rFonts w:eastAsia="Times New Roman" w:cs="Times New Roman"/>
          <w:color w:val="000000"/>
        </w:rPr>
        <w:t>sets</w:t>
      </w:r>
      <w:r w:rsidRPr="005166D4" w:rsidR="000906C9">
        <w:rPr>
          <w:rFonts w:eastAsia="Times New Roman" w:cs="Times New Roman"/>
          <w:color w:val="000000"/>
        </w:rPr>
        <w:t xml:space="preserve"> requirements using</w:t>
      </w:r>
      <w:r w:rsidR="00CF6631">
        <w:rPr>
          <w:rFonts w:eastAsia="Times New Roman" w:cs="Times New Roman"/>
          <w:color w:val="000000"/>
        </w:rPr>
        <w:t xml:space="preserve"> the</w:t>
      </w:r>
      <w:r w:rsidRPr="005166D4" w:rsidR="000906C9">
        <w:rPr>
          <w:rFonts w:eastAsia="Times New Roman" w:cs="Times New Roman"/>
          <w:color w:val="000000"/>
        </w:rPr>
        <w:t xml:space="preserve"> existing </w:t>
      </w:r>
      <w:r w:rsidR="00CF6631">
        <w:rPr>
          <w:rFonts w:eastAsia="Times New Roman" w:cs="Times New Roman"/>
          <w:color w:val="000000"/>
        </w:rPr>
        <w:t>CAISO</w:t>
      </w:r>
      <w:r w:rsidR="005875AB">
        <w:rPr>
          <w:rFonts w:eastAsia="Times New Roman" w:cs="Times New Roman"/>
          <w:color w:val="000000"/>
        </w:rPr>
        <w:t>-</w:t>
      </w:r>
      <w:r w:rsidR="00CF6631">
        <w:rPr>
          <w:rFonts w:eastAsia="Times New Roman" w:cs="Times New Roman"/>
          <w:color w:val="000000"/>
        </w:rPr>
        <w:t xml:space="preserve">level </w:t>
      </w:r>
      <w:r w:rsidRPr="005166D4" w:rsidR="000906C9">
        <w:rPr>
          <w:rFonts w:eastAsia="Times New Roman" w:cs="Times New Roman"/>
          <w:color w:val="000000"/>
        </w:rPr>
        <w:t>hourly forecast but allocate</w:t>
      </w:r>
      <w:r w:rsidR="00AE762B">
        <w:rPr>
          <w:rFonts w:eastAsia="Times New Roman" w:cs="Times New Roman"/>
          <w:color w:val="000000"/>
        </w:rPr>
        <w:t>s</w:t>
      </w:r>
      <w:r w:rsidRPr="005166D4" w:rsidR="000906C9">
        <w:rPr>
          <w:rFonts w:eastAsia="Times New Roman" w:cs="Times New Roman"/>
          <w:color w:val="000000"/>
        </w:rPr>
        <w:t xml:space="preserve"> to </w:t>
      </w:r>
      <w:r w:rsidR="006A10DC">
        <w:rPr>
          <w:rFonts w:eastAsia="Times New Roman" w:cs="Times New Roman"/>
          <w:color w:val="000000"/>
        </w:rPr>
        <w:t xml:space="preserve">an </w:t>
      </w:r>
      <w:r w:rsidRPr="005166D4" w:rsidR="000906C9">
        <w:rPr>
          <w:rFonts w:eastAsia="Times New Roman" w:cs="Times New Roman"/>
          <w:color w:val="000000"/>
        </w:rPr>
        <w:t xml:space="preserve">LSE based on each LSE’s specific load </w:t>
      </w:r>
      <w:r w:rsidR="00CF6631">
        <w:rPr>
          <w:rFonts w:eastAsia="Times New Roman" w:cs="Times New Roman"/>
          <w:color w:val="000000"/>
        </w:rPr>
        <w:t>in each slice and season</w:t>
      </w:r>
      <w:r w:rsidRPr="005166D4" w:rsidR="000906C9">
        <w:rPr>
          <w:rFonts w:eastAsia="Times New Roman" w:cs="Times New Roman"/>
          <w:color w:val="000000"/>
        </w:rPr>
        <w:t>.</w:t>
      </w:r>
      <w:r w:rsidR="00AE762B">
        <w:rPr>
          <w:rFonts w:eastAsia="Times New Roman" w:cs="Times New Roman"/>
          <w:color w:val="000000"/>
        </w:rPr>
        <w:t xml:space="preserve">  </w:t>
      </w:r>
      <w:r w:rsidRPr="00855B1F" w:rsidR="00CF6631">
        <w:rPr>
          <w:rFonts w:cs="TimesNewRomanPSMT"/>
          <w:szCs w:val="26"/>
        </w:rPr>
        <w:t xml:space="preserve">To account for </w:t>
      </w:r>
      <w:r w:rsidRPr="00855B1F" w:rsidR="00CF6631">
        <w:rPr>
          <w:rFonts w:cs="TimesNewRomanPSMT"/>
          <w:szCs w:val="26"/>
        </w:rPr>
        <w:lastRenderedPageBreak/>
        <w:t>the capacity needed for energy storage charging, PG&amp;E proposes that “LSEs that have energy storage in their portfolio would be required to include additional capacity in another slice to account for the charging</w:t>
      </w:r>
      <w:r w:rsidR="00CF6631">
        <w:rPr>
          <w:rFonts w:cs="TimesNewRomanPSMT"/>
          <w:szCs w:val="26"/>
        </w:rPr>
        <w:t>.”</w:t>
      </w:r>
      <w:r w:rsidR="00CF6631">
        <w:rPr>
          <w:rStyle w:val="FootnoteReference"/>
          <w:rFonts w:cs="TimesNewRomanPSMT"/>
          <w:szCs w:val="26"/>
        </w:rPr>
        <w:footnoteReference w:id="17"/>
      </w:r>
    </w:p>
    <w:p w:rsidR="007D5F14" w:rsidP="007D5F14" w:rsidRDefault="000906C9" w14:paraId="764E2EE7" w14:textId="3052BE03">
      <w:pPr>
        <w:autoSpaceDE w:val="0"/>
        <w:autoSpaceDN w:val="0"/>
        <w:adjustRightInd w:val="0"/>
        <w:rPr>
          <w:rFonts w:eastAsia="Times New Roman" w:cs="Times New Roman"/>
          <w:color w:val="000000"/>
        </w:rPr>
      </w:pPr>
      <w:r w:rsidRPr="007D5F14">
        <w:rPr>
          <w:rFonts w:eastAsia="Times New Roman" w:cs="Times New Roman"/>
          <w:color w:val="000000"/>
        </w:rPr>
        <w:t>In its revised proposal, PG&amp;E considers using</w:t>
      </w:r>
      <w:r w:rsidR="007D5F14">
        <w:rPr>
          <w:rFonts w:eastAsia="Times New Roman" w:cs="Times New Roman"/>
          <w:color w:val="000000"/>
        </w:rPr>
        <w:t xml:space="preserve"> a </w:t>
      </w:r>
      <w:r w:rsidRPr="007D5F14">
        <w:rPr>
          <w:rFonts w:eastAsia="Times New Roman" w:cs="Times New Roman"/>
          <w:color w:val="000000"/>
        </w:rPr>
        <w:t>net peak load v</w:t>
      </w:r>
      <w:r w:rsidR="007D5F14">
        <w:rPr>
          <w:rFonts w:eastAsia="Times New Roman" w:cs="Times New Roman"/>
          <w:color w:val="000000"/>
        </w:rPr>
        <w:t>ersus</w:t>
      </w:r>
      <w:r w:rsidRPr="007D5F14">
        <w:rPr>
          <w:rFonts w:eastAsia="Times New Roman" w:cs="Times New Roman"/>
          <w:color w:val="000000"/>
        </w:rPr>
        <w:t xml:space="preserve"> </w:t>
      </w:r>
      <w:r w:rsidR="007D5F14">
        <w:rPr>
          <w:rFonts w:eastAsia="Times New Roman" w:cs="Times New Roman"/>
          <w:color w:val="000000"/>
        </w:rPr>
        <w:t xml:space="preserve">a </w:t>
      </w:r>
      <w:r w:rsidRPr="007D5F14">
        <w:rPr>
          <w:rFonts w:eastAsia="Times New Roman" w:cs="Times New Roman"/>
          <w:color w:val="000000"/>
        </w:rPr>
        <w:t>gross peak load approach to establish requirements</w:t>
      </w:r>
      <w:r w:rsidR="007D5F14">
        <w:rPr>
          <w:rFonts w:eastAsia="Times New Roman" w:cs="Times New Roman"/>
          <w:color w:val="000000"/>
        </w:rPr>
        <w:t>:</w:t>
      </w:r>
    </w:p>
    <w:p w:rsidRPr="00FD213B" w:rsidR="000906C9" w:rsidP="00FD213B" w:rsidRDefault="007D5F14" w14:paraId="5EF8C0BD" w14:textId="7DD12137">
      <w:pPr>
        <w:pStyle w:val="BlockQuote"/>
      </w:pPr>
      <w:r>
        <w:t>A</w:t>
      </w:r>
      <w:r w:rsidRPr="007D5F14" w:rsidR="000906C9">
        <w:t xml:space="preserve"> critical consideration under either approach is ensuring a desired level of reliability, which should be linked to the resource counting framework. </w:t>
      </w:r>
      <w:r>
        <w:t xml:space="preserve"> </w:t>
      </w:r>
      <w:r w:rsidRPr="007D5F14" w:rsidR="000906C9">
        <w:t>Under a net peak load view, a more conservative resource counting for solar and wind resources might be warranted, as the resource profile would reduce load requirements one-for-one. The gross peak load view might enable a less conservative resource counting value.</w:t>
      </w:r>
      <w:r w:rsidR="003D7709">
        <w:rPr>
          <w:rStyle w:val="FootnoteReference"/>
        </w:rPr>
        <w:footnoteReference w:id="18"/>
      </w:r>
    </w:p>
    <w:p w:rsidRPr="00D20BA0" w:rsidR="00AC67ED" w:rsidP="00D20BA0" w:rsidRDefault="00012CBD" w14:paraId="20D494C7" w14:textId="336EEFE6">
      <w:pPr>
        <w:pStyle w:val="Default"/>
        <w:spacing w:line="360" w:lineRule="auto"/>
        <w:ind w:firstLine="720"/>
        <w:rPr>
          <w:rFonts w:ascii="Book Antiqua" w:hAnsi="Book Antiqua" w:eastAsia="Times New Roman"/>
          <w:sz w:val="26"/>
          <w:szCs w:val="26"/>
        </w:rPr>
      </w:pPr>
      <w:r>
        <w:rPr>
          <w:rFonts w:ascii="Book Antiqua" w:hAnsi="Book Antiqua" w:eastAsia="Times New Roman"/>
          <w:sz w:val="26"/>
          <w:szCs w:val="26"/>
        </w:rPr>
        <w:t xml:space="preserve">For resource counting rules, </w:t>
      </w:r>
      <w:r w:rsidRPr="007D5F14" w:rsidR="000906C9">
        <w:rPr>
          <w:rFonts w:ascii="Book Antiqua" w:hAnsi="Book Antiqua" w:eastAsia="Times New Roman"/>
          <w:sz w:val="26"/>
          <w:szCs w:val="26"/>
        </w:rPr>
        <w:t xml:space="preserve">PG&amp;E </w:t>
      </w:r>
      <w:r>
        <w:rPr>
          <w:rFonts w:ascii="Book Antiqua" w:hAnsi="Book Antiqua" w:eastAsia="Times New Roman"/>
          <w:sz w:val="26"/>
          <w:szCs w:val="26"/>
        </w:rPr>
        <w:t>identifies three objectives: (1) simpl</w:t>
      </w:r>
      <w:r w:rsidR="00D207B7">
        <w:rPr>
          <w:rFonts w:ascii="Book Antiqua" w:hAnsi="Book Antiqua" w:eastAsia="Times New Roman"/>
          <w:sz w:val="26"/>
          <w:szCs w:val="26"/>
        </w:rPr>
        <w:t>if</w:t>
      </w:r>
      <w:r>
        <w:rPr>
          <w:rFonts w:ascii="Book Antiqua" w:hAnsi="Book Antiqua" w:eastAsia="Times New Roman"/>
          <w:sz w:val="26"/>
          <w:szCs w:val="26"/>
        </w:rPr>
        <w:t xml:space="preserve">y the counting rules; (2) address the need for more than one RA value for solar and wind resources; and (3) ensure physical and resource-specific characteristics are considered and incorporated.  PG&amp;E asserts that </w:t>
      </w:r>
      <w:r w:rsidRPr="007D5F14" w:rsidR="000906C9">
        <w:rPr>
          <w:rFonts w:ascii="Book Antiqua" w:hAnsi="Book Antiqua" w:eastAsia="Times New Roman"/>
          <w:sz w:val="26"/>
          <w:szCs w:val="26"/>
        </w:rPr>
        <w:t xml:space="preserve">an exceedance-based </w:t>
      </w:r>
      <w:r>
        <w:rPr>
          <w:rFonts w:ascii="Book Antiqua" w:hAnsi="Book Antiqua" w:eastAsia="Times New Roman"/>
          <w:sz w:val="26"/>
          <w:szCs w:val="26"/>
        </w:rPr>
        <w:t>approach is the best way to meet these objectives</w:t>
      </w:r>
      <w:r w:rsidR="001E78F8">
        <w:rPr>
          <w:rFonts w:ascii="Book Antiqua" w:hAnsi="Book Antiqua" w:eastAsia="Times New Roman"/>
          <w:sz w:val="26"/>
          <w:szCs w:val="26"/>
        </w:rPr>
        <w:t xml:space="preserve"> for most resources</w:t>
      </w:r>
      <w:r>
        <w:rPr>
          <w:rFonts w:ascii="Book Antiqua" w:hAnsi="Book Antiqua" w:eastAsia="Times New Roman"/>
          <w:sz w:val="26"/>
          <w:szCs w:val="26"/>
        </w:rPr>
        <w:t xml:space="preserve">.  PG&amp;E </w:t>
      </w:r>
      <w:r w:rsidR="002256D0">
        <w:rPr>
          <w:rFonts w:ascii="Book Antiqua" w:hAnsi="Book Antiqua" w:eastAsia="Times New Roman"/>
          <w:sz w:val="26"/>
          <w:szCs w:val="26"/>
        </w:rPr>
        <w:t xml:space="preserve">also </w:t>
      </w:r>
      <w:r>
        <w:rPr>
          <w:rFonts w:ascii="Book Antiqua" w:hAnsi="Book Antiqua" w:eastAsia="Times New Roman"/>
          <w:sz w:val="26"/>
          <w:szCs w:val="26"/>
        </w:rPr>
        <w:t xml:space="preserve">notes that an exceedance-based approach could be coordinated with CAISO’s </w:t>
      </w:r>
      <w:r w:rsidR="009B3B45">
        <w:rPr>
          <w:rFonts w:ascii="Book Antiqua" w:hAnsi="Book Antiqua" w:eastAsia="Times New Roman"/>
          <w:sz w:val="26"/>
          <w:szCs w:val="26"/>
        </w:rPr>
        <w:t>unforced capacity evaluation</w:t>
      </w:r>
      <w:r>
        <w:rPr>
          <w:rFonts w:ascii="Book Antiqua" w:hAnsi="Book Antiqua" w:eastAsia="Times New Roman"/>
          <w:sz w:val="26"/>
          <w:szCs w:val="26"/>
        </w:rPr>
        <w:t xml:space="preserve"> proposal to account for forced outages.</w:t>
      </w:r>
    </w:p>
    <w:p w:rsidR="0062414A" w:rsidP="0037538D" w:rsidRDefault="0062414A" w14:paraId="09996DE2" w14:textId="09E9B81D">
      <w:pPr>
        <w:pStyle w:val="Default"/>
        <w:spacing w:line="360" w:lineRule="auto"/>
        <w:ind w:firstLine="720"/>
        <w:rPr>
          <w:rFonts w:ascii="Book Antiqua" w:hAnsi="Book Antiqua" w:eastAsia="Times New Roman"/>
          <w:sz w:val="26"/>
          <w:szCs w:val="26"/>
        </w:rPr>
      </w:pPr>
      <w:r>
        <w:rPr>
          <w:rFonts w:ascii="Book Antiqua" w:hAnsi="Book Antiqua" w:cs="TimesNewRomanPSMT"/>
          <w:sz w:val="26"/>
          <w:szCs w:val="26"/>
        </w:rPr>
        <w:t xml:space="preserve">In its second revised proposal, </w:t>
      </w:r>
      <w:r w:rsidRPr="007D5F14" w:rsidR="000906C9">
        <w:rPr>
          <w:rFonts w:ascii="Book Antiqua" w:hAnsi="Book Antiqua" w:eastAsia="Times New Roman"/>
          <w:sz w:val="26"/>
          <w:szCs w:val="26"/>
        </w:rPr>
        <w:t xml:space="preserve">PG&amp;E </w:t>
      </w:r>
      <w:r w:rsidR="00012CBD">
        <w:rPr>
          <w:rFonts w:ascii="Book Antiqua" w:hAnsi="Book Antiqua" w:eastAsia="Times New Roman"/>
          <w:sz w:val="26"/>
          <w:szCs w:val="26"/>
        </w:rPr>
        <w:t xml:space="preserve">proposes that </w:t>
      </w:r>
      <w:r>
        <w:rPr>
          <w:rFonts w:ascii="Book Antiqua" w:hAnsi="Book Antiqua" w:eastAsia="Times New Roman"/>
          <w:sz w:val="26"/>
          <w:szCs w:val="26"/>
        </w:rPr>
        <w:t xml:space="preserve">the </w:t>
      </w:r>
      <w:r w:rsidR="006C0218">
        <w:rPr>
          <w:rFonts w:ascii="Book Antiqua" w:hAnsi="Book Antiqua" w:eastAsia="Times New Roman"/>
          <w:sz w:val="26"/>
          <w:szCs w:val="26"/>
        </w:rPr>
        <w:t>m</w:t>
      </w:r>
      <w:r>
        <w:rPr>
          <w:rFonts w:ascii="Book Antiqua" w:hAnsi="Book Antiqua" w:eastAsia="Times New Roman"/>
          <w:sz w:val="26"/>
          <w:szCs w:val="26"/>
        </w:rPr>
        <w:t>ust-</w:t>
      </w:r>
      <w:r w:rsidR="006C0218">
        <w:rPr>
          <w:rFonts w:ascii="Book Antiqua" w:hAnsi="Book Antiqua" w:eastAsia="Times New Roman"/>
          <w:sz w:val="26"/>
          <w:szCs w:val="26"/>
        </w:rPr>
        <w:t>o</w:t>
      </w:r>
      <w:r>
        <w:rPr>
          <w:rFonts w:ascii="Book Antiqua" w:hAnsi="Book Antiqua" w:eastAsia="Times New Roman"/>
          <w:sz w:val="26"/>
          <w:szCs w:val="26"/>
        </w:rPr>
        <w:t xml:space="preserve">ffer </w:t>
      </w:r>
      <w:r w:rsidR="006C0218">
        <w:rPr>
          <w:rFonts w:ascii="Book Antiqua" w:hAnsi="Book Antiqua" w:eastAsia="Times New Roman"/>
          <w:sz w:val="26"/>
          <w:szCs w:val="26"/>
        </w:rPr>
        <w:t>o</w:t>
      </w:r>
      <w:r>
        <w:rPr>
          <w:rFonts w:ascii="Book Antiqua" w:hAnsi="Book Antiqua" w:eastAsia="Times New Roman"/>
          <w:sz w:val="26"/>
          <w:szCs w:val="26"/>
        </w:rPr>
        <w:t>bligations (MOO) for each slice</w:t>
      </w:r>
      <w:r w:rsidR="00E27F6B">
        <w:rPr>
          <w:rFonts w:ascii="Book Antiqua" w:hAnsi="Book Antiqua" w:eastAsia="Times New Roman"/>
          <w:sz w:val="26"/>
          <w:szCs w:val="26"/>
        </w:rPr>
        <w:t>-</w:t>
      </w:r>
      <w:r>
        <w:rPr>
          <w:rFonts w:ascii="Book Antiqua" w:hAnsi="Book Antiqua" w:eastAsia="Times New Roman"/>
          <w:sz w:val="26"/>
          <w:szCs w:val="26"/>
        </w:rPr>
        <w:t>of</w:t>
      </w:r>
      <w:r w:rsidR="00E27F6B">
        <w:rPr>
          <w:rFonts w:ascii="Book Antiqua" w:hAnsi="Book Antiqua" w:eastAsia="Times New Roman"/>
          <w:sz w:val="26"/>
          <w:szCs w:val="26"/>
        </w:rPr>
        <w:t>-</w:t>
      </w:r>
      <w:r>
        <w:rPr>
          <w:rFonts w:ascii="Book Antiqua" w:hAnsi="Book Antiqua" w:eastAsia="Times New Roman"/>
          <w:sz w:val="26"/>
          <w:szCs w:val="26"/>
        </w:rPr>
        <w:t xml:space="preserve">day only apply to the day-ahead market.  PG&amp;E proposes that </w:t>
      </w:r>
      <w:r w:rsidR="006C0218">
        <w:rPr>
          <w:rFonts w:ascii="Book Antiqua" w:hAnsi="Book Antiqua" w:eastAsia="Times New Roman"/>
          <w:sz w:val="26"/>
          <w:szCs w:val="26"/>
        </w:rPr>
        <w:t xml:space="preserve">for </w:t>
      </w:r>
      <w:r>
        <w:rPr>
          <w:rFonts w:ascii="Book Antiqua" w:hAnsi="Book Antiqua" w:eastAsia="Times New Roman"/>
          <w:sz w:val="26"/>
          <w:szCs w:val="26"/>
        </w:rPr>
        <w:t xml:space="preserve">storage: </w:t>
      </w:r>
    </w:p>
    <w:p w:rsidR="00BA43E4" w:rsidP="00FD213B" w:rsidRDefault="006C0218" w14:paraId="7C637EC0" w14:textId="46C51815">
      <w:pPr>
        <w:pStyle w:val="BlockQuote"/>
      </w:pPr>
      <w:r>
        <w:t xml:space="preserve">Storage resource would still </w:t>
      </w:r>
      <w:r w:rsidR="0062414A">
        <w:t xml:space="preserve">be linked to capacity to produce energy during another slice-of-day, but the storage device would not be required to charge during that slice, but could charge during any slice it was not counting for RA.  This would allow freedom for </w:t>
      </w:r>
      <w:r w:rsidR="0062414A">
        <w:lastRenderedPageBreak/>
        <w:t>storage resources to deviate from their day-ahead schedules for charging should real-time prices provide the opportunity.</w:t>
      </w:r>
      <w:r w:rsidR="0062414A">
        <w:rPr>
          <w:rStyle w:val="FootnoteReference"/>
          <w:rFonts w:eastAsia="Times New Roman"/>
          <w:szCs w:val="26"/>
        </w:rPr>
        <w:footnoteReference w:id="19"/>
      </w:r>
    </w:p>
    <w:p w:rsidRPr="002256D0" w:rsidR="002256D0" w:rsidP="002256D0" w:rsidRDefault="002256D0" w14:paraId="1239B6DF" w14:textId="7D226F49">
      <w:pPr>
        <w:pStyle w:val="Default"/>
        <w:spacing w:line="360" w:lineRule="auto"/>
        <w:ind w:firstLine="720"/>
        <w:rPr>
          <w:rFonts w:ascii="Book Antiqua" w:hAnsi="Book Antiqua" w:cs="TimesNewRomanPSMT"/>
          <w:sz w:val="26"/>
          <w:szCs w:val="26"/>
        </w:rPr>
      </w:pPr>
      <w:r w:rsidRPr="00B85412">
        <w:rPr>
          <w:rFonts w:ascii="Book Antiqua" w:hAnsi="Book Antiqua" w:cs="TimesNewRomanPSMT"/>
          <w:sz w:val="26"/>
          <w:szCs w:val="26"/>
        </w:rPr>
        <w:t xml:space="preserve">PG&amp;E </w:t>
      </w:r>
      <w:r>
        <w:rPr>
          <w:rFonts w:ascii="Book Antiqua" w:hAnsi="Book Antiqua" w:cs="TimesNewRomanPSMT"/>
          <w:sz w:val="26"/>
          <w:szCs w:val="26"/>
        </w:rPr>
        <w:t>also states</w:t>
      </w:r>
      <w:r w:rsidRPr="00B85412">
        <w:rPr>
          <w:rFonts w:ascii="Book Antiqua" w:hAnsi="Book Antiqua" w:cs="TimesNewRomanPSMT"/>
          <w:sz w:val="26"/>
          <w:szCs w:val="26"/>
        </w:rPr>
        <w:t xml:space="preserve"> that the current 24</w:t>
      </w:r>
      <w:r>
        <w:rPr>
          <w:rFonts w:ascii="Book Antiqua" w:hAnsi="Book Antiqua" w:cs="TimesNewRomanPSMT"/>
          <w:sz w:val="26"/>
          <w:szCs w:val="26"/>
        </w:rPr>
        <w:t xml:space="preserve"> </w:t>
      </w:r>
      <w:r w:rsidRPr="00B85412">
        <w:rPr>
          <w:rFonts w:ascii="Book Antiqua" w:hAnsi="Book Antiqua" w:cs="TimesNewRomanPSMT"/>
          <w:sz w:val="26"/>
          <w:szCs w:val="26"/>
        </w:rPr>
        <w:t>x</w:t>
      </w:r>
      <w:r>
        <w:rPr>
          <w:rFonts w:ascii="Book Antiqua" w:hAnsi="Book Antiqua" w:cs="TimesNewRomanPSMT"/>
          <w:sz w:val="26"/>
          <w:szCs w:val="26"/>
        </w:rPr>
        <w:t xml:space="preserve"> </w:t>
      </w:r>
      <w:r w:rsidRPr="00B85412">
        <w:rPr>
          <w:rFonts w:ascii="Book Antiqua" w:hAnsi="Book Antiqua" w:cs="TimesNewRomanPSMT"/>
          <w:sz w:val="26"/>
          <w:szCs w:val="26"/>
        </w:rPr>
        <w:t>7 MOO could apply to its proposal, so long as resource performance assessment penalties are limited to slices</w:t>
      </w:r>
      <w:r w:rsidR="00A913C0">
        <w:rPr>
          <w:rFonts w:ascii="Book Antiqua" w:hAnsi="Book Antiqua" w:cs="TimesNewRomanPSMT"/>
          <w:sz w:val="26"/>
          <w:szCs w:val="26"/>
        </w:rPr>
        <w:t>-</w:t>
      </w:r>
      <w:r w:rsidRPr="00B85412">
        <w:rPr>
          <w:rFonts w:ascii="Book Antiqua" w:hAnsi="Book Antiqua" w:cs="TimesNewRomanPSMT"/>
          <w:sz w:val="26"/>
          <w:szCs w:val="26"/>
        </w:rPr>
        <w:t>of</w:t>
      </w:r>
      <w:r w:rsidR="00A913C0">
        <w:rPr>
          <w:rFonts w:ascii="Book Antiqua" w:hAnsi="Book Antiqua" w:cs="TimesNewRomanPSMT"/>
          <w:sz w:val="26"/>
          <w:szCs w:val="26"/>
        </w:rPr>
        <w:t>-</w:t>
      </w:r>
      <w:r w:rsidRPr="00B85412">
        <w:rPr>
          <w:rFonts w:ascii="Book Antiqua" w:hAnsi="Book Antiqua" w:cs="TimesNewRomanPSMT"/>
          <w:sz w:val="26"/>
          <w:szCs w:val="26"/>
        </w:rPr>
        <w:t>day th</w:t>
      </w:r>
      <w:r w:rsidR="005875AB">
        <w:rPr>
          <w:rFonts w:ascii="Book Antiqua" w:hAnsi="Book Antiqua" w:cs="TimesNewRomanPSMT"/>
          <w:sz w:val="26"/>
          <w:szCs w:val="26"/>
        </w:rPr>
        <w:t>at th</w:t>
      </w:r>
      <w:r w:rsidRPr="00B85412">
        <w:rPr>
          <w:rFonts w:ascii="Book Antiqua" w:hAnsi="Book Antiqua" w:cs="TimesNewRomanPSMT"/>
          <w:sz w:val="26"/>
          <w:szCs w:val="26"/>
        </w:rPr>
        <w:t xml:space="preserve">e resource is counting for RA. </w:t>
      </w:r>
    </w:p>
    <w:p w:rsidRPr="000906C9" w:rsidR="000906C9" w:rsidP="00C80F25" w:rsidRDefault="00A7148B" w14:paraId="368B6069" w14:textId="5D0F5B23">
      <w:pPr>
        <w:pStyle w:val="Heading3"/>
      </w:pPr>
      <w:bookmarkStart w:name="_Toc74206115" w:id="19"/>
      <w:r>
        <w:t>Comments on Proposal</w:t>
      </w:r>
      <w:bookmarkEnd w:id="19"/>
    </w:p>
    <w:p w:rsidR="00AC67ED" w:rsidP="00AC67ED" w:rsidRDefault="008866E2" w14:paraId="7C57955D" w14:textId="52D573F1">
      <w:pPr>
        <w:pStyle w:val="Standard"/>
      </w:pPr>
      <w:r>
        <w:t>P</w:t>
      </w:r>
      <w:r w:rsidR="005445A1">
        <w:t xml:space="preserve">arties </w:t>
      </w:r>
      <w:r>
        <w:t xml:space="preserve">that </w:t>
      </w:r>
      <w:r w:rsidR="005445A1">
        <w:t>support further development of this proposal</w:t>
      </w:r>
      <w:r>
        <w:t xml:space="preserve"> include </w:t>
      </w:r>
      <w:r w:rsidR="005445A1">
        <w:t xml:space="preserve">AReM, </w:t>
      </w:r>
      <w:r w:rsidRPr="005F2315">
        <w:t>BRTM</w:t>
      </w:r>
      <w:r>
        <w:t xml:space="preserve">, </w:t>
      </w:r>
      <w:r w:rsidR="005445A1">
        <w:t xml:space="preserve">Calpine, </w:t>
      </w:r>
      <w:proofErr w:type="spellStart"/>
      <w:r w:rsidRPr="001436AC">
        <w:t>CalWEA</w:t>
      </w:r>
      <w:proofErr w:type="spellEnd"/>
      <w:r>
        <w:t xml:space="preserve">, </w:t>
      </w:r>
      <w:r w:rsidR="005445A1">
        <w:t xml:space="preserve">Cal Advocates, </w:t>
      </w:r>
      <w:r w:rsidRPr="001436AC" w:rsidR="005445A1">
        <w:t>CEERT</w:t>
      </w:r>
      <w:r w:rsidR="005445A1">
        <w:t xml:space="preserve">, </w:t>
      </w:r>
      <w:r w:rsidR="00AC67ED">
        <w:t xml:space="preserve">CEJA/Sierra Club, </w:t>
      </w:r>
      <w:r w:rsidR="005445A1">
        <w:t xml:space="preserve">CLECA, </w:t>
      </w:r>
      <w:r w:rsidRPr="00766190" w:rsidR="004906BD">
        <w:t>Coalition Parties</w:t>
      </w:r>
      <w:r w:rsidR="004906BD">
        <w:t xml:space="preserve">, </w:t>
      </w:r>
      <w:r w:rsidR="005445A1">
        <w:t xml:space="preserve">DMM, </w:t>
      </w:r>
      <w:r w:rsidRPr="00432806">
        <w:t>MRP</w:t>
      </w:r>
      <w:r>
        <w:t xml:space="preserve">, </w:t>
      </w:r>
      <w:r w:rsidR="005445A1">
        <w:t>and SDG&amp;E.</w:t>
      </w:r>
      <w:r w:rsidR="005445A1">
        <w:rPr>
          <w:rStyle w:val="FootnoteReference"/>
        </w:rPr>
        <w:footnoteReference w:id="20"/>
      </w:r>
      <w:r w:rsidR="005445A1">
        <w:t xml:space="preserve">  </w:t>
      </w:r>
      <w:r w:rsidR="00AC67ED">
        <w:t>As noted above, many parties support development of PG&amp;E’s proposal alongside or as part of SCE/</w:t>
      </w:r>
      <w:proofErr w:type="spellStart"/>
      <w:r w:rsidR="00AC67ED">
        <w:t>CalCCA’s</w:t>
      </w:r>
      <w:proofErr w:type="spellEnd"/>
      <w:r w:rsidR="00AC67ED">
        <w:t xml:space="preserve"> proposal.</w:t>
      </w:r>
    </w:p>
    <w:p w:rsidR="00080EDE" w:rsidP="00284F2A" w:rsidRDefault="00D2328E" w14:paraId="54A254E8" w14:textId="6648F611">
      <w:pPr>
        <w:pStyle w:val="Standard"/>
      </w:pPr>
      <w:r>
        <w:t>Proponents</w:t>
      </w:r>
      <w:r w:rsidR="005445A1">
        <w:t xml:space="preserve"> generally state that </w:t>
      </w:r>
      <w:r w:rsidR="00A220DB">
        <w:t>if</w:t>
      </w:r>
      <w:r w:rsidR="002A4009">
        <w:t xml:space="preserve"> </w:t>
      </w:r>
      <w:r w:rsidR="00A220DB">
        <w:t>implementation</w:t>
      </w:r>
      <w:r w:rsidR="002A4009">
        <w:t xml:space="preserve"> details</w:t>
      </w:r>
      <w:r w:rsidR="00A220DB">
        <w:t xml:space="preserve"> can</w:t>
      </w:r>
      <w:r w:rsidR="002A4009">
        <w:t xml:space="preserve"> be developed, </w:t>
      </w:r>
      <w:r w:rsidR="001D57AB">
        <w:t>this</w:t>
      </w:r>
      <w:r w:rsidR="002A4009">
        <w:t xml:space="preserve"> proposal </w:t>
      </w:r>
      <w:r w:rsidR="005445A1">
        <w:t xml:space="preserve">better </w:t>
      </w:r>
      <w:r w:rsidR="00A220DB">
        <w:t>ensures</w:t>
      </w:r>
      <w:r w:rsidR="005445A1">
        <w:t xml:space="preserve"> that LSEs contract resources that meet energy requirements during all hours of the day</w:t>
      </w:r>
      <w:r w:rsidR="00080EDE">
        <w:t xml:space="preserve"> and </w:t>
      </w:r>
      <w:r w:rsidR="00A220DB">
        <w:t>that energy storage resources are available when needed for discharging</w:t>
      </w:r>
      <w:r w:rsidR="00080EDE">
        <w:t>.</w:t>
      </w:r>
      <w:r w:rsidR="005975BE">
        <w:t xml:space="preserve">  Some</w:t>
      </w:r>
      <w:r w:rsidR="00CD2C22">
        <w:t xml:space="preserve"> parties, </w:t>
      </w:r>
      <w:r w:rsidR="009E09BD">
        <w:t>such as</w:t>
      </w:r>
      <w:r w:rsidR="00CD2C22">
        <w:t xml:space="preserve"> </w:t>
      </w:r>
      <w:r w:rsidR="002B1B0B">
        <w:t>Calpine</w:t>
      </w:r>
      <w:r w:rsidR="00CD2C22">
        <w:t>, CEERT,</w:t>
      </w:r>
      <w:r w:rsidR="002B1B0B">
        <w:t xml:space="preserve"> and </w:t>
      </w:r>
      <w:r w:rsidR="000017C6">
        <w:t>CLECA</w:t>
      </w:r>
      <w:r w:rsidR="00DB0671">
        <w:t>,</w:t>
      </w:r>
      <w:r w:rsidR="000017C6">
        <w:t xml:space="preserve"> </w:t>
      </w:r>
      <w:r w:rsidR="00B5361F">
        <w:t>favor</w:t>
      </w:r>
      <w:r w:rsidR="000017C6">
        <w:t xml:space="preserve"> the use of an exceedance methodology to determine QC </w:t>
      </w:r>
      <w:r w:rsidR="00B5361F">
        <w:t>as</w:t>
      </w:r>
      <w:r w:rsidR="000017C6">
        <w:t xml:space="preserve"> much simpler and more transparent than </w:t>
      </w:r>
      <w:r w:rsidR="003E2056">
        <w:t>an</w:t>
      </w:r>
      <w:r w:rsidR="000017C6">
        <w:t xml:space="preserve"> ELCC approach.</w:t>
      </w:r>
      <w:r w:rsidR="005975BE">
        <w:t xml:space="preserve">  </w:t>
      </w:r>
      <w:r w:rsidR="00080EDE">
        <w:t xml:space="preserve">AReM </w:t>
      </w:r>
      <w:r w:rsidR="009D75EC">
        <w:t xml:space="preserve">and CLECA </w:t>
      </w:r>
      <w:r w:rsidR="00CC3B2A">
        <w:t>comment</w:t>
      </w:r>
      <w:r w:rsidR="00080EDE">
        <w:t xml:space="preserve"> that the proposal is simpler to understand </w:t>
      </w:r>
      <w:r w:rsidR="009D75EC">
        <w:t xml:space="preserve">and </w:t>
      </w:r>
      <w:proofErr w:type="gramStart"/>
      <w:r w:rsidR="009D75EC">
        <w:t xml:space="preserve">implement, </w:t>
      </w:r>
      <w:r w:rsidR="00080EDE">
        <w:t>and</w:t>
      </w:r>
      <w:proofErr w:type="gramEnd"/>
      <w:r w:rsidR="00080EDE">
        <w:t xml:space="preserve"> can be integrated into the bilateral procurement framework.  DMM asserts that </w:t>
      </w:r>
      <w:r w:rsidR="005C0F72">
        <w:t>the</w:t>
      </w:r>
      <w:r w:rsidR="00080EDE">
        <w:t xml:space="preserve"> proposal </w:t>
      </w:r>
      <w:r w:rsidR="00E61185">
        <w:t>largely</w:t>
      </w:r>
      <w:r w:rsidR="00080EDE">
        <w:t xml:space="preserve"> addresses inter-temporal issues associated </w:t>
      </w:r>
      <w:r w:rsidR="00080EDE">
        <w:lastRenderedPageBreak/>
        <w:t>with resource availability, which would avoid energy shortfalls in certain period</w:t>
      </w:r>
      <w:r w:rsidR="003C7107">
        <w:t>s</w:t>
      </w:r>
      <w:r w:rsidR="00080EDE">
        <w:t xml:space="preserve"> of the day and potential leaning issues</w:t>
      </w:r>
      <w:r w:rsidR="00E61185">
        <w:t xml:space="preserve">.  DMM </w:t>
      </w:r>
      <w:r w:rsidR="00244A07">
        <w:t>adds</w:t>
      </w:r>
      <w:r w:rsidR="00E61185">
        <w:t xml:space="preserve"> that the proposal gives LSEs flexibility in terms of choosing </w:t>
      </w:r>
      <w:r w:rsidR="00120CC1">
        <w:t xml:space="preserve">in </w:t>
      </w:r>
      <w:r w:rsidR="00E61185">
        <w:t>which slice</w:t>
      </w:r>
      <w:r w:rsidR="00EC6A2F">
        <w:t>-</w:t>
      </w:r>
      <w:r w:rsidR="00E61185">
        <w:t>of</w:t>
      </w:r>
      <w:r w:rsidR="00EC6A2F">
        <w:t>-</w:t>
      </w:r>
      <w:r w:rsidR="00E61185">
        <w:t xml:space="preserve">day to show resources, </w:t>
      </w:r>
      <w:proofErr w:type="gramStart"/>
      <w:r w:rsidR="00E61185">
        <w:t>as long as</w:t>
      </w:r>
      <w:proofErr w:type="gramEnd"/>
      <w:r w:rsidR="00E61185">
        <w:t xml:space="preserve"> it can provide energy in that slice.</w:t>
      </w:r>
    </w:p>
    <w:p w:rsidR="00D01090" w:rsidP="00F95421" w:rsidRDefault="000C548B" w14:paraId="31A918A1" w14:textId="58C113CF">
      <w:pPr>
        <w:pStyle w:val="Standard"/>
      </w:pPr>
      <w:r>
        <w:t>Critics</w:t>
      </w:r>
      <w:r w:rsidR="00D623B5">
        <w:t xml:space="preserve"> of the proposal generally state that it is administratively complex for LSE contracting and compliance due to the multiple slices and seasons</w:t>
      </w:r>
      <w:r w:rsidR="006A0C60">
        <w:t xml:space="preserve">, </w:t>
      </w:r>
      <w:r>
        <w:t xml:space="preserve">that </w:t>
      </w:r>
      <w:r w:rsidR="00A938E7">
        <w:t>it</w:t>
      </w:r>
      <w:r>
        <w:t xml:space="preserve"> limit</w:t>
      </w:r>
      <w:r w:rsidR="006A0C60">
        <w:t>s</w:t>
      </w:r>
      <w:r>
        <w:t xml:space="preserve"> flexibility of RA resources to operate outside of the slices for which they have been shown, and that it may not capture important interactions between slices</w:t>
      </w:r>
      <w:r w:rsidR="006A0C60">
        <w:t>.</w:t>
      </w:r>
      <w:r>
        <w:rPr>
          <w:rStyle w:val="FootnoteReference"/>
        </w:rPr>
        <w:footnoteReference w:id="21"/>
      </w:r>
      <w:r w:rsidR="00A938E7">
        <w:t xml:space="preserve">  </w:t>
      </w:r>
      <w:r w:rsidR="002955C4">
        <w:t xml:space="preserve">CAISO </w:t>
      </w:r>
      <w:r w:rsidR="009C1ABF">
        <w:t>argues that</w:t>
      </w:r>
      <w:r w:rsidR="002955C4">
        <w:t xml:space="preserve"> the proposal would require revising its tariff</w:t>
      </w:r>
      <w:r w:rsidR="00DB0671">
        <w:t xml:space="preserve"> and</w:t>
      </w:r>
      <w:r w:rsidR="002955C4">
        <w:t xml:space="preserve"> </w:t>
      </w:r>
      <w:r w:rsidR="006A10DC">
        <w:t xml:space="preserve">may </w:t>
      </w:r>
      <w:r w:rsidR="002955C4">
        <w:t>reduce efficiency of CAISO’s market optimization.</w:t>
      </w:r>
      <w:r w:rsidR="005975BE">
        <w:rPr>
          <w:rStyle w:val="FootnoteReference"/>
        </w:rPr>
        <w:footnoteReference w:id="22"/>
      </w:r>
      <w:r w:rsidR="002955C4">
        <w:t xml:space="preserve">  </w:t>
      </w:r>
    </w:p>
    <w:p w:rsidR="005445A1" w:rsidP="00390BAF" w:rsidRDefault="005445A1" w14:paraId="2ED7F7CE" w14:textId="476D2EB1">
      <w:pPr>
        <w:pStyle w:val="Heading2"/>
      </w:pPr>
      <w:bookmarkStart w:name="_Toc69976151" w:id="20"/>
      <w:bookmarkStart w:name="_Toc74206116" w:id="21"/>
      <w:r>
        <w:t>SDG&amp;E</w:t>
      </w:r>
      <w:r w:rsidR="00EF5C58">
        <w:t>’s</w:t>
      </w:r>
      <w:r>
        <w:t xml:space="preserve"> Slice</w:t>
      </w:r>
      <w:r w:rsidR="00EF5C58">
        <w:t>-</w:t>
      </w:r>
      <w:r>
        <w:t>of</w:t>
      </w:r>
      <w:r w:rsidR="00EF5C58">
        <w:t>-</w:t>
      </w:r>
      <w:r>
        <w:t>Day Proposal</w:t>
      </w:r>
      <w:bookmarkEnd w:id="20"/>
      <w:bookmarkEnd w:id="21"/>
    </w:p>
    <w:p w:rsidR="00B55938" w:rsidP="00511AA3" w:rsidRDefault="00511AA3" w14:paraId="4B36524E" w14:textId="33ED6E0C">
      <w:pPr>
        <w:autoSpaceDE w:val="0"/>
        <w:autoSpaceDN w:val="0"/>
        <w:adjustRightInd w:val="0"/>
        <w:rPr>
          <w:rFonts w:cs="TimesNewRomanPSMT"/>
        </w:rPr>
      </w:pPr>
      <w:r w:rsidRPr="00511AA3">
        <w:rPr>
          <w:rFonts w:eastAsia="Times New Roman" w:cs="Times New Roman"/>
          <w:color w:val="000000"/>
        </w:rPr>
        <w:t xml:space="preserve">SDG&amp;E </w:t>
      </w:r>
      <w:r w:rsidR="00810ABD">
        <w:rPr>
          <w:rFonts w:eastAsia="Times New Roman" w:cs="Times New Roman"/>
          <w:color w:val="000000"/>
        </w:rPr>
        <w:t>puts forth</w:t>
      </w:r>
      <w:r w:rsidRPr="00511AA3">
        <w:rPr>
          <w:rFonts w:eastAsia="Times New Roman" w:cs="Times New Roman"/>
          <w:color w:val="000000"/>
        </w:rPr>
        <w:t xml:space="preserve"> a simplified slice-of-day proposal</w:t>
      </w:r>
      <w:r>
        <w:rPr>
          <w:rFonts w:eastAsia="Times New Roman" w:cs="Times New Roman"/>
          <w:color w:val="000000"/>
        </w:rPr>
        <w:t xml:space="preserve"> that builds off</w:t>
      </w:r>
      <w:r w:rsidRPr="00511AA3">
        <w:rPr>
          <w:rFonts w:eastAsia="Times New Roman" w:cs="Times New Roman"/>
          <w:color w:val="000000"/>
        </w:rPr>
        <w:t xml:space="preserve"> PG&amp;E</w:t>
      </w:r>
      <w:r>
        <w:rPr>
          <w:rFonts w:eastAsia="Times New Roman" w:cs="Times New Roman"/>
          <w:color w:val="000000"/>
        </w:rPr>
        <w:t>’s</w:t>
      </w:r>
      <w:r w:rsidRPr="00511AA3">
        <w:rPr>
          <w:rFonts w:eastAsia="Times New Roman" w:cs="Times New Roman"/>
          <w:color w:val="000000"/>
        </w:rPr>
        <w:t xml:space="preserve"> proposal and offers revisions intended to reduce complexity and simplify implementation.</w:t>
      </w:r>
      <w:r>
        <w:rPr>
          <w:rStyle w:val="FootnoteReference"/>
        </w:rPr>
        <w:footnoteReference w:id="23"/>
      </w:r>
      <w:r w:rsidRPr="00511AA3">
        <w:rPr>
          <w:rFonts w:eastAsia="Times New Roman" w:cs="Times New Roman"/>
          <w:color w:val="000000"/>
        </w:rPr>
        <w:t xml:space="preserve">  The proposal splits the 24-hour </w:t>
      </w:r>
      <w:r w:rsidR="00B55938">
        <w:rPr>
          <w:rFonts w:eastAsia="Times New Roman" w:cs="Times New Roman"/>
          <w:color w:val="000000"/>
        </w:rPr>
        <w:t xml:space="preserve">slice-of-day </w:t>
      </w:r>
      <w:r w:rsidRPr="00511AA3">
        <w:rPr>
          <w:rFonts w:eastAsia="Times New Roman" w:cs="Times New Roman"/>
          <w:color w:val="000000"/>
        </w:rPr>
        <w:t>period into six four</w:t>
      </w:r>
      <w:r w:rsidR="00E259D7">
        <w:rPr>
          <w:rFonts w:eastAsia="Times New Roman" w:cs="Times New Roman"/>
          <w:color w:val="000000"/>
        </w:rPr>
        <w:t>-</w:t>
      </w:r>
      <w:r w:rsidRPr="00511AA3">
        <w:rPr>
          <w:rFonts w:eastAsia="Times New Roman" w:cs="Times New Roman"/>
          <w:color w:val="000000"/>
        </w:rPr>
        <w:t xml:space="preserve">hour slices, establishes capacity requirements for each slice, and aggregates all six slices reflecting the overall need for the 24-hour period. </w:t>
      </w:r>
      <w:r>
        <w:rPr>
          <w:rFonts w:eastAsia="Times New Roman" w:cs="Times New Roman"/>
          <w:color w:val="000000"/>
        </w:rPr>
        <w:t xml:space="preserve"> </w:t>
      </w:r>
      <w:r w:rsidRPr="00511AA3">
        <w:rPr>
          <w:rFonts w:cs="TimesNewRomanPSMT"/>
        </w:rPr>
        <w:t>The period is also split horizontally into a fixed load requirement and a dynamic load plus storage charging requirement based on the CEC</w:t>
      </w:r>
      <w:r w:rsidR="00766AA4">
        <w:rPr>
          <w:rFonts w:cs="TimesNewRomanPSMT"/>
        </w:rPr>
        <w:t>’</w:t>
      </w:r>
      <w:r w:rsidRPr="00511AA3">
        <w:rPr>
          <w:rFonts w:cs="TimesNewRomanPSMT"/>
        </w:rPr>
        <w:t>s forecast load profiles.</w:t>
      </w:r>
      <w:r w:rsidR="00B55938">
        <w:rPr>
          <w:rFonts w:cs="TimesNewRomanPSMT"/>
        </w:rPr>
        <w:t xml:space="preserve">  Fixed load requirements would be based on the minimum load for the compliance period (quarter, month).  Dynamic load (DL) requirements would be the difference between the peak load and the minimum load.  Energy storage </w:t>
      </w:r>
      <w:r w:rsidRPr="009E5AE6" w:rsidR="00B55938">
        <w:rPr>
          <w:rFonts w:cs="TimesNewRomanPSMT"/>
        </w:rPr>
        <w:lastRenderedPageBreak/>
        <w:t>charging requirement</w:t>
      </w:r>
      <w:r w:rsidR="00B55938">
        <w:rPr>
          <w:rFonts w:cs="TimesNewRomanPSMT"/>
        </w:rPr>
        <w:t xml:space="preserve">s would be in addition to the </w:t>
      </w:r>
      <w:r w:rsidR="00E307AB">
        <w:rPr>
          <w:rFonts w:cs="TimesNewRomanPSMT"/>
        </w:rPr>
        <w:t>DL</w:t>
      </w:r>
      <w:r w:rsidR="00B55938">
        <w:rPr>
          <w:rFonts w:cs="TimesNewRomanPSMT"/>
        </w:rPr>
        <w:t xml:space="preserve"> requirement and must be met with generating resources:</w:t>
      </w:r>
    </w:p>
    <w:p w:rsidRPr="00FD213B" w:rsidR="00B55938" w:rsidP="00FD213B" w:rsidRDefault="00B55938" w14:paraId="21B93275" w14:textId="02C70D39">
      <w:pPr>
        <w:pStyle w:val="BlockQuote"/>
      </w:pPr>
      <w:r w:rsidRPr="009E5AE6">
        <w:t>This means that there may be a limit to the amount of energy</w:t>
      </w:r>
      <w:r>
        <w:t xml:space="preserve"> </w:t>
      </w:r>
      <w:r w:rsidRPr="009E5AE6">
        <w:t>storage resources that can be shown to meet the DL need and such energy storage resources must</w:t>
      </w:r>
      <w:r>
        <w:t xml:space="preserve"> </w:t>
      </w:r>
      <w:r w:rsidRPr="009E5AE6">
        <w:t>be properly paired to ensure there is sufficient state of charge to meet the DL need for multiple</w:t>
      </w:r>
      <w:r>
        <w:t xml:space="preserve"> </w:t>
      </w:r>
      <w:r w:rsidRPr="009E5AE6">
        <w:t>slices of the day.</w:t>
      </w:r>
      <w:r>
        <w:rPr>
          <w:rStyle w:val="FootnoteReference"/>
          <w:rFonts w:cs="TimesNewRomanPSMT"/>
        </w:rPr>
        <w:footnoteReference w:id="24"/>
      </w:r>
    </w:p>
    <w:p w:rsidRPr="00511AA3" w:rsidR="00511AA3" w:rsidP="005A5B12" w:rsidRDefault="001C487B" w14:paraId="60745245" w14:textId="3B49A821">
      <w:pPr>
        <w:autoSpaceDE w:val="0"/>
        <w:autoSpaceDN w:val="0"/>
        <w:adjustRightInd w:val="0"/>
        <w:rPr>
          <w:rFonts w:cs="TimesNewRomanPSMT"/>
        </w:rPr>
      </w:pPr>
      <w:r>
        <w:rPr>
          <w:rFonts w:cs="TimesNewRomanPSMT"/>
        </w:rPr>
        <w:t>To</w:t>
      </w:r>
      <w:r w:rsidRPr="00511AA3" w:rsidR="00511AA3">
        <w:rPr>
          <w:rFonts w:cs="TimesNewRomanPSMT"/>
        </w:rPr>
        <w:t xml:space="preserve"> count towards the fixed load requirement</w:t>
      </w:r>
      <w:r>
        <w:rPr>
          <w:rFonts w:cs="TimesNewRomanPSMT"/>
        </w:rPr>
        <w:t>, resources</w:t>
      </w:r>
      <w:r w:rsidRPr="00511AA3" w:rsidR="00511AA3">
        <w:rPr>
          <w:rFonts w:cs="TimesNewRomanPSMT"/>
        </w:rPr>
        <w:t xml:space="preserve"> need to be able to generate 24 x 7. </w:t>
      </w:r>
      <w:r w:rsidR="00511AA3">
        <w:rPr>
          <w:rFonts w:cs="TimesNewRomanPSMT"/>
        </w:rPr>
        <w:t xml:space="preserve"> </w:t>
      </w:r>
      <w:r w:rsidRPr="00511AA3" w:rsidR="00511AA3">
        <w:rPr>
          <w:rFonts w:eastAsia="Times New Roman" w:cs="Times New Roman"/>
          <w:color w:val="000000"/>
        </w:rPr>
        <w:t>To determine how much a resource is available (and should be valued) to meet the dynamic load needs within each of the six slices</w:t>
      </w:r>
      <w:r w:rsidR="00120CC1">
        <w:rPr>
          <w:rFonts w:eastAsia="Times New Roman" w:cs="Times New Roman"/>
          <w:color w:val="000000"/>
        </w:rPr>
        <w:t>-</w:t>
      </w:r>
      <w:r w:rsidRPr="00511AA3" w:rsidR="00511AA3">
        <w:rPr>
          <w:rFonts w:eastAsia="Times New Roman" w:cs="Times New Roman"/>
          <w:color w:val="000000"/>
        </w:rPr>
        <w:t>of</w:t>
      </w:r>
      <w:r w:rsidR="00120CC1">
        <w:rPr>
          <w:rFonts w:eastAsia="Times New Roman" w:cs="Times New Roman"/>
          <w:color w:val="000000"/>
        </w:rPr>
        <w:t>-</w:t>
      </w:r>
      <w:r w:rsidRPr="00511AA3" w:rsidR="00511AA3">
        <w:rPr>
          <w:rFonts w:eastAsia="Times New Roman" w:cs="Times New Roman"/>
          <w:color w:val="000000"/>
        </w:rPr>
        <w:t xml:space="preserve">day, SDG&amp;E proposes a slice multiplier concept that would </w:t>
      </w:r>
      <w:r w:rsidRPr="00511AA3" w:rsidR="00511AA3">
        <w:rPr>
          <w:rFonts w:cs="TimesNewRomanPSMT"/>
        </w:rPr>
        <w:t>calculate the number of slices of the day that the RA resource can generate to meet the need.  This multiplier would be applied to the resource</w:t>
      </w:r>
      <w:r w:rsidR="009256DC">
        <w:rPr>
          <w:rFonts w:cs="TimesNewRomanPSMT"/>
        </w:rPr>
        <w:t>’</w:t>
      </w:r>
      <w:r w:rsidRPr="00511AA3" w:rsidR="00511AA3">
        <w:rPr>
          <w:rFonts w:cs="TimesNewRomanPSMT"/>
        </w:rPr>
        <w:t xml:space="preserve">s NQC value which would then count towards the RA requirement.  SDG&amp;E states that </w:t>
      </w:r>
      <w:r w:rsidR="005D5F20">
        <w:rPr>
          <w:rFonts w:cs="TimesNewRomanPSMT"/>
        </w:rPr>
        <w:t>the</w:t>
      </w:r>
      <w:r w:rsidRPr="00511AA3" w:rsidR="00511AA3">
        <w:rPr>
          <w:rFonts w:cs="TimesNewRomanPSMT"/>
        </w:rPr>
        <w:t xml:space="preserve"> proposal assumes that the </w:t>
      </w:r>
      <w:r w:rsidR="005B2A3A">
        <w:rPr>
          <w:rFonts w:cs="TimesNewRomanPSMT"/>
        </w:rPr>
        <w:t>Integrated Resource Plan</w:t>
      </w:r>
      <w:r w:rsidR="007D054C">
        <w:rPr>
          <w:rFonts w:cs="TimesNewRomanPSMT"/>
        </w:rPr>
        <w:t xml:space="preserve"> </w:t>
      </w:r>
      <w:r w:rsidR="005B2A3A">
        <w:rPr>
          <w:rFonts w:cs="TimesNewRomanPSMT"/>
        </w:rPr>
        <w:t>(</w:t>
      </w:r>
      <w:r w:rsidRPr="00511AA3" w:rsidR="00511AA3">
        <w:rPr>
          <w:rFonts w:cs="TimesNewRomanPSMT"/>
        </w:rPr>
        <w:t>IRP</w:t>
      </w:r>
      <w:r w:rsidR="005B2A3A">
        <w:rPr>
          <w:rFonts w:cs="TimesNewRomanPSMT"/>
        </w:rPr>
        <w:t>)</w:t>
      </w:r>
      <w:r w:rsidRPr="00511AA3" w:rsidR="00511AA3">
        <w:rPr>
          <w:rFonts w:cs="TimesNewRomanPSMT"/>
        </w:rPr>
        <w:t xml:space="preserve"> process has already determined the optimal resource mix</w:t>
      </w:r>
      <w:r w:rsidR="00A47EE5">
        <w:rPr>
          <w:rFonts w:cs="TimesNewRomanPSMT"/>
        </w:rPr>
        <w:t xml:space="preserve"> to ensure</w:t>
      </w:r>
      <w:r w:rsidRPr="00511AA3" w:rsidR="00511AA3">
        <w:rPr>
          <w:rFonts w:cs="TimesNewRomanPSMT"/>
        </w:rPr>
        <w:t xml:space="preserve"> that the appropriate resources are available to the market to meet each slice</w:t>
      </w:r>
      <w:r w:rsidR="00867F13">
        <w:rPr>
          <w:rFonts w:cs="TimesNewRomanPSMT"/>
        </w:rPr>
        <w:t>-</w:t>
      </w:r>
      <w:r w:rsidRPr="00511AA3" w:rsidR="00511AA3">
        <w:rPr>
          <w:rFonts w:cs="TimesNewRomanPSMT"/>
        </w:rPr>
        <w:t>of</w:t>
      </w:r>
      <w:r w:rsidR="00867F13">
        <w:rPr>
          <w:rFonts w:cs="TimesNewRomanPSMT"/>
        </w:rPr>
        <w:t>-</w:t>
      </w:r>
      <w:r w:rsidRPr="00511AA3" w:rsidR="00511AA3">
        <w:rPr>
          <w:rFonts w:cs="TimesNewRomanPSMT"/>
        </w:rPr>
        <w:t xml:space="preserve">day.   </w:t>
      </w:r>
    </w:p>
    <w:p w:rsidR="005445A1" w:rsidP="005445A1" w:rsidRDefault="00292CD7" w14:paraId="5BC2DEB7" w14:textId="724D15E2">
      <w:pPr>
        <w:pStyle w:val="Standard"/>
      </w:pPr>
      <w:r>
        <w:t>P</w:t>
      </w:r>
      <w:r w:rsidR="005445A1">
        <w:t xml:space="preserve">arties </w:t>
      </w:r>
      <w:r>
        <w:t xml:space="preserve">that </w:t>
      </w:r>
      <w:r w:rsidR="005445A1">
        <w:t xml:space="preserve">support </w:t>
      </w:r>
      <w:r w:rsidR="00623C79">
        <w:t>further development of this</w:t>
      </w:r>
      <w:r w:rsidR="005445A1">
        <w:t xml:space="preserve"> proposal includ</w:t>
      </w:r>
      <w:r>
        <w:t>e</w:t>
      </w:r>
      <w:r w:rsidR="005445A1">
        <w:t xml:space="preserve"> AReM, </w:t>
      </w:r>
      <w:r w:rsidR="003E0352">
        <w:t xml:space="preserve">BRTM, </w:t>
      </w:r>
      <w:r w:rsidR="005445A1">
        <w:t>CEJA/Sierra Club</w:t>
      </w:r>
      <w:r>
        <w:t xml:space="preserve">, </w:t>
      </w:r>
      <w:r w:rsidRPr="005B1FC8">
        <w:t>CLECA</w:t>
      </w:r>
      <w:r>
        <w:t xml:space="preserve">, and </w:t>
      </w:r>
      <w:r w:rsidRPr="00432806">
        <w:t>MRP</w:t>
      </w:r>
      <w:r w:rsidR="005445A1">
        <w:t>.</w:t>
      </w:r>
      <w:r w:rsidR="005445A1">
        <w:rPr>
          <w:rStyle w:val="FootnoteReference"/>
        </w:rPr>
        <w:footnoteReference w:id="25"/>
      </w:r>
      <w:r w:rsidR="005445A1">
        <w:t xml:space="preserve">  </w:t>
      </w:r>
      <w:r w:rsidR="00623C79">
        <w:t>Proponents generally state that if implementation details can be developed, this proposal</w:t>
      </w:r>
      <w:r w:rsidR="005445A1">
        <w:t xml:space="preserve"> </w:t>
      </w:r>
      <w:r w:rsidR="007C4FE9">
        <w:t>would greatly</w:t>
      </w:r>
      <w:r w:rsidR="005445A1">
        <w:t xml:space="preserve"> simpl</w:t>
      </w:r>
      <w:r w:rsidR="00B12229">
        <w:t>if</w:t>
      </w:r>
      <w:r w:rsidR="007C4FE9">
        <w:t>y</w:t>
      </w:r>
      <w:r w:rsidR="005445A1">
        <w:t xml:space="preserve"> </w:t>
      </w:r>
      <w:r w:rsidR="00B12229">
        <w:t>LSE</w:t>
      </w:r>
      <w:r w:rsidR="005445A1">
        <w:t xml:space="preserve"> </w:t>
      </w:r>
      <w:r w:rsidR="00B12229">
        <w:t>contracting</w:t>
      </w:r>
      <w:r w:rsidR="007C4FE9">
        <w:t xml:space="preserve"> and compliance and would be easier to implement</w:t>
      </w:r>
      <w:r w:rsidR="005445A1">
        <w:t>.</w:t>
      </w:r>
      <w:r w:rsidR="00B12229">
        <w:rPr>
          <w:rStyle w:val="FootnoteReference"/>
        </w:rPr>
        <w:footnoteReference w:id="26"/>
      </w:r>
      <w:r w:rsidR="00226C77">
        <w:t xml:space="preserve">  </w:t>
      </w:r>
    </w:p>
    <w:p w:rsidR="00D43788" w:rsidP="001D6946" w:rsidRDefault="00413FA1" w14:paraId="0F0DA920" w14:textId="1C7D07D7">
      <w:pPr>
        <w:pStyle w:val="Standard"/>
      </w:pPr>
      <w:r>
        <w:lastRenderedPageBreak/>
        <w:t>P</w:t>
      </w:r>
      <w:r w:rsidR="00026139">
        <w:t xml:space="preserve">arties </w:t>
      </w:r>
      <w:r>
        <w:t xml:space="preserve">that </w:t>
      </w:r>
      <w:r w:rsidR="00026139">
        <w:t>oppose the proposal</w:t>
      </w:r>
      <w:r>
        <w:t xml:space="preserve"> include </w:t>
      </w:r>
      <w:r w:rsidR="00026139">
        <w:t>Calpine</w:t>
      </w:r>
      <w:r>
        <w:t xml:space="preserve">, </w:t>
      </w:r>
      <w:r w:rsidR="00711F88">
        <w:t>CESA</w:t>
      </w:r>
      <w:r>
        <w:t xml:space="preserve"> and </w:t>
      </w:r>
      <w:proofErr w:type="spellStart"/>
      <w:r>
        <w:t>Hydrostor</w:t>
      </w:r>
      <w:proofErr w:type="spellEnd"/>
      <w:r w:rsidR="00026139">
        <w:t>.</w:t>
      </w:r>
      <w:r w:rsidR="00026139">
        <w:rPr>
          <w:rStyle w:val="FootnoteReference"/>
        </w:rPr>
        <w:footnoteReference w:id="27"/>
      </w:r>
      <w:r w:rsidR="00026139">
        <w:t xml:space="preserve">  Calpine states that allowing fungibility of capacity between slices ignore</w:t>
      </w:r>
      <w:r w:rsidR="00DB0671">
        <w:t>s</w:t>
      </w:r>
      <w:r w:rsidR="00026139">
        <w:t xml:space="preserve"> physical constraints,</w:t>
      </w:r>
      <w:r w:rsidR="00B55938">
        <w:t xml:space="preserve"> which eliminates</w:t>
      </w:r>
      <w:r w:rsidR="00026139">
        <w:t xml:space="preserve"> a key benefit of PG&amp;E’s proposal.</w:t>
      </w:r>
      <w:r w:rsidR="00F8774E">
        <w:t xml:space="preserve">  </w:t>
      </w:r>
      <w:r w:rsidR="00B55938">
        <w:t xml:space="preserve">PG&amp;E shares Calpine’s concern about the temporal issues and </w:t>
      </w:r>
      <w:r w:rsidR="00BE4B6A">
        <w:t>notes</w:t>
      </w:r>
      <w:r w:rsidR="00B55938">
        <w:t xml:space="preserve"> that the proposal relies heavily on the IRP process to determine the optimal resource mix and ensure that appropriate resources are available to meet reliability during each slice.</w:t>
      </w:r>
      <w:r w:rsidR="00B55938">
        <w:rPr>
          <w:rStyle w:val="FootnoteReference"/>
        </w:rPr>
        <w:footnoteReference w:id="28"/>
      </w:r>
      <w:r w:rsidR="00B55938">
        <w:t xml:space="preserve">  </w:t>
      </w:r>
      <w:proofErr w:type="spellStart"/>
      <w:r w:rsidR="00E90746">
        <w:t>Hydrostor</w:t>
      </w:r>
      <w:proofErr w:type="spellEnd"/>
      <w:r w:rsidR="00E90746">
        <w:t xml:space="preserve"> and CESA </w:t>
      </w:r>
      <w:r>
        <w:t>express</w:t>
      </w:r>
      <w:r w:rsidR="00E90746">
        <w:t xml:space="preserve"> concern that defining </w:t>
      </w:r>
      <w:r w:rsidR="0017110E">
        <w:t>f</w:t>
      </w:r>
      <w:r w:rsidR="00E90746">
        <w:t>ixed load as being met by 24 x 7 generating resources means continued</w:t>
      </w:r>
      <w:r w:rsidR="001342BB">
        <w:t xml:space="preserve">, </w:t>
      </w:r>
      <w:r w:rsidR="00E90746">
        <w:t xml:space="preserve">significant reliance on conventional resources.  </w:t>
      </w:r>
      <w:r w:rsidR="001D6946">
        <w:t xml:space="preserve">SCE </w:t>
      </w:r>
      <w:r w:rsidR="00A03EC5">
        <w:t>states</w:t>
      </w:r>
      <w:r w:rsidR="001D6946">
        <w:t xml:space="preserve"> that the proposal suffers from the</w:t>
      </w:r>
      <w:r w:rsidR="00787136">
        <w:t xml:space="preserve"> same complexity as PG&amp;E’s slice</w:t>
      </w:r>
      <w:r w:rsidR="001D6946">
        <w:t>-</w:t>
      </w:r>
      <w:r w:rsidR="00787136">
        <w:t>of</w:t>
      </w:r>
      <w:r w:rsidR="001D6946">
        <w:t>-</w:t>
      </w:r>
      <w:r w:rsidR="00787136">
        <w:t>day</w:t>
      </w:r>
      <w:r w:rsidR="001D6946">
        <w:t xml:space="preserve"> proposal</w:t>
      </w:r>
      <w:r w:rsidR="00787136">
        <w:t xml:space="preserve"> in determining seasons and slices, and that aggregating up to the capacity requirement</w:t>
      </w:r>
      <w:r w:rsidRPr="00787136" w:rsidR="00787136">
        <w:t xml:space="preserve"> </w:t>
      </w:r>
      <w:r w:rsidR="00787136">
        <w:t xml:space="preserve">does not ensure </w:t>
      </w:r>
      <w:r w:rsidR="00FA5BBC">
        <w:t xml:space="preserve">the RA fleet </w:t>
      </w:r>
      <w:r w:rsidR="00787136">
        <w:t>can meet demand in all hours of the day</w:t>
      </w:r>
      <w:r w:rsidR="005445A1">
        <w:t>.</w:t>
      </w:r>
      <w:r w:rsidR="005445A1">
        <w:rPr>
          <w:rStyle w:val="FootnoteReference"/>
        </w:rPr>
        <w:footnoteReference w:id="29"/>
      </w:r>
      <w:r w:rsidR="005445A1">
        <w:t xml:space="preserve">  </w:t>
      </w:r>
      <w:bookmarkStart w:name="_Toc69976153" w:id="22"/>
    </w:p>
    <w:p w:rsidR="00546B2A" w:rsidP="00546B2A" w:rsidRDefault="00546B2A" w14:paraId="5441E57A" w14:textId="0F82D49B">
      <w:pPr>
        <w:pStyle w:val="Heading2"/>
      </w:pPr>
      <w:bookmarkStart w:name="_Toc69976154" w:id="23"/>
      <w:bookmarkStart w:name="_Toc74206117" w:id="24"/>
      <w:r>
        <w:t>Energy Division’s Fixed</w:t>
      </w:r>
      <w:r w:rsidR="00063C9C">
        <w:t>-</w:t>
      </w:r>
      <w:r>
        <w:t xml:space="preserve">Price </w:t>
      </w:r>
      <w:bookmarkEnd w:id="23"/>
      <w:r>
        <w:t>Forward Energy Proposal</w:t>
      </w:r>
      <w:bookmarkEnd w:id="24"/>
      <w:r>
        <w:t xml:space="preserve"> </w:t>
      </w:r>
    </w:p>
    <w:p w:rsidR="00546B2A" w:rsidP="00546B2A" w:rsidRDefault="00546B2A" w14:paraId="7F0D5A59" w14:textId="7331C296">
      <w:pPr>
        <w:pStyle w:val="MediumGrid1-Accent21"/>
        <w:spacing w:after="120" w:line="360" w:lineRule="auto"/>
        <w:ind w:left="0" w:firstLine="720"/>
        <w:rPr>
          <w:rFonts w:ascii="Century Gothic" w:hAnsi="Century Gothic" w:eastAsia="Times New Roman"/>
          <w:color w:val="000000"/>
        </w:rPr>
      </w:pPr>
      <w:r w:rsidRPr="00D719CC">
        <w:rPr>
          <w:rFonts w:ascii="Book Antiqua" w:hAnsi="Book Antiqua" w:eastAsia="Times New Roman"/>
          <w:color w:val="000000"/>
          <w:sz w:val="26"/>
          <w:szCs w:val="26"/>
        </w:rPr>
        <w:t>Energy Division put</w:t>
      </w:r>
      <w:r w:rsidR="000F57AD">
        <w:rPr>
          <w:rFonts w:ascii="Book Antiqua" w:hAnsi="Book Antiqua" w:eastAsia="Times New Roman"/>
          <w:color w:val="000000"/>
          <w:sz w:val="26"/>
          <w:szCs w:val="26"/>
        </w:rPr>
        <w:t>s</w:t>
      </w:r>
      <w:r w:rsidRPr="00D719CC">
        <w:rPr>
          <w:rFonts w:ascii="Book Antiqua" w:hAnsi="Book Antiqua" w:eastAsia="Times New Roman"/>
          <w:color w:val="000000"/>
          <w:sz w:val="26"/>
          <w:szCs w:val="26"/>
        </w:rPr>
        <w:t xml:space="preserve"> </w:t>
      </w:r>
      <w:r w:rsidR="009372AE">
        <w:rPr>
          <w:rFonts w:ascii="Book Antiqua" w:hAnsi="Book Antiqua" w:eastAsia="Times New Roman"/>
          <w:color w:val="000000"/>
          <w:sz w:val="26"/>
          <w:szCs w:val="26"/>
        </w:rPr>
        <w:t>forth</w:t>
      </w:r>
      <w:r w:rsidRPr="00D719CC">
        <w:rPr>
          <w:rFonts w:ascii="Book Antiqua" w:hAnsi="Book Antiqua" w:eastAsia="Times New Roman"/>
          <w:color w:val="000000"/>
          <w:sz w:val="26"/>
          <w:szCs w:val="26"/>
        </w:rPr>
        <w:t xml:space="preserve"> </w:t>
      </w:r>
      <w:r w:rsidRPr="00D719CC">
        <w:rPr>
          <w:rFonts w:ascii="Book Antiqua" w:hAnsi="Book Antiqua" w:eastAsia="Times New Roman"/>
          <w:sz w:val="26"/>
          <w:szCs w:val="26"/>
        </w:rPr>
        <w:t xml:space="preserve">the Standard Fixed-Price Forward </w:t>
      </w:r>
      <w:r>
        <w:rPr>
          <w:rFonts w:ascii="Book Antiqua" w:hAnsi="Book Antiqua" w:eastAsia="Times New Roman"/>
          <w:sz w:val="26"/>
          <w:szCs w:val="26"/>
        </w:rPr>
        <w:t>E</w:t>
      </w:r>
      <w:r w:rsidRPr="00D719CC">
        <w:rPr>
          <w:rFonts w:ascii="Book Antiqua" w:hAnsi="Book Antiqua" w:eastAsia="Times New Roman"/>
          <w:sz w:val="26"/>
          <w:szCs w:val="26"/>
        </w:rPr>
        <w:t>nergy Contract (SFPFC)</w:t>
      </w:r>
      <w:r w:rsidR="00F11AFE">
        <w:rPr>
          <w:rFonts w:ascii="Book Antiqua" w:hAnsi="Book Antiqua" w:eastAsia="Times New Roman"/>
          <w:sz w:val="26"/>
          <w:szCs w:val="26"/>
        </w:rPr>
        <w:t xml:space="preserve"> proposal</w:t>
      </w:r>
      <w:r>
        <w:rPr>
          <w:rFonts w:ascii="Book Antiqua" w:hAnsi="Book Antiqua" w:eastAsia="Times New Roman"/>
          <w:sz w:val="26"/>
          <w:szCs w:val="26"/>
        </w:rPr>
        <w:t xml:space="preserve">, based on </w:t>
      </w:r>
      <w:r w:rsidRPr="00D719CC">
        <w:rPr>
          <w:rFonts w:ascii="Book Antiqua" w:hAnsi="Book Antiqua" w:eastAsia="Times New Roman"/>
          <w:sz w:val="26"/>
          <w:szCs w:val="26"/>
        </w:rPr>
        <w:t>a paper authored by Professor Frank</w:t>
      </w:r>
      <w:r w:rsidR="00FD213B">
        <w:rPr>
          <w:rFonts w:ascii="Book Antiqua" w:hAnsi="Book Antiqua" w:eastAsia="Times New Roman"/>
          <w:sz w:val="26"/>
          <w:szCs w:val="26"/>
        </w:rPr>
        <w:t> </w:t>
      </w:r>
      <w:r w:rsidR="00F11AFE">
        <w:rPr>
          <w:rFonts w:ascii="Book Antiqua" w:hAnsi="Book Antiqua" w:eastAsia="Times New Roman"/>
          <w:sz w:val="26"/>
          <w:szCs w:val="26"/>
        </w:rPr>
        <w:t>A.</w:t>
      </w:r>
      <w:r w:rsidR="00FD213B">
        <w:rPr>
          <w:rFonts w:ascii="Book Antiqua" w:hAnsi="Book Antiqua" w:eastAsia="Times New Roman"/>
          <w:sz w:val="26"/>
          <w:szCs w:val="26"/>
        </w:rPr>
        <w:t> </w:t>
      </w:r>
      <w:r w:rsidRPr="00D719CC">
        <w:rPr>
          <w:rFonts w:ascii="Book Antiqua" w:hAnsi="Book Antiqua" w:eastAsia="Times New Roman"/>
          <w:sz w:val="26"/>
          <w:szCs w:val="26"/>
        </w:rPr>
        <w:t>Wolak</w:t>
      </w:r>
      <w:r>
        <w:rPr>
          <w:rFonts w:ascii="Book Antiqua" w:hAnsi="Book Antiqua" w:eastAsia="Times New Roman"/>
          <w:sz w:val="26"/>
          <w:szCs w:val="26"/>
        </w:rPr>
        <w:t>.</w:t>
      </w:r>
      <w:r>
        <w:rPr>
          <w:rStyle w:val="FootnoteReference"/>
          <w:rFonts w:ascii="Book Antiqua" w:hAnsi="Book Antiqua" w:eastAsia="Times New Roman"/>
          <w:sz w:val="26"/>
          <w:szCs w:val="26"/>
        </w:rPr>
        <w:footnoteReference w:id="30"/>
      </w:r>
      <w:r w:rsidRPr="00D719CC">
        <w:rPr>
          <w:rFonts w:ascii="Book Antiqua" w:hAnsi="Book Antiqua" w:eastAsia="Times New Roman"/>
          <w:sz w:val="26"/>
          <w:szCs w:val="26"/>
        </w:rPr>
        <w:t xml:space="preserve"> </w:t>
      </w:r>
      <w:r>
        <w:rPr>
          <w:rFonts w:ascii="Book Antiqua" w:hAnsi="Book Antiqua" w:eastAsia="Times New Roman"/>
          <w:sz w:val="26"/>
          <w:szCs w:val="26"/>
        </w:rPr>
        <w:t xml:space="preserve"> </w:t>
      </w:r>
      <w:r w:rsidRPr="00D719CC">
        <w:rPr>
          <w:rFonts w:ascii="Book Antiqua" w:hAnsi="Book Antiqua" w:eastAsia="Times New Roman"/>
          <w:sz w:val="26"/>
          <w:szCs w:val="26"/>
        </w:rPr>
        <w:t xml:space="preserve">The proposal </w:t>
      </w:r>
      <w:r w:rsidR="002926C5">
        <w:rPr>
          <w:rFonts w:ascii="Book Antiqua" w:hAnsi="Book Antiqua" w:eastAsia="Times New Roman"/>
          <w:sz w:val="26"/>
          <w:szCs w:val="26"/>
        </w:rPr>
        <w:t>would modify</w:t>
      </w:r>
      <w:r w:rsidRPr="00D719CC">
        <w:rPr>
          <w:rFonts w:ascii="Book Antiqua" w:hAnsi="Book Antiqua" w:eastAsia="Times New Roman"/>
          <w:sz w:val="26"/>
          <w:szCs w:val="26"/>
        </w:rPr>
        <w:t xml:space="preserve"> the </w:t>
      </w:r>
      <w:r w:rsidR="00063C9C">
        <w:rPr>
          <w:rFonts w:ascii="Book Antiqua" w:hAnsi="Book Antiqua" w:eastAsia="Times New Roman"/>
          <w:sz w:val="26"/>
          <w:szCs w:val="26"/>
        </w:rPr>
        <w:t>current</w:t>
      </w:r>
      <w:r w:rsidRPr="00D719CC">
        <w:rPr>
          <w:rFonts w:ascii="Book Antiqua" w:hAnsi="Book Antiqua" w:eastAsia="Times New Roman"/>
          <w:sz w:val="26"/>
          <w:szCs w:val="26"/>
        </w:rPr>
        <w:t xml:space="preserve"> </w:t>
      </w:r>
      <w:r w:rsidR="002926C5">
        <w:rPr>
          <w:rFonts w:ascii="Book Antiqua" w:hAnsi="Book Antiqua" w:eastAsia="Times New Roman"/>
          <w:sz w:val="26"/>
          <w:szCs w:val="26"/>
        </w:rPr>
        <w:t xml:space="preserve">RA </w:t>
      </w:r>
      <w:r w:rsidR="00063C9C">
        <w:rPr>
          <w:rFonts w:ascii="Book Antiqua" w:hAnsi="Book Antiqua" w:eastAsia="Times New Roman"/>
          <w:sz w:val="26"/>
          <w:szCs w:val="26"/>
        </w:rPr>
        <w:t>framework</w:t>
      </w:r>
      <w:r w:rsidRPr="00D719CC">
        <w:rPr>
          <w:rFonts w:ascii="Book Antiqua" w:hAnsi="Book Antiqua" w:eastAsia="Times New Roman"/>
          <w:sz w:val="26"/>
          <w:szCs w:val="26"/>
        </w:rPr>
        <w:t xml:space="preserve"> </w:t>
      </w:r>
      <w:r w:rsidR="002926C5">
        <w:rPr>
          <w:rFonts w:ascii="Book Antiqua" w:hAnsi="Book Antiqua" w:eastAsia="Times New Roman"/>
          <w:sz w:val="26"/>
          <w:szCs w:val="26"/>
        </w:rPr>
        <w:t>from a monthly peak capacity requirement to an hourly</w:t>
      </w:r>
      <w:r w:rsidRPr="00D719CC">
        <w:rPr>
          <w:rFonts w:ascii="Book Antiqua" w:hAnsi="Book Antiqua" w:eastAsia="Times New Roman"/>
          <w:sz w:val="26"/>
          <w:szCs w:val="26"/>
        </w:rPr>
        <w:t xml:space="preserve"> forw</w:t>
      </w:r>
      <w:r>
        <w:rPr>
          <w:rFonts w:ascii="Book Antiqua" w:hAnsi="Book Antiqua" w:eastAsia="Times New Roman"/>
          <w:sz w:val="26"/>
          <w:szCs w:val="26"/>
        </w:rPr>
        <w:t>a</w:t>
      </w:r>
      <w:r w:rsidRPr="00D719CC">
        <w:rPr>
          <w:rFonts w:ascii="Book Antiqua" w:hAnsi="Book Antiqua" w:eastAsia="Times New Roman"/>
          <w:sz w:val="26"/>
          <w:szCs w:val="26"/>
        </w:rPr>
        <w:t>rd energy requirement</w:t>
      </w:r>
      <w:r>
        <w:rPr>
          <w:rFonts w:ascii="Book Antiqua" w:hAnsi="Book Antiqua" w:eastAsia="Times New Roman"/>
          <w:sz w:val="26"/>
          <w:szCs w:val="26"/>
        </w:rPr>
        <w:t xml:space="preserve"> </w:t>
      </w:r>
      <w:r w:rsidRPr="00D719CC">
        <w:rPr>
          <w:rFonts w:ascii="Book Antiqua" w:hAnsi="Book Antiqua" w:eastAsia="Times New Roman"/>
          <w:sz w:val="26"/>
          <w:szCs w:val="26"/>
        </w:rPr>
        <w:t>through the purchas</w:t>
      </w:r>
      <w:r>
        <w:rPr>
          <w:rFonts w:ascii="Book Antiqua" w:hAnsi="Book Antiqua" w:eastAsia="Times New Roman"/>
          <w:sz w:val="26"/>
          <w:szCs w:val="26"/>
        </w:rPr>
        <w:t>e</w:t>
      </w:r>
      <w:r w:rsidRPr="00D719CC">
        <w:rPr>
          <w:rFonts w:ascii="Book Antiqua" w:hAnsi="Book Antiqua" w:eastAsia="Times New Roman"/>
          <w:sz w:val="26"/>
          <w:szCs w:val="26"/>
        </w:rPr>
        <w:t xml:space="preserve"> of</w:t>
      </w:r>
      <w:r>
        <w:rPr>
          <w:rFonts w:ascii="Book Antiqua" w:hAnsi="Book Antiqua" w:eastAsia="Times New Roman"/>
          <w:sz w:val="26"/>
          <w:szCs w:val="26"/>
        </w:rPr>
        <w:t xml:space="preserve"> </w:t>
      </w:r>
      <w:r w:rsidRPr="00D719CC">
        <w:rPr>
          <w:rFonts w:ascii="Book Antiqua" w:hAnsi="Book Antiqua" w:eastAsia="Times New Roman"/>
          <w:sz w:val="26"/>
          <w:szCs w:val="26"/>
        </w:rPr>
        <w:t>SFPFC</w:t>
      </w:r>
      <w:r>
        <w:rPr>
          <w:rFonts w:ascii="Book Antiqua" w:hAnsi="Book Antiqua" w:eastAsia="Times New Roman"/>
          <w:sz w:val="26"/>
          <w:szCs w:val="26"/>
        </w:rPr>
        <w:t>s</w:t>
      </w:r>
      <w:r w:rsidRPr="00D719CC">
        <w:rPr>
          <w:rFonts w:ascii="Book Antiqua" w:hAnsi="Book Antiqua" w:eastAsia="Times New Roman"/>
          <w:sz w:val="26"/>
          <w:szCs w:val="26"/>
        </w:rPr>
        <w:t xml:space="preserve">.  The SFPFC </w:t>
      </w:r>
      <w:r>
        <w:rPr>
          <w:rFonts w:ascii="Book Antiqua" w:hAnsi="Book Antiqua" w:eastAsia="Times New Roman"/>
          <w:sz w:val="26"/>
          <w:szCs w:val="26"/>
        </w:rPr>
        <w:t>is</w:t>
      </w:r>
      <w:r w:rsidRPr="00D719CC">
        <w:rPr>
          <w:rFonts w:ascii="Book Antiqua" w:hAnsi="Book Antiqua" w:eastAsia="Times New Roman"/>
          <w:sz w:val="26"/>
          <w:szCs w:val="26"/>
        </w:rPr>
        <w:t xml:space="preserve"> </w:t>
      </w:r>
      <w:r w:rsidR="002926C5">
        <w:rPr>
          <w:rFonts w:ascii="Book Antiqua" w:hAnsi="Book Antiqua" w:eastAsia="Times New Roman"/>
          <w:sz w:val="26"/>
          <w:szCs w:val="26"/>
        </w:rPr>
        <w:t>defined as a</w:t>
      </w:r>
      <w:r w:rsidRPr="00D719CC">
        <w:rPr>
          <w:rFonts w:ascii="Book Antiqua" w:hAnsi="Book Antiqua" w:eastAsia="Times New Roman"/>
          <w:sz w:val="26"/>
          <w:szCs w:val="26"/>
        </w:rPr>
        <w:t xml:space="preserve"> financial hedging product </w:t>
      </w:r>
      <w:r w:rsidR="002926C5">
        <w:rPr>
          <w:rFonts w:ascii="Book Antiqua" w:hAnsi="Book Antiqua" w:eastAsia="Times New Roman"/>
          <w:sz w:val="26"/>
          <w:szCs w:val="26"/>
        </w:rPr>
        <w:t xml:space="preserve">that is </w:t>
      </w:r>
      <w:r w:rsidRPr="00D719CC">
        <w:rPr>
          <w:rFonts w:ascii="Book Antiqua" w:hAnsi="Book Antiqua" w:eastAsia="Times New Roman"/>
          <w:sz w:val="26"/>
          <w:szCs w:val="26"/>
        </w:rPr>
        <w:t xml:space="preserve">supported by physical resources </w:t>
      </w:r>
      <w:r w:rsidR="002926C5">
        <w:rPr>
          <w:rFonts w:ascii="Book Antiqua" w:hAnsi="Book Antiqua" w:eastAsia="Times New Roman"/>
          <w:sz w:val="26"/>
          <w:szCs w:val="26"/>
        </w:rPr>
        <w:t>with</w:t>
      </w:r>
      <w:r w:rsidRPr="00D719CC">
        <w:rPr>
          <w:rFonts w:ascii="Book Antiqua" w:hAnsi="Book Antiqua" w:eastAsia="Times New Roman"/>
          <w:sz w:val="26"/>
          <w:szCs w:val="26"/>
        </w:rPr>
        <w:t xml:space="preserve"> confirmed </w:t>
      </w:r>
      <w:r w:rsidR="002926C5">
        <w:rPr>
          <w:rFonts w:ascii="Book Antiqua" w:hAnsi="Book Antiqua" w:eastAsia="Times New Roman"/>
          <w:sz w:val="26"/>
          <w:szCs w:val="26"/>
        </w:rPr>
        <w:t xml:space="preserve">firm </w:t>
      </w:r>
      <w:r w:rsidRPr="00D719CC">
        <w:rPr>
          <w:rFonts w:ascii="Book Antiqua" w:hAnsi="Book Antiqua" w:eastAsia="Times New Roman"/>
          <w:sz w:val="26"/>
          <w:szCs w:val="26"/>
        </w:rPr>
        <w:t xml:space="preserve">energy to meet the </w:t>
      </w:r>
      <w:r>
        <w:rPr>
          <w:rFonts w:ascii="Book Antiqua" w:hAnsi="Book Antiqua" w:eastAsia="Times New Roman"/>
          <w:sz w:val="26"/>
          <w:szCs w:val="26"/>
        </w:rPr>
        <w:t xml:space="preserve">procured quantity of the </w:t>
      </w:r>
      <w:r w:rsidRPr="00D719CC">
        <w:rPr>
          <w:rFonts w:ascii="Book Antiqua" w:hAnsi="Book Antiqua" w:eastAsia="Times New Roman"/>
          <w:sz w:val="26"/>
          <w:szCs w:val="26"/>
        </w:rPr>
        <w:t xml:space="preserve">SFPFC.  The proposal aims to mitigate energy </w:t>
      </w:r>
      <w:r w:rsidRPr="00D719CC">
        <w:rPr>
          <w:rFonts w:ascii="Book Antiqua" w:hAnsi="Book Antiqua" w:eastAsia="Times New Roman"/>
          <w:sz w:val="26"/>
          <w:szCs w:val="26"/>
        </w:rPr>
        <w:lastRenderedPageBreak/>
        <w:t>supply risk and ensure reasonable costs, while allowing short-term wholesale market volatility to finance investments in storage and other load shifting technologies</w:t>
      </w:r>
      <w:r>
        <w:rPr>
          <w:rFonts w:ascii="Book Antiqua" w:hAnsi="Book Antiqua" w:eastAsia="Times New Roman"/>
          <w:sz w:val="26"/>
          <w:szCs w:val="26"/>
        </w:rPr>
        <w:t xml:space="preserve">.  </w:t>
      </w:r>
    </w:p>
    <w:p w:rsidR="007A6B80" w:rsidP="00CB280E" w:rsidRDefault="00546B2A" w14:paraId="0033BE9C" w14:textId="13C3BFF9">
      <w:pPr>
        <w:pStyle w:val="MediumGrid1-Accent21"/>
        <w:spacing w:after="120" w:line="360" w:lineRule="auto"/>
        <w:ind w:left="0" w:firstLine="720"/>
        <w:rPr>
          <w:rFonts w:ascii="Book Antiqua" w:hAnsi="Book Antiqua" w:eastAsia="Times New Roman"/>
          <w:color w:val="000000"/>
          <w:sz w:val="26"/>
          <w:szCs w:val="26"/>
        </w:rPr>
      </w:pPr>
      <w:r w:rsidRPr="00D866ED">
        <w:rPr>
          <w:rFonts w:ascii="Book Antiqua" w:hAnsi="Book Antiqua" w:eastAsia="Times New Roman"/>
          <w:color w:val="000000"/>
          <w:sz w:val="26"/>
          <w:szCs w:val="26"/>
        </w:rPr>
        <w:t xml:space="preserve">Under the </w:t>
      </w:r>
      <w:r>
        <w:rPr>
          <w:rFonts w:ascii="Book Antiqua" w:hAnsi="Book Antiqua" w:eastAsia="Times New Roman"/>
          <w:color w:val="000000"/>
          <w:sz w:val="26"/>
          <w:szCs w:val="26"/>
        </w:rPr>
        <w:t xml:space="preserve">Commission’s </w:t>
      </w:r>
      <w:r w:rsidRPr="00D866ED">
        <w:rPr>
          <w:rFonts w:ascii="Book Antiqua" w:hAnsi="Book Antiqua" w:eastAsia="Times New Roman"/>
          <w:color w:val="000000"/>
          <w:sz w:val="26"/>
          <w:szCs w:val="26"/>
        </w:rPr>
        <w:t xml:space="preserve">oversight, CAISO would run up-front compliance auctions for an hourly </w:t>
      </w:r>
      <w:r w:rsidR="007C7058">
        <w:rPr>
          <w:rFonts w:ascii="Book Antiqua" w:hAnsi="Book Antiqua" w:eastAsia="Times New Roman"/>
          <w:color w:val="000000"/>
          <w:sz w:val="26"/>
          <w:szCs w:val="26"/>
        </w:rPr>
        <w:t>SFPFC</w:t>
      </w:r>
      <w:r w:rsidRPr="00D866ED">
        <w:rPr>
          <w:rFonts w:ascii="Book Antiqua" w:hAnsi="Book Antiqua" w:eastAsia="Times New Roman"/>
          <w:color w:val="000000"/>
          <w:sz w:val="26"/>
          <w:szCs w:val="26"/>
        </w:rPr>
        <w:t xml:space="preserve">. </w:t>
      </w:r>
      <w:r w:rsidR="00396113">
        <w:rPr>
          <w:rFonts w:ascii="Book Antiqua" w:hAnsi="Book Antiqua" w:eastAsia="Times New Roman"/>
          <w:color w:val="000000"/>
          <w:sz w:val="26"/>
          <w:szCs w:val="26"/>
        </w:rPr>
        <w:t xml:space="preserve"> </w:t>
      </w:r>
      <w:r w:rsidRPr="00D866ED">
        <w:rPr>
          <w:rFonts w:ascii="Book Antiqua" w:hAnsi="Book Antiqua" w:eastAsia="Times New Roman"/>
          <w:color w:val="000000"/>
          <w:sz w:val="26"/>
          <w:szCs w:val="26"/>
        </w:rPr>
        <w:t>The auction</w:t>
      </w:r>
      <w:r w:rsidR="007C7058">
        <w:rPr>
          <w:rFonts w:ascii="Book Antiqua" w:hAnsi="Book Antiqua" w:eastAsia="Times New Roman"/>
          <w:color w:val="000000"/>
          <w:sz w:val="26"/>
          <w:szCs w:val="26"/>
        </w:rPr>
        <w:t>s</w:t>
      </w:r>
      <w:r w:rsidRPr="00D866ED">
        <w:rPr>
          <w:rFonts w:ascii="Book Antiqua" w:hAnsi="Book Antiqua" w:eastAsia="Times New Roman"/>
          <w:color w:val="000000"/>
          <w:sz w:val="26"/>
          <w:szCs w:val="26"/>
        </w:rPr>
        <w:t xml:space="preserve"> </w:t>
      </w:r>
      <w:r w:rsidR="00396113">
        <w:rPr>
          <w:rFonts w:ascii="Book Antiqua" w:hAnsi="Book Antiqua" w:eastAsia="Times New Roman"/>
          <w:color w:val="000000"/>
          <w:sz w:val="26"/>
          <w:szCs w:val="26"/>
        </w:rPr>
        <w:t xml:space="preserve">would </w:t>
      </w:r>
      <w:r w:rsidRPr="00D866ED">
        <w:rPr>
          <w:rFonts w:ascii="Book Antiqua" w:hAnsi="Book Antiqua" w:eastAsia="Times New Roman"/>
          <w:color w:val="000000"/>
          <w:sz w:val="26"/>
          <w:szCs w:val="26"/>
        </w:rPr>
        <w:t xml:space="preserve">cover quarterly periods and </w:t>
      </w:r>
      <w:r w:rsidR="00396113">
        <w:rPr>
          <w:rFonts w:ascii="Book Antiqua" w:hAnsi="Book Antiqua" w:eastAsia="Times New Roman"/>
          <w:color w:val="000000"/>
          <w:sz w:val="26"/>
          <w:szCs w:val="26"/>
        </w:rPr>
        <w:t xml:space="preserve">be </w:t>
      </w:r>
      <w:r w:rsidRPr="00D866ED">
        <w:rPr>
          <w:rFonts w:ascii="Book Antiqua" w:hAnsi="Book Antiqua" w:eastAsia="Times New Roman"/>
          <w:color w:val="000000"/>
          <w:sz w:val="26"/>
          <w:szCs w:val="26"/>
        </w:rPr>
        <w:t xml:space="preserve">run far </w:t>
      </w:r>
      <w:r>
        <w:rPr>
          <w:rFonts w:ascii="Book Antiqua" w:hAnsi="Book Antiqua" w:eastAsia="Times New Roman"/>
          <w:color w:val="000000"/>
          <w:sz w:val="26"/>
          <w:szCs w:val="26"/>
        </w:rPr>
        <w:t>in</w:t>
      </w:r>
      <w:r w:rsidRPr="00D866ED">
        <w:rPr>
          <w:rFonts w:ascii="Book Antiqua" w:hAnsi="Book Antiqua" w:eastAsia="Times New Roman"/>
          <w:color w:val="000000"/>
          <w:sz w:val="26"/>
          <w:szCs w:val="26"/>
        </w:rPr>
        <w:t xml:space="preserve"> advance of the delivery period to allow new </w:t>
      </w:r>
      <w:r w:rsidR="003E3E21">
        <w:rPr>
          <w:rFonts w:ascii="Book Antiqua" w:hAnsi="Book Antiqua" w:eastAsia="Times New Roman"/>
          <w:color w:val="000000"/>
          <w:sz w:val="26"/>
          <w:szCs w:val="26"/>
        </w:rPr>
        <w:t>resources</w:t>
      </w:r>
      <w:r w:rsidRPr="00D866ED" w:rsidR="00004976">
        <w:rPr>
          <w:rFonts w:ascii="Book Antiqua" w:hAnsi="Book Antiqua" w:eastAsia="Times New Roman"/>
          <w:color w:val="000000"/>
          <w:sz w:val="26"/>
          <w:szCs w:val="26"/>
        </w:rPr>
        <w:t xml:space="preserve"> </w:t>
      </w:r>
      <w:r w:rsidRPr="00D866ED">
        <w:rPr>
          <w:rFonts w:ascii="Book Antiqua" w:hAnsi="Book Antiqua" w:eastAsia="Times New Roman"/>
          <w:color w:val="000000"/>
          <w:sz w:val="26"/>
          <w:szCs w:val="26"/>
        </w:rPr>
        <w:t xml:space="preserve">to compete with existing </w:t>
      </w:r>
      <w:r w:rsidR="004A3C1B">
        <w:rPr>
          <w:rFonts w:ascii="Book Antiqua" w:hAnsi="Book Antiqua" w:eastAsia="Times New Roman"/>
          <w:color w:val="000000"/>
          <w:sz w:val="26"/>
          <w:szCs w:val="26"/>
        </w:rPr>
        <w:t>generators</w:t>
      </w:r>
      <w:r w:rsidR="009373DD">
        <w:rPr>
          <w:rFonts w:ascii="Book Antiqua" w:hAnsi="Book Antiqua" w:eastAsia="Times New Roman"/>
          <w:color w:val="000000"/>
          <w:sz w:val="26"/>
          <w:szCs w:val="26"/>
        </w:rPr>
        <w:t xml:space="preserve">.  </w:t>
      </w:r>
      <w:r w:rsidRPr="00D866ED">
        <w:rPr>
          <w:rFonts w:ascii="Book Antiqua" w:hAnsi="Book Antiqua" w:eastAsia="Times New Roman"/>
          <w:color w:val="000000"/>
          <w:sz w:val="26"/>
          <w:szCs w:val="26"/>
        </w:rPr>
        <w:t xml:space="preserve">The SFPFC </w:t>
      </w:r>
      <w:r w:rsidR="00563BA1">
        <w:rPr>
          <w:rFonts w:ascii="Book Antiqua" w:hAnsi="Book Antiqua" w:eastAsia="Times New Roman"/>
          <w:color w:val="000000"/>
          <w:sz w:val="26"/>
          <w:szCs w:val="26"/>
        </w:rPr>
        <w:t>would be</w:t>
      </w:r>
      <w:r w:rsidRPr="00D866ED">
        <w:rPr>
          <w:rFonts w:ascii="Book Antiqua" w:hAnsi="Book Antiqua" w:eastAsia="Times New Roman"/>
          <w:color w:val="000000"/>
          <w:sz w:val="26"/>
          <w:szCs w:val="26"/>
        </w:rPr>
        <w:t xml:space="preserve"> shaped to the hourly system demand </w:t>
      </w:r>
      <w:r>
        <w:rPr>
          <w:rFonts w:ascii="Book Antiqua" w:hAnsi="Book Antiqua" w:eastAsia="Times New Roman"/>
          <w:color w:val="000000"/>
          <w:sz w:val="26"/>
          <w:szCs w:val="26"/>
        </w:rPr>
        <w:t>in</w:t>
      </w:r>
      <w:r w:rsidRPr="00D866ED">
        <w:rPr>
          <w:rFonts w:ascii="Book Antiqua" w:hAnsi="Book Antiqua" w:eastAsia="Times New Roman"/>
          <w:color w:val="000000"/>
          <w:sz w:val="26"/>
          <w:szCs w:val="26"/>
        </w:rPr>
        <w:t xml:space="preserve"> each </w:t>
      </w:r>
      <w:r w:rsidR="00DA1210">
        <w:rPr>
          <w:rFonts w:ascii="Book Antiqua" w:hAnsi="Book Antiqua" w:eastAsia="Times New Roman"/>
          <w:color w:val="000000"/>
          <w:sz w:val="26"/>
          <w:szCs w:val="26"/>
        </w:rPr>
        <w:t>quarter</w:t>
      </w:r>
      <w:r w:rsidR="00065347">
        <w:rPr>
          <w:rFonts w:ascii="Book Antiqua" w:hAnsi="Book Antiqua" w:eastAsia="Times New Roman"/>
          <w:color w:val="000000"/>
          <w:sz w:val="26"/>
          <w:szCs w:val="26"/>
        </w:rPr>
        <w:t xml:space="preserve"> and th</w:t>
      </w:r>
      <w:r w:rsidRPr="00D866ED">
        <w:rPr>
          <w:rFonts w:ascii="Book Antiqua" w:hAnsi="Book Antiqua" w:eastAsia="Times New Roman"/>
          <w:color w:val="000000"/>
          <w:sz w:val="26"/>
          <w:szCs w:val="26"/>
        </w:rPr>
        <w:t xml:space="preserve">e amount of energy purchased in </w:t>
      </w:r>
      <w:r w:rsidR="001B708A">
        <w:rPr>
          <w:rFonts w:ascii="Book Antiqua" w:hAnsi="Book Antiqua" w:eastAsia="Times New Roman"/>
          <w:color w:val="000000"/>
          <w:sz w:val="26"/>
          <w:szCs w:val="26"/>
        </w:rPr>
        <w:t>the</w:t>
      </w:r>
      <w:r w:rsidRPr="00D866ED">
        <w:rPr>
          <w:rFonts w:ascii="Book Antiqua" w:hAnsi="Book Antiqua" w:eastAsia="Times New Roman"/>
          <w:color w:val="000000"/>
          <w:sz w:val="26"/>
          <w:szCs w:val="26"/>
        </w:rPr>
        <w:t xml:space="preserve"> auction </w:t>
      </w:r>
      <w:r w:rsidR="00563BA1">
        <w:rPr>
          <w:rFonts w:ascii="Book Antiqua" w:hAnsi="Book Antiqua" w:eastAsia="Times New Roman"/>
          <w:color w:val="000000"/>
          <w:sz w:val="26"/>
          <w:szCs w:val="26"/>
        </w:rPr>
        <w:t>would be</w:t>
      </w:r>
      <w:r w:rsidRPr="00D866ED">
        <w:rPr>
          <w:rFonts w:ascii="Book Antiqua" w:hAnsi="Book Antiqua" w:eastAsia="Times New Roman"/>
          <w:color w:val="000000"/>
          <w:sz w:val="26"/>
          <w:szCs w:val="26"/>
        </w:rPr>
        <w:t xml:space="preserve"> equal to the CEC forecast of the total energy demand for that quarter. </w:t>
      </w:r>
      <w:r>
        <w:rPr>
          <w:rFonts w:ascii="Book Antiqua" w:hAnsi="Book Antiqua" w:eastAsia="Times New Roman"/>
          <w:color w:val="000000"/>
          <w:sz w:val="26"/>
          <w:szCs w:val="26"/>
        </w:rPr>
        <w:t xml:space="preserve"> </w:t>
      </w:r>
      <w:r w:rsidRPr="00A45C71">
        <w:rPr>
          <w:rFonts w:ascii="Book Antiqua" w:hAnsi="Book Antiqua" w:eastAsia="Times New Roman"/>
          <w:color w:val="000000"/>
          <w:sz w:val="26"/>
          <w:szCs w:val="26"/>
        </w:rPr>
        <w:t xml:space="preserve">The cost of the SFPFCs would be allocated to LSEs based on their share of system demand </w:t>
      </w:r>
      <w:r>
        <w:rPr>
          <w:rFonts w:ascii="Book Antiqua" w:hAnsi="Book Antiqua" w:eastAsia="Times New Roman"/>
          <w:color w:val="000000"/>
          <w:sz w:val="26"/>
          <w:szCs w:val="26"/>
        </w:rPr>
        <w:t>in</w:t>
      </w:r>
      <w:r w:rsidRPr="00A45C71">
        <w:rPr>
          <w:rFonts w:ascii="Book Antiqua" w:hAnsi="Book Antiqua" w:eastAsia="Times New Roman"/>
          <w:color w:val="000000"/>
          <w:sz w:val="26"/>
          <w:szCs w:val="26"/>
        </w:rPr>
        <w:t xml:space="preserve"> each quarter. </w:t>
      </w:r>
      <w:r>
        <w:rPr>
          <w:rFonts w:ascii="Book Antiqua" w:hAnsi="Book Antiqua" w:eastAsia="Times New Roman"/>
          <w:color w:val="000000"/>
          <w:sz w:val="26"/>
          <w:szCs w:val="26"/>
        </w:rPr>
        <w:t xml:space="preserve"> </w:t>
      </w:r>
    </w:p>
    <w:p w:rsidR="00546B2A" w:rsidP="00CB280E" w:rsidRDefault="00546B2A" w14:paraId="20AED2B9" w14:textId="346B93FA">
      <w:pPr>
        <w:pStyle w:val="MediumGrid1-Accent21"/>
        <w:spacing w:after="120" w:line="360" w:lineRule="auto"/>
        <w:ind w:left="0" w:firstLine="720"/>
        <w:rPr>
          <w:rFonts w:ascii="Book Antiqua" w:hAnsi="Book Antiqua" w:eastAsia="Times New Roman"/>
          <w:color w:val="000000"/>
          <w:sz w:val="26"/>
          <w:szCs w:val="26"/>
        </w:rPr>
      </w:pPr>
      <w:r w:rsidRPr="00A45C71">
        <w:rPr>
          <w:rFonts w:ascii="Book Antiqua" w:hAnsi="Book Antiqua" w:eastAsia="Times New Roman"/>
          <w:color w:val="000000"/>
          <w:sz w:val="26"/>
          <w:szCs w:val="26"/>
        </w:rPr>
        <w:t>To ensure 100</w:t>
      </w:r>
      <w:r w:rsidR="00FD213B">
        <w:rPr>
          <w:rFonts w:ascii="Book Antiqua" w:hAnsi="Book Antiqua" w:eastAsia="Times New Roman"/>
          <w:color w:val="000000"/>
          <w:sz w:val="26"/>
          <w:szCs w:val="26"/>
        </w:rPr>
        <w:t xml:space="preserve"> percent</w:t>
      </w:r>
      <w:r w:rsidRPr="00A45C71">
        <w:rPr>
          <w:rFonts w:ascii="Book Antiqua" w:hAnsi="Book Antiqua" w:eastAsia="Times New Roman"/>
          <w:color w:val="000000"/>
          <w:sz w:val="26"/>
          <w:szCs w:val="26"/>
        </w:rPr>
        <w:t xml:space="preserve"> coverage of realized system demand, true-up auctions </w:t>
      </w:r>
      <w:r>
        <w:rPr>
          <w:rFonts w:ascii="Book Antiqua" w:hAnsi="Book Antiqua" w:eastAsia="Times New Roman"/>
          <w:color w:val="000000"/>
          <w:sz w:val="26"/>
          <w:szCs w:val="26"/>
        </w:rPr>
        <w:t xml:space="preserve">are necessary </w:t>
      </w:r>
      <w:r w:rsidRPr="00A45C71">
        <w:rPr>
          <w:rFonts w:ascii="Book Antiqua" w:hAnsi="Book Antiqua" w:eastAsia="Times New Roman"/>
          <w:color w:val="000000"/>
          <w:sz w:val="26"/>
          <w:szCs w:val="26"/>
        </w:rPr>
        <w:t xml:space="preserve">after the compliance period with </w:t>
      </w:r>
      <w:r>
        <w:rPr>
          <w:rFonts w:ascii="Book Antiqua" w:hAnsi="Book Antiqua" w:eastAsia="Times New Roman"/>
          <w:color w:val="000000"/>
          <w:sz w:val="26"/>
          <w:szCs w:val="26"/>
        </w:rPr>
        <w:t xml:space="preserve">auction </w:t>
      </w:r>
      <w:r w:rsidRPr="00A45C71">
        <w:rPr>
          <w:rFonts w:ascii="Book Antiqua" w:hAnsi="Book Antiqua" w:eastAsia="Times New Roman"/>
          <w:color w:val="000000"/>
          <w:sz w:val="26"/>
          <w:szCs w:val="26"/>
        </w:rPr>
        <w:t xml:space="preserve">purchases allocated to LSEs in the same manner. </w:t>
      </w:r>
      <w:r>
        <w:rPr>
          <w:rFonts w:ascii="Book Antiqua" w:hAnsi="Book Antiqua" w:eastAsia="Times New Roman"/>
          <w:color w:val="000000"/>
          <w:sz w:val="26"/>
          <w:szCs w:val="26"/>
        </w:rPr>
        <w:t xml:space="preserve"> </w:t>
      </w:r>
      <w:r w:rsidR="007A6B80">
        <w:rPr>
          <w:rFonts w:ascii="Book Antiqua" w:hAnsi="Book Antiqua" w:eastAsia="Times New Roman"/>
          <w:color w:val="000000"/>
          <w:sz w:val="26"/>
          <w:szCs w:val="26"/>
        </w:rPr>
        <w:t>The proposal asserts that basing</w:t>
      </w:r>
      <w:r w:rsidRPr="00A45C71">
        <w:rPr>
          <w:rFonts w:ascii="Book Antiqua" w:hAnsi="Book Antiqua" w:eastAsia="Times New Roman"/>
          <w:color w:val="000000"/>
          <w:sz w:val="26"/>
          <w:szCs w:val="26"/>
        </w:rPr>
        <w:t xml:space="preserve"> allocation</w:t>
      </w:r>
      <w:r w:rsidR="007A6B80">
        <w:rPr>
          <w:rFonts w:ascii="Book Antiqua" w:hAnsi="Book Antiqua" w:eastAsia="Times New Roman"/>
          <w:color w:val="000000"/>
          <w:sz w:val="26"/>
          <w:szCs w:val="26"/>
        </w:rPr>
        <w:t xml:space="preserve"> of costs</w:t>
      </w:r>
      <w:r w:rsidRPr="00A45C71">
        <w:rPr>
          <w:rFonts w:ascii="Book Antiqua" w:hAnsi="Book Antiqua" w:eastAsia="Times New Roman"/>
          <w:color w:val="000000"/>
          <w:sz w:val="26"/>
          <w:szCs w:val="26"/>
        </w:rPr>
        <w:t xml:space="preserve"> on LSEs</w:t>
      </w:r>
      <w:r w:rsidR="007A6B80">
        <w:rPr>
          <w:rFonts w:ascii="Book Antiqua" w:hAnsi="Book Antiqua" w:eastAsia="Times New Roman"/>
          <w:color w:val="000000"/>
          <w:sz w:val="26"/>
          <w:szCs w:val="26"/>
        </w:rPr>
        <w:t>’</w:t>
      </w:r>
      <w:r w:rsidRPr="00A45C71">
        <w:rPr>
          <w:rFonts w:ascii="Book Antiqua" w:hAnsi="Book Antiqua" w:eastAsia="Times New Roman"/>
          <w:color w:val="000000"/>
          <w:sz w:val="26"/>
          <w:szCs w:val="26"/>
        </w:rPr>
        <w:t xml:space="preserve"> actual share of system demand can accommodate retail competition</w:t>
      </w:r>
      <w:r w:rsidR="00F259C2">
        <w:rPr>
          <w:rFonts w:ascii="Book Antiqua" w:hAnsi="Book Antiqua" w:eastAsia="Times New Roman"/>
          <w:color w:val="000000"/>
          <w:sz w:val="26"/>
          <w:szCs w:val="26"/>
        </w:rPr>
        <w:t xml:space="preserve"> </w:t>
      </w:r>
      <w:r w:rsidRPr="00A45C71">
        <w:rPr>
          <w:rFonts w:ascii="Book Antiqua" w:hAnsi="Book Antiqua" w:eastAsia="Times New Roman"/>
          <w:color w:val="000000"/>
          <w:sz w:val="26"/>
          <w:szCs w:val="26"/>
        </w:rPr>
        <w:t xml:space="preserve">because if one LSE loses load and another gains </w:t>
      </w:r>
      <w:r w:rsidR="00A65501">
        <w:rPr>
          <w:rFonts w:ascii="Book Antiqua" w:hAnsi="Book Antiqua" w:eastAsia="Times New Roman"/>
          <w:color w:val="000000"/>
          <w:sz w:val="26"/>
          <w:szCs w:val="26"/>
        </w:rPr>
        <w:t xml:space="preserve">load </w:t>
      </w:r>
      <w:r w:rsidRPr="00A45C71">
        <w:rPr>
          <w:rFonts w:ascii="Book Antiqua" w:hAnsi="Book Antiqua" w:eastAsia="Times New Roman"/>
          <w:color w:val="000000"/>
          <w:sz w:val="26"/>
          <w:szCs w:val="26"/>
        </w:rPr>
        <w:t xml:space="preserve">during </w:t>
      </w:r>
      <w:r>
        <w:rPr>
          <w:rFonts w:ascii="Book Antiqua" w:hAnsi="Book Antiqua" w:eastAsia="Times New Roman"/>
          <w:color w:val="000000"/>
          <w:sz w:val="26"/>
          <w:szCs w:val="26"/>
        </w:rPr>
        <w:t>a</w:t>
      </w:r>
      <w:r w:rsidRPr="00A45C71">
        <w:rPr>
          <w:rFonts w:ascii="Book Antiqua" w:hAnsi="Book Antiqua" w:eastAsia="Times New Roman"/>
          <w:color w:val="000000"/>
          <w:sz w:val="26"/>
          <w:szCs w:val="26"/>
        </w:rPr>
        <w:t xml:space="preserve"> month, the share of aggregate cost of SFPFCs allocated to </w:t>
      </w:r>
      <w:r>
        <w:rPr>
          <w:rFonts w:ascii="Book Antiqua" w:hAnsi="Book Antiqua" w:eastAsia="Times New Roman"/>
          <w:color w:val="000000"/>
          <w:sz w:val="26"/>
          <w:szCs w:val="26"/>
        </w:rPr>
        <w:t xml:space="preserve">the </w:t>
      </w:r>
      <w:r w:rsidRPr="00A45C71">
        <w:rPr>
          <w:rFonts w:ascii="Book Antiqua" w:hAnsi="Book Antiqua" w:eastAsia="Times New Roman"/>
          <w:color w:val="000000"/>
          <w:sz w:val="26"/>
          <w:szCs w:val="26"/>
        </w:rPr>
        <w:t xml:space="preserve">first LSE falls </w:t>
      </w:r>
      <w:r w:rsidR="007471C1">
        <w:rPr>
          <w:rFonts w:ascii="Book Antiqua" w:hAnsi="Book Antiqua" w:eastAsia="Times New Roman"/>
          <w:color w:val="000000"/>
          <w:sz w:val="26"/>
          <w:szCs w:val="26"/>
        </w:rPr>
        <w:t>while</w:t>
      </w:r>
      <w:r w:rsidRPr="00A45C71">
        <w:rPr>
          <w:rFonts w:ascii="Book Antiqua" w:hAnsi="Book Antiqua" w:eastAsia="Times New Roman"/>
          <w:color w:val="000000"/>
          <w:sz w:val="26"/>
          <w:szCs w:val="26"/>
        </w:rPr>
        <w:t xml:space="preserve"> </w:t>
      </w:r>
      <w:r w:rsidR="001E78F8">
        <w:rPr>
          <w:rFonts w:ascii="Book Antiqua" w:hAnsi="Book Antiqua" w:eastAsia="Times New Roman"/>
          <w:color w:val="000000"/>
          <w:sz w:val="26"/>
          <w:szCs w:val="26"/>
        </w:rPr>
        <w:t xml:space="preserve">the </w:t>
      </w:r>
      <w:r w:rsidRPr="00A45C71">
        <w:rPr>
          <w:rFonts w:ascii="Book Antiqua" w:hAnsi="Book Antiqua" w:eastAsia="Times New Roman"/>
          <w:color w:val="000000"/>
          <w:sz w:val="26"/>
          <w:szCs w:val="26"/>
        </w:rPr>
        <w:t xml:space="preserve">share </w:t>
      </w:r>
      <w:r w:rsidR="00A65501">
        <w:rPr>
          <w:rFonts w:ascii="Book Antiqua" w:hAnsi="Book Antiqua" w:eastAsia="Times New Roman"/>
          <w:color w:val="000000"/>
          <w:sz w:val="26"/>
          <w:szCs w:val="26"/>
        </w:rPr>
        <w:t xml:space="preserve">allocated </w:t>
      </w:r>
      <w:r w:rsidRPr="00A45C71">
        <w:rPr>
          <w:rFonts w:ascii="Book Antiqua" w:hAnsi="Book Antiqua" w:eastAsia="Times New Roman"/>
          <w:color w:val="000000"/>
          <w:sz w:val="26"/>
          <w:szCs w:val="26"/>
        </w:rPr>
        <w:t xml:space="preserve">to the second LSE increases. </w:t>
      </w:r>
    </w:p>
    <w:p w:rsidRPr="00F83A81" w:rsidR="00546B2A" w:rsidP="00546B2A" w:rsidRDefault="008A4C61" w14:paraId="6DD6B69B" w14:textId="2893A3D8">
      <w:pPr>
        <w:pStyle w:val="MediumGrid1-Accent21"/>
        <w:spacing w:after="120" w:line="360" w:lineRule="auto"/>
        <w:ind w:left="0" w:firstLine="720"/>
        <w:rPr>
          <w:rFonts w:ascii="Book Antiqua" w:hAnsi="Book Antiqua"/>
          <w:sz w:val="26"/>
          <w:szCs w:val="26"/>
        </w:rPr>
      </w:pPr>
      <w:r>
        <w:rPr>
          <w:rFonts w:ascii="Book Antiqua" w:hAnsi="Book Antiqua" w:eastAsia="Times New Roman"/>
          <w:color w:val="000000"/>
          <w:sz w:val="26"/>
          <w:szCs w:val="26"/>
        </w:rPr>
        <w:t>Under this proposal, g</w:t>
      </w:r>
      <w:r w:rsidRPr="00A45C71" w:rsidR="00546B2A">
        <w:rPr>
          <w:rFonts w:ascii="Book Antiqua" w:hAnsi="Book Antiqua" w:eastAsia="Times New Roman"/>
          <w:color w:val="000000"/>
          <w:sz w:val="26"/>
          <w:szCs w:val="26"/>
        </w:rPr>
        <w:t xml:space="preserve">enerators </w:t>
      </w:r>
      <w:r>
        <w:rPr>
          <w:rFonts w:ascii="Book Antiqua" w:hAnsi="Book Antiqua" w:eastAsia="Times New Roman"/>
          <w:color w:val="000000"/>
          <w:sz w:val="26"/>
          <w:szCs w:val="26"/>
        </w:rPr>
        <w:t>would be able to</w:t>
      </w:r>
      <w:r w:rsidRPr="00A45C71" w:rsidR="00546B2A">
        <w:rPr>
          <w:rFonts w:ascii="Book Antiqua" w:hAnsi="Book Antiqua" w:eastAsia="Times New Roman"/>
          <w:color w:val="000000"/>
          <w:sz w:val="26"/>
          <w:szCs w:val="26"/>
        </w:rPr>
        <w:t xml:space="preserve"> sell a maximum amount of firm energy to count towards the SFPFC using a mechanism </w:t>
      </w:r>
      <w:proofErr w:type="gramStart"/>
      <w:r w:rsidRPr="00A45C71" w:rsidR="00546B2A">
        <w:rPr>
          <w:rFonts w:ascii="Book Antiqua" w:hAnsi="Book Antiqua" w:eastAsia="Times New Roman"/>
          <w:color w:val="000000"/>
          <w:sz w:val="26"/>
          <w:szCs w:val="26"/>
        </w:rPr>
        <w:t>similar to</w:t>
      </w:r>
      <w:proofErr w:type="gramEnd"/>
      <w:r w:rsidRPr="00A45C71" w:rsidR="00546B2A">
        <w:rPr>
          <w:rFonts w:ascii="Book Antiqua" w:hAnsi="Book Antiqua" w:eastAsia="Times New Roman"/>
          <w:color w:val="000000"/>
          <w:sz w:val="26"/>
          <w:szCs w:val="26"/>
        </w:rPr>
        <w:t xml:space="preserve"> what is currently used to compute firm capacity values</w:t>
      </w:r>
      <w:r w:rsidR="00D31F5B">
        <w:rPr>
          <w:rFonts w:ascii="Book Antiqua" w:hAnsi="Book Antiqua" w:eastAsia="Times New Roman"/>
          <w:color w:val="000000"/>
          <w:sz w:val="26"/>
          <w:szCs w:val="26"/>
        </w:rPr>
        <w:t xml:space="preserve">, which </w:t>
      </w:r>
      <w:r w:rsidR="0071463E">
        <w:rPr>
          <w:rFonts w:ascii="Book Antiqua" w:hAnsi="Book Antiqua" w:eastAsia="Times New Roman"/>
          <w:color w:val="000000"/>
          <w:sz w:val="26"/>
          <w:szCs w:val="26"/>
        </w:rPr>
        <w:t>tie</w:t>
      </w:r>
      <w:r w:rsidR="00474BA6">
        <w:rPr>
          <w:rFonts w:ascii="Book Antiqua" w:hAnsi="Book Antiqua" w:eastAsia="Times New Roman"/>
          <w:color w:val="000000"/>
          <w:sz w:val="26"/>
          <w:szCs w:val="26"/>
        </w:rPr>
        <w:t>s</w:t>
      </w:r>
      <w:r w:rsidRPr="00A45C71" w:rsidR="00546B2A">
        <w:rPr>
          <w:rFonts w:ascii="Book Antiqua" w:hAnsi="Book Antiqua" w:eastAsia="Times New Roman"/>
          <w:color w:val="000000"/>
          <w:sz w:val="26"/>
          <w:szCs w:val="26"/>
        </w:rPr>
        <w:t xml:space="preserve"> the SFPFC </w:t>
      </w:r>
      <w:r w:rsidR="00546B2A">
        <w:rPr>
          <w:rFonts w:ascii="Book Antiqua" w:hAnsi="Book Antiqua" w:eastAsia="Times New Roman"/>
          <w:color w:val="000000"/>
          <w:sz w:val="26"/>
          <w:szCs w:val="26"/>
        </w:rPr>
        <w:t xml:space="preserve">amount </w:t>
      </w:r>
      <w:r w:rsidRPr="00A45C71" w:rsidR="00546B2A">
        <w:rPr>
          <w:rFonts w:ascii="Book Antiqua" w:hAnsi="Book Antiqua" w:eastAsia="Times New Roman"/>
          <w:color w:val="000000"/>
          <w:sz w:val="26"/>
          <w:szCs w:val="26"/>
        </w:rPr>
        <w:t xml:space="preserve">to the amount of firm energy generators can produce. </w:t>
      </w:r>
      <w:r w:rsidR="00546B2A">
        <w:rPr>
          <w:rFonts w:ascii="Book Antiqua" w:hAnsi="Book Antiqua" w:eastAsia="Times New Roman"/>
          <w:color w:val="000000"/>
          <w:sz w:val="26"/>
          <w:szCs w:val="26"/>
        </w:rPr>
        <w:t xml:space="preserve"> </w:t>
      </w:r>
      <w:r w:rsidRPr="00A45C71" w:rsidR="00546B2A">
        <w:rPr>
          <w:rFonts w:ascii="Book Antiqua" w:hAnsi="Book Antiqua" w:eastAsia="Times New Roman"/>
          <w:color w:val="000000"/>
          <w:sz w:val="26"/>
          <w:szCs w:val="26"/>
        </w:rPr>
        <w:t xml:space="preserve">The firm energy amount </w:t>
      </w:r>
      <w:r w:rsidR="00004976">
        <w:rPr>
          <w:rFonts w:ascii="Book Antiqua" w:hAnsi="Book Antiqua" w:eastAsia="Times New Roman"/>
          <w:color w:val="000000"/>
          <w:sz w:val="26"/>
          <w:szCs w:val="26"/>
        </w:rPr>
        <w:t>would be</w:t>
      </w:r>
      <w:r w:rsidRPr="00A45C71" w:rsidR="00004976">
        <w:rPr>
          <w:rFonts w:ascii="Book Antiqua" w:hAnsi="Book Antiqua" w:eastAsia="Times New Roman"/>
          <w:color w:val="000000"/>
          <w:sz w:val="26"/>
          <w:szCs w:val="26"/>
        </w:rPr>
        <w:t xml:space="preserve"> </w:t>
      </w:r>
      <w:r w:rsidRPr="00A45C71" w:rsidR="00546B2A">
        <w:rPr>
          <w:rFonts w:ascii="Book Antiqua" w:hAnsi="Book Antiqua" w:eastAsia="Times New Roman"/>
          <w:color w:val="000000"/>
          <w:sz w:val="26"/>
          <w:szCs w:val="26"/>
        </w:rPr>
        <w:t xml:space="preserve">calculated by multiplying a unit’s </w:t>
      </w:r>
      <w:r w:rsidR="00004976">
        <w:rPr>
          <w:rFonts w:ascii="Book Antiqua" w:hAnsi="Book Antiqua" w:eastAsia="Times New Roman"/>
          <w:color w:val="000000"/>
          <w:sz w:val="26"/>
          <w:szCs w:val="26"/>
        </w:rPr>
        <w:t>nameplate capacity (</w:t>
      </w:r>
      <w:r w:rsidRPr="00A45C71" w:rsidR="00546B2A">
        <w:rPr>
          <w:rFonts w:ascii="Book Antiqua" w:hAnsi="Book Antiqua" w:eastAsia="Times New Roman"/>
          <w:color w:val="000000"/>
          <w:sz w:val="26"/>
          <w:szCs w:val="26"/>
        </w:rPr>
        <w:t>MWs</w:t>
      </w:r>
      <w:r w:rsidR="00004976">
        <w:rPr>
          <w:rFonts w:ascii="Book Antiqua" w:hAnsi="Book Antiqua" w:eastAsia="Times New Roman"/>
          <w:color w:val="000000"/>
          <w:sz w:val="26"/>
          <w:szCs w:val="26"/>
        </w:rPr>
        <w:t>) by its</w:t>
      </w:r>
      <w:r w:rsidRPr="00A45C71" w:rsidR="00546B2A">
        <w:rPr>
          <w:rFonts w:ascii="Book Antiqua" w:hAnsi="Book Antiqua" w:eastAsia="Times New Roman"/>
          <w:color w:val="000000"/>
          <w:sz w:val="26"/>
          <w:szCs w:val="26"/>
        </w:rPr>
        <w:t xml:space="preserve"> </w:t>
      </w:r>
      <w:r w:rsidR="00004976">
        <w:rPr>
          <w:rFonts w:ascii="Book Antiqua" w:hAnsi="Book Antiqua" w:eastAsia="Times New Roman"/>
          <w:color w:val="000000"/>
          <w:sz w:val="26"/>
          <w:szCs w:val="26"/>
        </w:rPr>
        <w:t>availability factor (fraction of hours of the year a unit is expected to be available to produce electricity)</w:t>
      </w:r>
      <w:r w:rsidRPr="00A45C71" w:rsidR="00546B2A">
        <w:rPr>
          <w:rFonts w:ascii="Book Antiqua" w:hAnsi="Book Antiqua" w:eastAsia="Times New Roman"/>
          <w:color w:val="000000"/>
          <w:sz w:val="26"/>
          <w:szCs w:val="26"/>
        </w:rPr>
        <w:t xml:space="preserve">. </w:t>
      </w:r>
      <w:r w:rsidR="00546B2A">
        <w:rPr>
          <w:rFonts w:ascii="Book Antiqua" w:hAnsi="Book Antiqua" w:eastAsia="Times New Roman"/>
          <w:color w:val="000000"/>
          <w:sz w:val="26"/>
          <w:szCs w:val="26"/>
        </w:rPr>
        <w:t xml:space="preserve"> </w:t>
      </w:r>
      <w:r w:rsidRPr="00A45C71" w:rsidR="00546B2A">
        <w:rPr>
          <w:rFonts w:ascii="Book Antiqua" w:hAnsi="Book Antiqua" w:eastAsia="Times New Roman"/>
          <w:color w:val="000000"/>
          <w:sz w:val="26"/>
          <w:szCs w:val="26"/>
        </w:rPr>
        <w:t xml:space="preserve">Because the amount of firm energy is </w:t>
      </w:r>
      <w:r w:rsidR="009976E0">
        <w:rPr>
          <w:rFonts w:ascii="Book Antiqua" w:hAnsi="Book Antiqua" w:eastAsia="Times New Roman"/>
          <w:color w:val="000000"/>
          <w:sz w:val="26"/>
          <w:szCs w:val="26"/>
        </w:rPr>
        <w:t>based on</w:t>
      </w:r>
      <w:r w:rsidRPr="00A45C71" w:rsidR="00546B2A">
        <w:rPr>
          <w:rFonts w:ascii="Book Antiqua" w:hAnsi="Book Antiqua" w:eastAsia="Times New Roman"/>
          <w:color w:val="000000"/>
          <w:sz w:val="26"/>
          <w:szCs w:val="26"/>
        </w:rPr>
        <w:t xml:space="preserve"> how much </w:t>
      </w:r>
      <w:r w:rsidR="009976E0">
        <w:rPr>
          <w:rFonts w:ascii="Book Antiqua" w:hAnsi="Book Antiqua" w:eastAsia="Times New Roman"/>
          <w:color w:val="000000"/>
          <w:sz w:val="26"/>
          <w:szCs w:val="26"/>
        </w:rPr>
        <w:t>a unit</w:t>
      </w:r>
      <w:r w:rsidRPr="00A45C71" w:rsidR="00546B2A">
        <w:rPr>
          <w:rFonts w:ascii="Book Antiqua" w:hAnsi="Book Antiqua" w:eastAsia="Times New Roman"/>
          <w:color w:val="000000"/>
          <w:sz w:val="26"/>
          <w:szCs w:val="26"/>
        </w:rPr>
        <w:t xml:space="preserve"> can produce </w:t>
      </w:r>
      <w:r w:rsidR="00546B2A">
        <w:rPr>
          <w:rFonts w:ascii="Book Antiqua" w:hAnsi="Book Antiqua" w:eastAsia="Times New Roman"/>
          <w:color w:val="000000"/>
          <w:sz w:val="26"/>
          <w:szCs w:val="26"/>
        </w:rPr>
        <w:t>in</w:t>
      </w:r>
      <w:r w:rsidRPr="00A45C71" w:rsidR="00546B2A">
        <w:rPr>
          <w:rFonts w:ascii="Book Antiqua" w:hAnsi="Book Antiqua" w:eastAsia="Times New Roman"/>
          <w:color w:val="000000"/>
          <w:sz w:val="26"/>
          <w:szCs w:val="26"/>
        </w:rPr>
        <w:t xml:space="preserve"> stressed conditions, wind and solar would </w:t>
      </w:r>
      <w:r w:rsidR="00250152">
        <w:rPr>
          <w:rFonts w:ascii="Book Antiqua" w:hAnsi="Book Antiqua" w:eastAsia="Times New Roman"/>
          <w:color w:val="000000"/>
          <w:sz w:val="26"/>
          <w:szCs w:val="26"/>
        </w:rPr>
        <w:t>have</w:t>
      </w:r>
      <w:r w:rsidRPr="00A45C71" w:rsidR="00546B2A">
        <w:rPr>
          <w:rFonts w:ascii="Book Antiqua" w:hAnsi="Book Antiqua" w:eastAsia="Times New Roman"/>
          <w:color w:val="000000"/>
          <w:sz w:val="26"/>
          <w:szCs w:val="26"/>
        </w:rPr>
        <w:t xml:space="preserve"> </w:t>
      </w:r>
      <w:r w:rsidRPr="00A45C71" w:rsidR="00546B2A">
        <w:rPr>
          <w:rFonts w:ascii="Book Antiqua" w:hAnsi="Book Antiqua" w:eastAsia="Times New Roman"/>
          <w:color w:val="000000"/>
          <w:sz w:val="26"/>
          <w:szCs w:val="26"/>
        </w:rPr>
        <w:lastRenderedPageBreak/>
        <w:t>much lower value</w:t>
      </w:r>
      <w:r w:rsidR="00546B2A">
        <w:rPr>
          <w:rFonts w:ascii="Book Antiqua" w:hAnsi="Book Antiqua" w:eastAsia="Times New Roman"/>
          <w:color w:val="000000"/>
          <w:sz w:val="26"/>
          <w:szCs w:val="26"/>
        </w:rPr>
        <w:t>s</w:t>
      </w:r>
      <w:r w:rsidRPr="00A45C71" w:rsidR="00546B2A">
        <w:rPr>
          <w:rFonts w:ascii="Book Antiqua" w:hAnsi="Book Antiqua" w:eastAsia="Times New Roman"/>
          <w:color w:val="000000"/>
          <w:sz w:val="26"/>
          <w:szCs w:val="26"/>
        </w:rPr>
        <w:t xml:space="preserve"> than conventional generation. </w:t>
      </w:r>
      <w:r w:rsidR="00546B2A">
        <w:rPr>
          <w:rFonts w:ascii="Book Antiqua" w:hAnsi="Book Antiqua" w:eastAsia="Times New Roman"/>
          <w:color w:val="000000"/>
          <w:sz w:val="26"/>
          <w:szCs w:val="26"/>
        </w:rPr>
        <w:t xml:space="preserve"> </w:t>
      </w:r>
      <w:r w:rsidR="00364338">
        <w:rPr>
          <w:rFonts w:ascii="Book Antiqua" w:hAnsi="Book Antiqua" w:eastAsia="Times New Roman"/>
          <w:color w:val="000000"/>
          <w:sz w:val="26"/>
          <w:szCs w:val="26"/>
        </w:rPr>
        <w:t>The</w:t>
      </w:r>
      <w:r w:rsidRPr="00A45C71" w:rsidR="00546B2A">
        <w:rPr>
          <w:rFonts w:ascii="Book Antiqua" w:hAnsi="Book Antiqua" w:eastAsia="Times New Roman"/>
          <w:color w:val="000000"/>
          <w:sz w:val="26"/>
          <w:szCs w:val="26"/>
        </w:rPr>
        <w:t xml:space="preserve"> structure allow</w:t>
      </w:r>
      <w:r w:rsidR="00546B2A">
        <w:rPr>
          <w:rFonts w:ascii="Book Antiqua" w:hAnsi="Book Antiqua" w:eastAsia="Times New Roman"/>
          <w:color w:val="000000"/>
          <w:sz w:val="26"/>
          <w:szCs w:val="26"/>
        </w:rPr>
        <w:t>s</w:t>
      </w:r>
      <w:r w:rsidRPr="00A45C71" w:rsidR="00546B2A">
        <w:rPr>
          <w:rFonts w:ascii="Book Antiqua" w:hAnsi="Book Antiqua" w:eastAsia="Times New Roman"/>
          <w:color w:val="000000"/>
          <w:sz w:val="26"/>
          <w:szCs w:val="26"/>
        </w:rPr>
        <w:t xml:space="preserve"> for cross</w:t>
      </w:r>
      <w:r w:rsidR="007E1624">
        <w:rPr>
          <w:rFonts w:ascii="Book Antiqua" w:hAnsi="Book Antiqua" w:eastAsia="Times New Roman"/>
          <w:color w:val="000000"/>
          <w:sz w:val="26"/>
          <w:szCs w:val="26"/>
        </w:rPr>
        <w:noBreakHyphen/>
      </w:r>
      <w:r w:rsidRPr="00A45C71" w:rsidR="00546B2A">
        <w:rPr>
          <w:rFonts w:ascii="Book Antiqua" w:hAnsi="Book Antiqua" w:eastAsia="Times New Roman"/>
          <w:color w:val="000000"/>
          <w:sz w:val="26"/>
          <w:szCs w:val="26"/>
        </w:rPr>
        <w:t xml:space="preserve">technology hedging, which </w:t>
      </w:r>
      <w:r w:rsidR="00546B2A">
        <w:rPr>
          <w:rFonts w:ascii="Book Antiqua" w:hAnsi="Book Antiqua" w:eastAsia="Times New Roman"/>
          <w:color w:val="000000"/>
          <w:sz w:val="26"/>
          <w:szCs w:val="26"/>
        </w:rPr>
        <w:t>may</w:t>
      </w:r>
      <w:r w:rsidRPr="00A45C71" w:rsidR="00546B2A">
        <w:rPr>
          <w:rFonts w:ascii="Book Antiqua" w:hAnsi="Book Antiqua" w:eastAsia="Times New Roman"/>
          <w:color w:val="000000"/>
          <w:sz w:val="26"/>
          <w:szCs w:val="26"/>
        </w:rPr>
        <w:t xml:space="preserve"> lead generators </w:t>
      </w:r>
      <w:r w:rsidR="00546B2A">
        <w:rPr>
          <w:rFonts w:ascii="Book Antiqua" w:hAnsi="Book Antiqua" w:eastAsia="Times New Roman"/>
          <w:color w:val="000000"/>
          <w:sz w:val="26"/>
          <w:szCs w:val="26"/>
        </w:rPr>
        <w:t xml:space="preserve">to </w:t>
      </w:r>
      <w:r w:rsidRPr="00A45C71" w:rsidR="00546B2A">
        <w:rPr>
          <w:rFonts w:ascii="Book Antiqua" w:hAnsi="Book Antiqua" w:eastAsia="Times New Roman"/>
          <w:color w:val="000000"/>
          <w:sz w:val="26"/>
          <w:szCs w:val="26"/>
        </w:rPr>
        <w:t>provid</w:t>
      </w:r>
      <w:r w:rsidR="00546B2A">
        <w:rPr>
          <w:rFonts w:ascii="Book Antiqua" w:hAnsi="Book Antiqua" w:eastAsia="Times New Roman"/>
          <w:color w:val="000000"/>
          <w:sz w:val="26"/>
          <w:szCs w:val="26"/>
        </w:rPr>
        <w:t>e</w:t>
      </w:r>
      <w:r w:rsidRPr="00A45C71" w:rsidR="00546B2A">
        <w:rPr>
          <w:rFonts w:ascii="Book Antiqua" w:hAnsi="Book Antiqua" w:eastAsia="Times New Roman"/>
          <w:color w:val="000000"/>
          <w:sz w:val="26"/>
          <w:szCs w:val="26"/>
        </w:rPr>
        <w:t xml:space="preserve"> more attractive (</w:t>
      </w:r>
      <w:r w:rsidRPr="00DB2886" w:rsidR="00DB2886">
        <w:rPr>
          <w:rFonts w:ascii="Book Antiqua" w:hAnsi="Book Antiqua" w:eastAsia="Times New Roman"/>
          <w:i/>
          <w:iCs/>
          <w:color w:val="000000"/>
          <w:sz w:val="26"/>
          <w:szCs w:val="26"/>
        </w:rPr>
        <w:t>i.e.</w:t>
      </w:r>
      <w:r w:rsidRPr="00A45C71" w:rsidR="00546B2A">
        <w:rPr>
          <w:rFonts w:ascii="Book Antiqua" w:hAnsi="Book Antiqua" w:eastAsia="Times New Roman"/>
          <w:color w:val="000000"/>
          <w:sz w:val="26"/>
          <w:szCs w:val="26"/>
        </w:rPr>
        <w:t>, lower) bids</w:t>
      </w:r>
      <w:r w:rsidR="00004976">
        <w:rPr>
          <w:rFonts w:ascii="Book Antiqua" w:hAnsi="Book Antiqua" w:eastAsia="Times New Roman"/>
          <w:color w:val="000000"/>
          <w:sz w:val="26"/>
          <w:szCs w:val="26"/>
        </w:rPr>
        <w:t xml:space="preserve"> in the compliance auctions</w:t>
      </w:r>
      <w:r w:rsidRPr="00A45C71" w:rsidR="00546B2A">
        <w:rPr>
          <w:rFonts w:ascii="Book Antiqua" w:hAnsi="Book Antiqua" w:eastAsia="Times New Roman"/>
          <w:color w:val="000000"/>
          <w:sz w:val="26"/>
          <w:szCs w:val="26"/>
        </w:rPr>
        <w:t>.</w:t>
      </w:r>
      <w:r w:rsidR="00546B2A">
        <w:rPr>
          <w:rFonts w:ascii="Book Antiqua" w:hAnsi="Book Antiqua" w:eastAsia="Times New Roman"/>
          <w:color w:val="000000"/>
          <w:sz w:val="26"/>
          <w:szCs w:val="26"/>
        </w:rPr>
        <w:t xml:space="preserve">  </w:t>
      </w:r>
      <w:r w:rsidR="00A43B57">
        <w:rPr>
          <w:rFonts w:ascii="Book Antiqua" w:hAnsi="Book Antiqua" w:eastAsia="Times New Roman"/>
          <w:color w:val="000000"/>
          <w:sz w:val="26"/>
          <w:szCs w:val="26"/>
        </w:rPr>
        <w:t>A</w:t>
      </w:r>
      <w:r w:rsidRPr="00313C8B" w:rsidR="00546B2A">
        <w:rPr>
          <w:rFonts w:ascii="Book Antiqua" w:hAnsi="Book Antiqua" w:eastAsia="Times New Roman"/>
          <w:color w:val="000000"/>
          <w:sz w:val="26"/>
          <w:szCs w:val="26"/>
        </w:rPr>
        <w:t xml:space="preserve"> clearinghouse would </w:t>
      </w:r>
      <w:r>
        <w:rPr>
          <w:rFonts w:ascii="Book Antiqua" w:hAnsi="Book Antiqua" w:eastAsia="Times New Roman"/>
          <w:color w:val="000000"/>
          <w:sz w:val="26"/>
          <w:szCs w:val="26"/>
        </w:rPr>
        <w:t xml:space="preserve">also have to be established to </w:t>
      </w:r>
      <w:r w:rsidRPr="00313C8B" w:rsidR="00546B2A">
        <w:rPr>
          <w:rFonts w:ascii="Book Antiqua" w:hAnsi="Book Antiqua" w:eastAsia="Times New Roman"/>
          <w:color w:val="000000"/>
          <w:sz w:val="26"/>
          <w:szCs w:val="26"/>
        </w:rPr>
        <w:t>manage counterparty risk associated with these contracts.</w:t>
      </w:r>
    </w:p>
    <w:p w:rsidR="00546B2A" w:rsidP="00546B2A" w:rsidRDefault="00546B2A" w14:paraId="61284960" w14:textId="5AE54E22">
      <w:pPr>
        <w:pStyle w:val="MediumGrid1-Accent21"/>
        <w:spacing w:after="120" w:line="360" w:lineRule="auto"/>
        <w:ind w:left="0" w:firstLine="720"/>
        <w:rPr>
          <w:rFonts w:ascii="Book Antiqua" w:hAnsi="Book Antiqua"/>
          <w:sz w:val="26"/>
          <w:szCs w:val="26"/>
        </w:rPr>
      </w:pPr>
      <w:r w:rsidRPr="00313C8B">
        <w:rPr>
          <w:rFonts w:ascii="Book Antiqua" w:hAnsi="Book Antiqua" w:cs="Calibri"/>
          <w:sz w:val="26"/>
          <w:szCs w:val="26"/>
        </w:rPr>
        <w:t xml:space="preserve">The proposal </w:t>
      </w:r>
      <w:r w:rsidR="00C049DE">
        <w:rPr>
          <w:rFonts w:ascii="Book Antiqua" w:hAnsi="Book Antiqua" w:cs="Calibri"/>
          <w:sz w:val="26"/>
          <w:szCs w:val="26"/>
        </w:rPr>
        <w:t>is said to</w:t>
      </w:r>
      <w:r w:rsidRPr="00313C8B">
        <w:rPr>
          <w:rFonts w:ascii="Book Antiqua" w:hAnsi="Book Antiqua" w:cs="Calibri"/>
          <w:sz w:val="26"/>
          <w:szCs w:val="26"/>
        </w:rPr>
        <w:t xml:space="preserve"> accommodate the </w:t>
      </w:r>
      <w:r w:rsidR="00A7442A">
        <w:rPr>
          <w:rFonts w:ascii="Book Antiqua" w:hAnsi="Book Antiqua" w:cs="Calibri"/>
          <w:sz w:val="26"/>
          <w:szCs w:val="26"/>
        </w:rPr>
        <w:t>Renewables Portfolio Standard (</w:t>
      </w:r>
      <w:r w:rsidRPr="00313C8B">
        <w:rPr>
          <w:rFonts w:ascii="Book Antiqua" w:hAnsi="Book Antiqua" w:cs="Calibri"/>
          <w:sz w:val="26"/>
          <w:szCs w:val="26"/>
        </w:rPr>
        <w:t>RPS</w:t>
      </w:r>
      <w:r w:rsidR="00A7442A">
        <w:rPr>
          <w:rFonts w:ascii="Book Antiqua" w:hAnsi="Book Antiqua" w:cs="Calibri"/>
          <w:sz w:val="26"/>
          <w:szCs w:val="26"/>
        </w:rPr>
        <w:t>)</w:t>
      </w:r>
      <w:r w:rsidRPr="00313C8B">
        <w:rPr>
          <w:rFonts w:ascii="Book Antiqua" w:hAnsi="Book Antiqua" w:cs="Calibri"/>
          <w:sz w:val="26"/>
          <w:szCs w:val="26"/>
        </w:rPr>
        <w:t xml:space="preserve"> program</w:t>
      </w:r>
      <w:r>
        <w:rPr>
          <w:rFonts w:ascii="Book Antiqua" w:hAnsi="Book Antiqua" w:cs="Calibri"/>
          <w:sz w:val="26"/>
          <w:szCs w:val="26"/>
        </w:rPr>
        <w:t xml:space="preserve"> because r</w:t>
      </w:r>
      <w:r w:rsidRPr="00313C8B">
        <w:rPr>
          <w:rFonts w:ascii="Book Antiqua" w:hAnsi="Book Antiqua" w:cs="Calibri"/>
          <w:sz w:val="26"/>
          <w:szCs w:val="26"/>
        </w:rPr>
        <w:t>enewable</w:t>
      </w:r>
      <w:r w:rsidR="00A02537">
        <w:rPr>
          <w:rFonts w:ascii="Book Antiqua" w:hAnsi="Book Antiqua" w:cs="Calibri"/>
          <w:sz w:val="26"/>
          <w:szCs w:val="26"/>
        </w:rPr>
        <w:t xml:space="preserve">s </w:t>
      </w:r>
      <w:r w:rsidRPr="00313C8B">
        <w:rPr>
          <w:rFonts w:ascii="Book Antiqua" w:hAnsi="Book Antiqua" w:cs="Calibri"/>
          <w:sz w:val="26"/>
          <w:szCs w:val="26"/>
        </w:rPr>
        <w:t xml:space="preserve">could bid into the auction and any revenues </w:t>
      </w:r>
      <w:r w:rsidR="00004976">
        <w:rPr>
          <w:rFonts w:ascii="Book Antiqua" w:hAnsi="Book Antiqua" w:cs="Calibri"/>
          <w:sz w:val="26"/>
          <w:szCs w:val="26"/>
        </w:rPr>
        <w:t xml:space="preserve">earned </w:t>
      </w:r>
      <w:r w:rsidRPr="00313C8B">
        <w:rPr>
          <w:rFonts w:ascii="Book Antiqua" w:hAnsi="Book Antiqua" w:cs="Calibri"/>
          <w:sz w:val="26"/>
          <w:szCs w:val="26"/>
        </w:rPr>
        <w:t xml:space="preserve">could offset costs of the LSE’s </w:t>
      </w:r>
      <w:r w:rsidR="00004976">
        <w:rPr>
          <w:rFonts w:ascii="Book Antiqua" w:hAnsi="Book Antiqua" w:cs="Calibri"/>
          <w:sz w:val="26"/>
          <w:szCs w:val="26"/>
        </w:rPr>
        <w:t xml:space="preserve">initial </w:t>
      </w:r>
      <w:r w:rsidR="006136E5">
        <w:rPr>
          <w:rFonts w:ascii="Book Antiqua" w:hAnsi="Book Antiqua" w:cs="Calibri"/>
          <w:sz w:val="26"/>
          <w:szCs w:val="26"/>
        </w:rPr>
        <w:t>power purchase agreement</w:t>
      </w:r>
      <w:r w:rsidR="007C053A">
        <w:rPr>
          <w:rFonts w:ascii="Book Antiqua" w:hAnsi="Book Antiqua" w:cs="Calibri"/>
          <w:sz w:val="26"/>
          <w:szCs w:val="26"/>
        </w:rPr>
        <w:t>, and the</w:t>
      </w:r>
      <w:r w:rsidRPr="00313C8B">
        <w:rPr>
          <w:rFonts w:ascii="Book Antiqua" w:hAnsi="Book Antiqua" w:cs="Calibri"/>
          <w:sz w:val="26"/>
          <w:szCs w:val="26"/>
        </w:rPr>
        <w:t xml:space="preserve"> contract </w:t>
      </w:r>
      <w:r w:rsidR="00467450">
        <w:rPr>
          <w:rFonts w:ascii="Book Antiqua" w:hAnsi="Book Antiqua" w:cs="Calibri"/>
          <w:sz w:val="26"/>
          <w:szCs w:val="26"/>
        </w:rPr>
        <w:t>c</w:t>
      </w:r>
      <w:r w:rsidRPr="00313C8B">
        <w:rPr>
          <w:rFonts w:ascii="Book Antiqua" w:hAnsi="Book Antiqua" w:cs="Calibri"/>
          <w:sz w:val="26"/>
          <w:szCs w:val="26"/>
        </w:rPr>
        <w:t xml:space="preserve">ould also provide </w:t>
      </w:r>
      <w:r>
        <w:rPr>
          <w:rFonts w:ascii="Book Antiqua" w:hAnsi="Book Antiqua" w:cs="Calibri"/>
          <w:sz w:val="26"/>
          <w:szCs w:val="26"/>
        </w:rPr>
        <w:t>an</w:t>
      </w:r>
      <w:r w:rsidRPr="00313C8B">
        <w:rPr>
          <w:rFonts w:ascii="Book Antiqua" w:hAnsi="Book Antiqua" w:cs="Calibri"/>
          <w:sz w:val="26"/>
          <w:szCs w:val="26"/>
        </w:rPr>
        <w:t xml:space="preserve"> LSE with an individual hedge.  With respect to the IRP process, the </w:t>
      </w:r>
      <w:r w:rsidRPr="00313C8B">
        <w:rPr>
          <w:rFonts w:ascii="Book Antiqua" w:hAnsi="Book Antiqua"/>
          <w:sz w:val="26"/>
          <w:szCs w:val="26"/>
        </w:rPr>
        <w:t xml:space="preserve">mechanism </w:t>
      </w:r>
      <w:r w:rsidR="00D64835">
        <w:rPr>
          <w:rFonts w:ascii="Book Antiqua" w:hAnsi="Book Antiqua"/>
          <w:sz w:val="26"/>
          <w:szCs w:val="26"/>
        </w:rPr>
        <w:t>puts</w:t>
      </w:r>
      <w:r w:rsidRPr="00313C8B">
        <w:rPr>
          <w:rFonts w:ascii="Book Antiqua" w:hAnsi="Book Antiqua"/>
          <w:sz w:val="26"/>
          <w:szCs w:val="26"/>
        </w:rPr>
        <w:t xml:space="preserve"> no requirements on the capacity</w:t>
      </w:r>
      <w:r w:rsidR="00180760">
        <w:rPr>
          <w:rFonts w:ascii="Book Antiqua" w:hAnsi="Book Antiqua"/>
          <w:sz w:val="26"/>
          <w:szCs w:val="26"/>
        </w:rPr>
        <w:t xml:space="preserve"> type</w:t>
      </w:r>
      <w:r w:rsidR="00D23F8F">
        <w:rPr>
          <w:rFonts w:ascii="Book Antiqua" w:hAnsi="Book Antiqua"/>
          <w:sz w:val="26"/>
          <w:szCs w:val="26"/>
        </w:rPr>
        <w:t>s eligible</w:t>
      </w:r>
      <w:r w:rsidRPr="00313C8B">
        <w:rPr>
          <w:rFonts w:ascii="Book Antiqua" w:hAnsi="Book Antiqua"/>
          <w:sz w:val="26"/>
          <w:szCs w:val="26"/>
        </w:rPr>
        <w:t xml:space="preserve"> to sell SFPFC energy</w:t>
      </w:r>
      <w:r w:rsidR="00D75F93">
        <w:rPr>
          <w:rFonts w:ascii="Book Antiqua" w:hAnsi="Book Antiqua"/>
          <w:sz w:val="26"/>
          <w:szCs w:val="26"/>
        </w:rPr>
        <w:t xml:space="preserve"> so</w:t>
      </w:r>
      <w:r>
        <w:rPr>
          <w:rFonts w:ascii="Book Antiqua" w:hAnsi="Book Antiqua"/>
          <w:sz w:val="26"/>
          <w:szCs w:val="26"/>
        </w:rPr>
        <w:t xml:space="preserve"> </w:t>
      </w:r>
      <w:r w:rsidR="00801516">
        <w:rPr>
          <w:rFonts w:ascii="Book Antiqua" w:hAnsi="Book Antiqua"/>
          <w:sz w:val="26"/>
          <w:szCs w:val="26"/>
        </w:rPr>
        <w:t>any</w:t>
      </w:r>
      <w:r w:rsidRPr="00313C8B">
        <w:rPr>
          <w:rFonts w:ascii="Book Antiqua" w:hAnsi="Book Antiqua"/>
          <w:sz w:val="26"/>
          <w:szCs w:val="26"/>
        </w:rPr>
        <w:t xml:space="preserve"> resources necessary to meet IRP goals can compete in the auctions</w:t>
      </w:r>
      <w:r w:rsidR="00BE7F67">
        <w:rPr>
          <w:rFonts w:ascii="Book Antiqua" w:hAnsi="Book Antiqua"/>
          <w:sz w:val="26"/>
          <w:szCs w:val="26"/>
        </w:rPr>
        <w:t>.</w:t>
      </w:r>
      <w:r w:rsidRPr="00313C8B">
        <w:rPr>
          <w:rFonts w:ascii="Book Antiqua" w:hAnsi="Book Antiqua"/>
          <w:sz w:val="26"/>
          <w:szCs w:val="26"/>
        </w:rPr>
        <w:t xml:space="preserve"> </w:t>
      </w:r>
      <w:r>
        <w:rPr>
          <w:rFonts w:ascii="Book Antiqua" w:hAnsi="Book Antiqua"/>
          <w:sz w:val="26"/>
          <w:szCs w:val="26"/>
        </w:rPr>
        <w:t xml:space="preserve"> </w:t>
      </w:r>
      <w:r w:rsidRPr="004E561F" w:rsidR="00D23F8F">
        <w:rPr>
          <w:rFonts w:ascii="Book Antiqua" w:hAnsi="Book Antiqua"/>
          <w:sz w:val="26"/>
          <w:szCs w:val="26"/>
        </w:rPr>
        <w:t xml:space="preserve">Any SFPFC revenues earned by the resource </w:t>
      </w:r>
      <w:r w:rsidR="00D23F8F">
        <w:rPr>
          <w:rFonts w:ascii="Book Antiqua" w:hAnsi="Book Antiqua"/>
          <w:sz w:val="26"/>
          <w:szCs w:val="26"/>
        </w:rPr>
        <w:t>could then</w:t>
      </w:r>
      <w:r w:rsidRPr="004E561F" w:rsidR="00D23F8F">
        <w:rPr>
          <w:rFonts w:ascii="Book Antiqua" w:hAnsi="Book Antiqua"/>
          <w:sz w:val="26"/>
          <w:szCs w:val="26"/>
        </w:rPr>
        <w:t xml:space="preserve"> be netted against the </w:t>
      </w:r>
      <w:r w:rsidR="00D23F8F">
        <w:rPr>
          <w:rFonts w:ascii="Book Antiqua" w:hAnsi="Book Antiqua"/>
          <w:sz w:val="26"/>
          <w:szCs w:val="26"/>
        </w:rPr>
        <w:t>initial long-term</w:t>
      </w:r>
      <w:r w:rsidRPr="004E561F" w:rsidR="00D23F8F">
        <w:rPr>
          <w:rFonts w:ascii="Book Antiqua" w:hAnsi="Book Antiqua"/>
          <w:sz w:val="26"/>
          <w:szCs w:val="26"/>
        </w:rPr>
        <w:t xml:space="preserve"> contract revenue stream</w:t>
      </w:r>
      <w:r w:rsidR="00D23F8F">
        <w:rPr>
          <w:rFonts w:ascii="Book Antiqua" w:hAnsi="Book Antiqua"/>
          <w:sz w:val="26"/>
          <w:szCs w:val="26"/>
        </w:rPr>
        <w:t>.</w:t>
      </w:r>
    </w:p>
    <w:p w:rsidRPr="00095B76" w:rsidR="00095B76" w:rsidP="00095B76" w:rsidRDefault="00C56B32" w14:paraId="04CEF2CB" w14:textId="3692DFEB">
      <w:pPr>
        <w:pStyle w:val="MediumGrid1-Accent21"/>
        <w:spacing w:after="120" w:line="360" w:lineRule="auto"/>
        <w:ind w:left="0" w:firstLine="720"/>
        <w:rPr>
          <w:rFonts w:ascii="Book Antiqua" w:hAnsi="Book Antiqua"/>
          <w:sz w:val="26"/>
          <w:szCs w:val="26"/>
        </w:rPr>
      </w:pPr>
      <w:r>
        <w:rPr>
          <w:rFonts w:ascii="Book Antiqua" w:hAnsi="Book Antiqua"/>
          <w:sz w:val="26"/>
          <w:szCs w:val="26"/>
        </w:rPr>
        <w:t>The</w:t>
      </w:r>
      <w:r w:rsidRPr="00313C8B" w:rsidR="00546B2A">
        <w:rPr>
          <w:rFonts w:ascii="Book Antiqua" w:hAnsi="Book Antiqua"/>
          <w:sz w:val="26"/>
          <w:szCs w:val="26"/>
        </w:rPr>
        <w:t xml:space="preserve"> </w:t>
      </w:r>
      <w:r w:rsidR="00A54080">
        <w:rPr>
          <w:rFonts w:ascii="Book Antiqua" w:hAnsi="Book Antiqua"/>
          <w:sz w:val="26"/>
          <w:szCs w:val="26"/>
        </w:rPr>
        <w:t xml:space="preserve">proposal states that the </w:t>
      </w:r>
      <w:r w:rsidRPr="00313C8B" w:rsidR="00546B2A">
        <w:rPr>
          <w:rFonts w:ascii="Book Antiqua" w:hAnsi="Book Antiqua"/>
          <w:sz w:val="26"/>
          <w:szCs w:val="26"/>
        </w:rPr>
        <w:t xml:space="preserve">mechanism </w:t>
      </w:r>
      <w:r w:rsidR="00095B76">
        <w:rPr>
          <w:rFonts w:ascii="Book Antiqua" w:hAnsi="Book Antiqua"/>
          <w:sz w:val="26"/>
          <w:szCs w:val="26"/>
        </w:rPr>
        <w:t>would</w:t>
      </w:r>
      <w:r w:rsidR="00546B2A">
        <w:rPr>
          <w:rFonts w:ascii="Book Antiqua" w:hAnsi="Book Antiqua"/>
          <w:sz w:val="26"/>
          <w:szCs w:val="26"/>
        </w:rPr>
        <w:t xml:space="preserve"> provide</w:t>
      </w:r>
      <w:r w:rsidRPr="00313C8B" w:rsidR="00546B2A">
        <w:rPr>
          <w:rFonts w:ascii="Book Antiqua" w:hAnsi="Book Antiqua"/>
          <w:sz w:val="26"/>
          <w:szCs w:val="26"/>
        </w:rPr>
        <w:t xml:space="preserve"> a strong incentive for retailers to reduce demand during all hours of the delivery period, particularly those with high short-term prices, because costs are allocated based on actual realized demand. </w:t>
      </w:r>
      <w:r w:rsidR="00546B2A">
        <w:rPr>
          <w:rFonts w:ascii="Book Antiqua" w:hAnsi="Book Antiqua"/>
          <w:sz w:val="26"/>
          <w:szCs w:val="26"/>
        </w:rPr>
        <w:t xml:space="preserve"> </w:t>
      </w:r>
      <w:r w:rsidRPr="00313C8B" w:rsidR="00546B2A">
        <w:rPr>
          <w:rFonts w:ascii="Book Antiqua" w:hAnsi="Book Antiqua"/>
          <w:sz w:val="26"/>
          <w:szCs w:val="26"/>
        </w:rPr>
        <w:t xml:space="preserve">The mechanism rewards retailers that </w:t>
      </w:r>
      <w:r w:rsidR="00546B2A">
        <w:rPr>
          <w:rFonts w:ascii="Book Antiqua" w:hAnsi="Book Antiqua"/>
          <w:sz w:val="26"/>
          <w:szCs w:val="26"/>
        </w:rPr>
        <w:t>can</w:t>
      </w:r>
      <w:r w:rsidRPr="00313C8B" w:rsidR="00546B2A">
        <w:rPr>
          <w:rFonts w:ascii="Book Antiqua" w:hAnsi="Book Antiqua"/>
          <w:sz w:val="26"/>
          <w:szCs w:val="26"/>
        </w:rPr>
        <w:t xml:space="preserve"> find flexible demand and utilize </w:t>
      </w:r>
      <w:r w:rsidR="00546B2A">
        <w:rPr>
          <w:rFonts w:ascii="Book Antiqua" w:hAnsi="Book Antiqua"/>
          <w:sz w:val="26"/>
          <w:szCs w:val="26"/>
        </w:rPr>
        <w:t>the</w:t>
      </w:r>
      <w:r w:rsidRPr="00313C8B" w:rsidR="00546B2A">
        <w:rPr>
          <w:rFonts w:ascii="Book Antiqua" w:hAnsi="Book Antiqua"/>
          <w:sz w:val="26"/>
          <w:szCs w:val="26"/>
        </w:rPr>
        <w:t xml:space="preserve"> flexibility to reduce the cost of serving their consumers. </w:t>
      </w:r>
      <w:r w:rsidR="00B95A5E">
        <w:rPr>
          <w:rFonts w:ascii="Book Antiqua" w:hAnsi="Book Antiqua"/>
          <w:sz w:val="26"/>
          <w:szCs w:val="26"/>
        </w:rPr>
        <w:t xml:space="preserve"> </w:t>
      </w:r>
      <w:r w:rsidRPr="00313C8B" w:rsidR="00546B2A">
        <w:rPr>
          <w:rFonts w:ascii="Book Antiqua" w:hAnsi="Book Antiqua"/>
          <w:sz w:val="26"/>
          <w:szCs w:val="26"/>
        </w:rPr>
        <w:t xml:space="preserve">The proposal </w:t>
      </w:r>
      <w:r w:rsidR="00A54080">
        <w:rPr>
          <w:rFonts w:ascii="Book Antiqua" w:hAnsi="Book Antiqua"/>
          <w:sz w:val="26"/>
          <w:szCs w:val="26"/>
        </w:rPr>
        <w:t xml:space="preserve">also </w:t>
      </w:r>
      <w:r w:rsidR="00E15CB7">
        <w:rPr>
          <w:rFonts w:ascii="Book Antiqua" w:hAnsi="Book Antiqua"/>
          <w:sz w:val="26"/>
          <w:szCs w:val="26"/>
        </w:rPr>
        <w:t>offers</w:t>
      </w:r>
      <w:r w:rsidRPr="00313C8B" w:rsidR="00546B2A">
        <w:rPr>
          <w:rFonts w:ascii="Book Antiqua" w:hAnsi="Book Antiqua"/>
          <w:sz w:val="26"/>
          <w:szCs w:val="26"/>
        </w:rPr>
        <w:t xml:space="preserve"> two </w:t>
      </w:r>
      <w:r w:rsidR="00B34369">
        <w:rPr>
          <w:rFonts w:ascii="Book Antiqua" w:hAnsi="Book Antiqua"/>
          <w:sz w:val="26"/>
          <w:szCs w:val="26"/>
        </w:rPr>
        <w:t>ways</w:t>
      </w:r>
      <w:r w:rsidRPr="00313C8B" w:rsidR="00546B2A">
        <w:rPr>
          <w:rFonts w:ascii="Book Antiqua" w:hAnsi="Book Antiqua"/>
          <w:sz w:val="26"/>
          <w:szCs w:val="26"/>
        </w:rPr>
        <w:t xml:space="preserve"> to conver</w:t>
      </w:r>
      <w:r w:rsidR="00B34369">
        <w:rPr>
          <w:rFonts w:ascii="Book Antiqua" w:hAnsi="Book Antiqua"/>
          <w:sz w:val="26"/>
          <w:szCs w:val="26"/>
        </w:rPr>
        <w:t>t</w:t>
      </w:r>
      <w:r w:rsidRPr="00313C8B" w:rsidR="00546B2A">
        <w:rPr>
          <w:rFonts w:ascii="Book Antiqua" w:hAnsi="Book Antiqua"/>
          <w:sz w:val="26"/>
          <w:szCs w:val="26"/>
        </w:rPr>
        <w:t xml:space="preserve"> the SFPFC to a bilateral mechanism</w:t>
      </w:r>
      <w:r w:rsidR="00546B2A">
        <w:rPr>
          <w:rFonts w:ascii="Book Antiqua" w:hAnsi="Book Antiqua"/>
          <w:sz w:val="26"/>
          <w:szCs w:val="26"/>
        </w:rPr>
        <w:t>:</w:t>
      </w:r>
      <w:r w:rsidRPr="00313C8B" w:rsidR="00546B2A">
        <w:rPr>
          <w:rFonts w:ascii="Book Antiqua" w:hAnsi="Book Antiqua"/>
          <w:sz w:val="26"/>
          <w:szCs w:val="26"/>
        </w:rPr>
        <w:t xml:space="preserve"> </w:t>
      </w:r>
      <w:r w:rsidR="00F54A57">
        <w:rPr>
          <w:rFonts w:ascii="Book Antiqua" w:hAnsi="Book Antiqua"/>
          <w:sz w:val="26"/>
          <w:szCs w:val="26"/>
        </w:rPr>
        <w:t xml:space="preserve">(1) </w:t>
      </w:r>
      <w:r w:rsidR="00195EA8">
        <w:rPr>
          <w:rFonts w:ascii="Book Antiqua" w:hAnsi="Book Antiqua"/>
          <w:sz w:val="26"/>
          <w:szCs w:val="26"/>
        </w:rPr>
        <w:t>r</w:t>
      </w:r>
      <w:r w:rsidRPr="00313C8B" w:rsidR="00546B2A">
        <w:rPr>
          <w:rFonts w:ascii="Book Antiqua" w:hAnsi="Book Antiqua"/>
          <w:sz w:val="26"/>
          <w:szCs w:val="26"/>
        </w:rPr>
        <w:t xml:space="preserve">etain the auction </w:t>
      </w:r>
      <w:r w:rsidR="00C800B4">
        <w:rPr>
          <w:rFonts w:ascii="Book Antiqua" w:hAnsi="Book Antiqua"/>
          <w:sz w:val="26"/>
          <w:szCs w:val="26"/>
        </w:rPr>
        <w:t>and</w:t>
      </w:r>
      <w:r w:rsidRPr="00313C8B" w:rsidR="00546B2A">
        <w:rPr>
          <w:rFonts w:ascii="Book Antiqua" w:hAnsi="Book Antiqua"/>
          <w:sz w:val="26"/>
          <w:szCs w:val="26"/>
        </w:rPr>
        <w:t xml:space="preserve"> allow LSEs to submit demand for </w:t>
      </w:r>
      <w:r w:rsidR="00983CB7">
        <w:rPr>
          <w:rFonts w:ascii="Book Antiqua" w:hAnsi="Book Antiqua"/>
          <w:sz w:val="26"/>
          <w:szCs w:val="26"/>
        </w:rPr>
        <w:t>an</w:t>
      </w:r>
      <w:r w:rsidRPr="00313C8B" w:rsidR="00546B2A">
        <w:rPr>
          <w:rFonts w:ascii="Book Antiqua" w:hAnsi="Book Antiqua"/>
          <w:sz w:val="26"/>
          <w:szCs w:val="26"/>
        </w:rPr>
        <w:t xml:space="preserve"> SFPFC into the auction for </w:t>
      </w:r>
      <w:r w:rsidR="005A2AF8">
        <w:rPr>
          <w:rFonts w:ascii="Book Antiqua" w:hAnsi="Book Antiqua"/>
          <w:sz w:val="26"/>
          <w:szCs w:val="26"/>
        </w:rPr>
        <w:t>a</w:t>
      </w:r>
      <w:r w:rsidRPr="00313C8B" w:rsidR="00546B2A">
        <w:rPr>
          <w:rFonts w:ascii="Book Antiqua" w:hAnsi="Book Antiqua"/>
          <w:sz w:val="26"/>
          <w:szCs w:val="26"/>
        </w:rPr>
        <w:t xml:space="preserve"> quarterly SFPFC</w:t>
      </w:r>
      <w:r w:rsidR="00582344">
        <w:rPr>
          <w:rFonts w:ascii="Book Antiqua" w:hAnsi="Book Antiqua"/>
          <w:sz w:val="26"/>
          <w:szCs w:val="26"/>
        </w:rPr>
        <w:t>; or (2)</w:t>
      </w:r>
      <w:r w:rsidR="00546B2A">
        <w:rPr>
          <w:rFonts w:ascii="Book Antiqua" w:hAnsi="Book Antiqua"/>
          <w:sz w:val="26"/>
          <w:szCs w:val="26"/>
        </w:rPr>
        <w:t xml:space="preserve"> </w:t>
      </w:r>
      <w:r w:rsidR="00F60B9D">
        <w:rPr>
          <w:rFonts w:ascii="Book Antiqua" w:hAnsi="Book Antiqua"/>
          <w:sz w:val="26"/>
          <w:szCs w:val="26"/>
        </w:rPr>
        <w:t>eliminate the</w:t>
      </w:r>
      <w:r w:rsidRPr="00313C8B" w:rsidR="00546B2A">
        <w:rPr>
          <w:rFonts w:ascii="Book Antiqua" w:hAnsi="Book Antiqua"/>
          <w:sz w:val="26"/>
          <w:szCs w:val="26"/>
        </w:rPr>
        <w:t xml:space="preserve"> auction </w:t>
      </w:r>
      <w:r w:rsidR="007C209B">
        <w:rPr>
          <w:rFonts w:ascii="Book Antiqua" w:hAnsi="Book Antiqua"/>
          <w:sz w:val="26"/>
          <w:szCs w:val="26"/>
        </w:rPr>
        <w:t>and</w:t>
      </w:r>
      <w:r w:rsidRPr="00313C8B" w:rsidR="00546B2A">
        <w:rPr>
          <w:rFonts w:ascii="Book Antiqua" w:hAnsi="Book Antiqua"/>
          <w:sz w:val="26"/>
          <w:szCs w:val="26"/>
        </w:rPr>
        <w:t xml:space="preserve"> require retailers to </w:t>
      </w:r>
      <w:r w:rsidR="008E1E64">
        <w:rPr>
          <w:rFonts w:ascii="Book Antiqua" w:hAnsi="Book Antiqua"/>
          <w:sz w:val="26"/>
          <w:szCs w:val="26"/>
        </w:rPr>
        <w:t>show</w:t>
      </w:r>
      <w:r w:rsidRPr="00313C8B" w:rsidR="00546B2A">
        <w:rPr>
          <w:rFonts w:ascii="Book Antiqua" w:hAnsi="Book Antiqua"/>
          <w:sz w:val="26"/>
          <w:szCs w:val="26"/>
        </w:rPr>
        <w:t xml:space="preserve"> that they </w:t>
      </w:r>
      <w:r w:rsidRPr="00095B76" w:rsidR="00546B2A">
        <w:rPr>
          <w:rFonts w:ascii="Book Antiqua" w:hAnsi="Book Antiqua"/>
          <w:sz w:val="26"/>
          <w:szCs w:val="26"/>
        </w:rPr>
        <w:t xml:space="preserve">purchased </w:t>
      </w:r>
      <w:proofErr w:type="gramStart"/>
      <w:r w:rsidRPr="00095B76" w:rsidR="00546B2A">
        <w:rPr>
          <w:rFonts w:ascii="Book Antiqua" w:hAnsi="Book Antiqua"/>
          <w:sz w:val="26"/>
          <w:szCs w:val="26"/>
        </w:rPr>
        <w:t>sufficient quantities</w:t>
      </w:r>
      <w:proofErr w:type="gramEnd"/>
      <w:r w:rsidRPr="00095B76" w:rsidR="00546B2A">
        <w:rPr>
          <w:rFonts w:ascii="Book Antiqua" w:hAnsi="Book Antiqua"/>
          <w:sz w:val="26"/>
          <w:szCs w:val="26"/>
        </w:rPr>
        <w:t xml:space="preserve"> of each SFPFC from a qualified supplier. </w:t>
      </w:r>
    </w:p>
    <w:p w:rsidRPr="00095B76" w:rsidR="00546B2A" w:rsidP="00095B76" w:rsidRDefault="00853C2E" w14:paraId="42B3066C" w14:textId="57BB3D9B">
      <w:pPr>
        <w:pStyle w:val="MediumGrid1-Accent21"/>
        <w:spacing w:after="120" w:line="360" w:lineRule="auto"/>
        <w:ind w:left="0" w:firstLine="720"/>
        <w:rPr>
          <w:rFonts w:ascii="Book Antiqua" w:hAnsi="Book Antiqua"/>
          <w:sz w:val="26"/>
          <w:szCs w:val="26"/>
        </w:rPr>
      </w:pPr>
      <w:r>
        <w:rPr>
          <w:rFonts w:ascii="Book Antiqua" w:hAnsi="Book Antiqua"/>
          <w:color w:val="000000"/>
          <w:sz w:val="26"/>
          <w:szCs w:val="26"/>
        </w:rPr>
        <w:t>Lastly, the</w:t>
      </w:r>
      <w:r w:rsidRPr="00095B76" w:rsidR="00546B2A">
        <w:rPr>
          <w:rFonts w:ascii="Book Antiqua" w:hAnsi="Book Antiqua"/>
          <w:color w:val="000000"/>
          <w:sz w:val="26"/>
          <w:szCs w:val="26"/>
        </w:rPr>
        <w:t xml:space="preserve"> proposal </w:t>
      </w:r>
      <w:r w:rsidRPr="00095B76" w:rsidR="00F00BC7">
        <w:rPr>
          <w:rFonts w:ascii="Book Antiqua" w:hAnsi="Book Antiqua"/>
          <w:color w:val="000000"/>
          <w:sz w:val="26"/>
          <w:szCs w:val="26"/>
        </w:rPr>
        <w:t>lays out</w:t>
      </w:r>
      <w:r w:rsidRPr="00095B76" w:rsidR="00546B2A">
        <w:rPr>
          <w:rFonts w:ascii="Book Antiqua" w:hAnsi="Book Antiqua"/>
          <w:color w:val="000000"/>
          <w:sz w:val="26"/>
          <w:szCs w:val="26"/>
        </w:rPr>
        <w:t xml:space="preserve"> elements </w:t>
      </w:r>
      <w:r w:rsidRPr="00095B76" w:rsidR="00F00BC7">
        <w:rPr>
          <w:rFonts w:ascii="Book Antiqua" w:hAnsi="Book Antiqua"/>
          <w:color w:val="000000"/>
          <w:sz w:val="26"/>
          <w:szCs w:val="26"/>
        </w:rPr>
        <w:t>for further development, including</w:t>
      </w:r>
      <w:r w:rsidRPr="00095B76" w:rsidR="00546B2A">
        <w:rPr>
          <w:rFonts w:ascii="Book Antiqua" w:hAnsi="Book Antiqua"/>
          <w:color w:val="000000"/>
          <w:sz w:val="26"/>
          <w:szCs w:val="26"/>
        </w:rPr>
        <w:t xml:space="preserve">: (1) a clearinghouse and elements </w:t>
      </w:r>
      <w:r w:rsidRPr="00095B76" w:rsidR="000C784C">
        <w:rPr>
          <w:rFonts w:ascii="Book Antiqua" w:hAnsi="Book Antiqua"/>
          <w:color w:val="000000"/>
          <w:sz w:val="26"/>
          <w:szCs w:val="26"/>
        </w:rPr>
        <w:t>for</w:t>
      </w:r>
      <w:r w:rsidRPr="00095B76" w:rsidR="00546B2A">
        <w:rPr>
          <w:rFonts w:ascii="Book Antiqua" w:hAnsi="Book Antiqua"/>
          <w:color w:val="000000"/>
          <w:sz w:val="26"/>
          <w:szCs w:val="26"/>
        </w:rPr>
        <w:t xml:space="preserve"> a centralized or bilateral approach; (2) firm energy quantities by resource type; (3) quantities to be purchased in auctions; (4)</w:t>
      </w:r>
      <w:r w:rsidR="00FD213B">
        <w:rPr>
          <w:rFonts w:ascii="Book Antiqua" w:hAnsi="Book Antiqua"/>
          <w:color w:val="000000"/>
          <w:sz w:val="26"/>
          <w:szCs w:val="26"/>
        </w:rPr>
        <w:t> </w:t>
      </w:r>
      <w:r w:rsidRPr="00095B76" w:rsidR="00546B2A">
        <w:rPr>
          <w:rFonts w:ascii="Book Antiqua" w:hAnsi="Book Antiqua"/>
          <w:color w:val="000000"/>
          <w:sz w:val="26"/>
          <w:szCs w:val="26"/>
        </w:rPr>
        <w:t xml:space="preserve">penalties for </w:t>
      </w:r>
      <w:r w:rsidRPr="00095B76" w:rsidR="009102BB">
        <w:rPr>
          <w:rFonts w:ascii="Book Antiqua" w:hAnsi="Book Antiqua"/>
          <w:color w:val="000000"/>
          <w:sz w:val="26"/>
          <w:szCs w:val="26"/>
        </w:rPr>
        <w:t>non-compliance</w:t>
      </w:r>
      <w:r w:rsidRPr="00095B76" w:rsidR="00546B2A">
        <w:rPr>
          <w:rFonts w:ascii="Book Antiqua" w:hAnsi="Book Antiqua"/>
          <w:color w:val="000000"/>
          <w:sz w:val="26"/>
          <w:szCs w:val="26"/>
        </w:rPr>
        <w:t xml:space="preserve"> and true-up obligations; </w:t>
      </w:r>
      <w:r w:rsidRPr="00095B76" w:rsidR="005D72F6">
        <w:rPr>
          <w:rFonts w:ascii="Book Antiqua" w:hAnsi="Book Antiqua"/>
          <w:color w:val="000000"/>
          <w:sz w:val="26"/>
          <w:szCs w:val="26"/>
        </w:rPr>
        <w:t xml:space="preserve">and </w:t>
      </w:r>
      <w:r w:rsidRPr="00095B76" w:rsidR="00546B2A">
        <w:rPr>
          <w:rFonts w:ascii="Book Antiqua" w:hAnsi="Book Antiqua"/>
          <w:color w:val="000000"/>
          <w:sz w:val="26"/>
          <w:szCs w:val="26"/>
        </w:rPr>
        <w:t xml:space="preserve">(5) transition to the </w:t>
      </w:r>
      <w:r w:rsidRPr="00095B76" w:rsidR="00546B2A">
        <w:rPr>
          <w:rFonts w:ascii="Book Antiqua" w:hAnsi="Book Antiqua"/>
          <w:color w:val="000000"/>
          <w:sz w:val="26"/>
          <w:szCs w:val="26"/>
        </w:rPr>
        <w:lastRenderedPageBreak/>
        <w:t xml:space="preserve">new framework, </w:t>
      </w:r>
      <w:r w:rsidRPr="00095B76" w:rsidR="006A6511">
        <w:rPr>
          <w:rFonts w:ascii="Book Antiqua" w:hAnsi="Book Antiqua"/>
          <w:color w:val="000000"/>
          <w:sz w:val="26"/>
          <w:szCs w:val="26"/>
        </w:rPr>
        <w:t>including a calculation to</w:t>
      </w:r>
      <w:r w:rsidRPr="00095B76" w:rsidR="00546B2A">
        <w:rPr>
          <w:rFonts w:ascii="Book Antiqua" w:hAnsi="Book Antiqua"/>
          <w:color w:val="000000"/>
          <w:sz w:val="26"/>
          <w:szCs w:val="26"/>
        </w:rPr>
        <w:t xml:space="preserve"> convert current contracts to the SFPFC value (</w:t>
      </w:r>
      <w:r w:rsidRPr="00095B76" w:rsidR="00B62CD0">
        <w:rPr>
          <w:rFonts w:ascii="Book Antiqua" w:hAnsi="Book Antiqua"/>
          <w:color w:val="000000"/>
          <w:sz w:val="26"/>
          <w:szCs w:val="26"/>
        </w:rPr>
        <w:t xml:space="preserve">MW months vs. </w:t>
      </w:r>
      <w:r w:rsidRPr="00095B76" w:rsidR="00546B2A">
        <w:rPr>
          <w:rFonts w:ascii="Book Antiqua" w:hAnsi="Book Antiqua"/>
          <w:color w:val="000000"/>
          <w:sz w:val="26"/>
          <w:szCs w:val="26"/>
        </w:rPr>
        <w:t xml:space="preserve">MWhs for each quarter). </w:t>
      </w:r>
    </w:p>
    <w:p w:rsidR="00546B2A" w:rsidP="00546B2A" w:rsidRDefault="00546B2A" w14:paraId="690A2AA2" w14:textId="756F9A10">
      <w:pPr>
        <w:pStyle w:val="Heading3"/>
      </w:pPr>
      <w:bookmarkStart w:name="_Toc74206118" w:id="25"/>
      <w:r>
        <w:t>Comments on Proposal</w:t>
      </w:r>
      <w:bookmarkEnd w:id="25"/>
    </w:p>
    <w:p w:rsidR="000D08D0" w:rsidP="003550AC" w:rsidRDefault="00DB0671" w14:paraId="200936E3" w14:textId="6DB432B1">
      <w:pPr>
        <w:pStyle w:val="Standard"/>
      </w:pPr>
      <w:r>
        <w:t>Many</w:t>
      </w:r>
      <w:r w:rsidR="00546B2A">
        <w:t xml:space="preserve"> parties object to further development of </w:t>
      </w:r>
      <w:r>
        <w:t>Energy Division’s</w:t>
      </w:r>
      <w:r w:rsidR="00546B2A">
        <w:t xml:space="preserve"> proposal and recommend eliminating it from consideration, including AReM, BRTM, Cal</w:t>
      </w:r>
      <w:r w:rsidR="00FD213B">
        <w:t> </w:t>
      </w:r>
      <w:r w:rsidR="00546B2A">
        <w:t xml:space="preserve">Advocates, </w:t>
      </w:r>
      <w:proofErr w:type="spellStart"/>
      <w:r w:rsidR="00546B2A">
        <w:t>CalCCA</w:t>
      </w:r>
      <w:proofErr w:type="spellEnd"/>
      <w:r w:rsidR="00546B2A">
        <w:t xml:space="preserve">, Calpine, </w:t>
      </w:r>
      <w:proofErr w:type="spellStart"/>
      <w:r w:rsidRPr="00150DD0" w:rsidR="00546B2A">
        <w:t>CalWEA</w:t>
      </w:r>
      <w:proofErr w:type="spellEnd"/>
      <w:r w:rsidR="00546B2A">
        <w:t xml:space="preserve">, CEERT, CEJA/Sierra Club, CESA, CLECA, CMUA, </w:t>
      </w:r>
      <w:proofErr w:type="spellStart"/>
      <w:r w:rsidR="00546B2A">
        <w:t>Hydrostor</w:t>
      </w:r>
      <w:proofErr w:type="spellEnd"/>
      <w:r w:rsidR="00546B2A">
        <w:t>, IEP, MRP, SDG&amp;E, Solar Parties, and SCE.</w:t>
      </w:r>
      <w:r w:rsidR="00546B2A">
        <w:rPr>
          <w:rStyle w:val="FootnoteReference"/>
        </w:rPr>
        <w:footnoteReference w:id="31"/>
      </w:r>
      <w:r w:rsidR="00546B2A">
        <w:t xml:space="preserve">  </w:t>
      </w:r>
      <w:r w:rsidR="003E5AC7">
        <w:t>Opponents</w:t>
      </w:r>
      <w:r w:rsidR="00C176EE">
        <w:t xml:space="preserve"> broadly</w:t>
      </w:r>
      <w:r w:rsidR="00546B2A">
        <w:t xml:space="preserve"> raise the following concerns: </w:t>
      </w:r>
      <w:r w:rsidR="00443581">
        <w:t>the proposal</w:t>
      </w:r>
      <w:r w:rsidR="00546B2A">
        <w:t xml:space="preserve"> is too difficult to understand, will require </w:t>
      </w:r>
      <w:r w:rsidR="00386B6F">
        <w:t xml:space="preserve">extensive </w:t>
      </w:r>
      <w:r w:rsidR="00546B2A">
        <w:t>renegotiation of existing contracts,</w:t>
      </w:r>
      <w:r w:rsidRPr="000F153E" w:rsidR="00546B2A">
        <w:t xml:space="preserve"> </w:t>
      </w:r>
      <w:r w:rsidR="00546B2A">
        <w:t>does not incentivize new generation and storage which would hinder the State’s clean energy and RPS goals, and will diminish retail competition and</w:t>
      </w:r>
      <w:r w:rsidR="004336A2">
        <w:t xml:space="preserve"> the</w:t>
      </w:r>
      <w:r w:rsidR="00546B2A">
        <w:t xml:space="preserve"> ability of </w:t>
      </w:r>
      <w:r w:rsidR="00CD6957">
        <w:t>CCAs</w:t>
      </w:r>
      <w:r w:rsidR="00546B2A">
        <w:t xml:space="preserve"> to procure their portfolios.  </w:t>
      </w:r>
      <w:r w:rsidR="005D6F2E">
        <w:t xml:space="preserve">CEJA/Sierra Club comment that the proposal is inconsistent with RPS requirements, such as </w:t>
      </w:r>
      <w:r w:rsidR="00655CBE">
        <w:t>the requirement</w:t>
      </w:r>
      <w:r w:rsidR="005D6F2E">
        <w:t xml:space="preserve"> that unbundled renewable energy credits can fulfill no more than 10</w:t>
      </w:r>
      <w:r w:rsidR="00FD213B">
        <w:t xml:space="preserve"> percent</w:t>
      </w:r>
      <w:r w:rsidR="005D6F2E">
        <w:t xml:space="preserve"> of an LSE’s obligation and that at least 65</w:t>
      </w:r>
      <w:r w:rsidR="00FD213B">
        <w:t xml:space="preserve"> percent</w:t>
      </w:r>
      <w:r w:rsidR="005D6F2E">
        <w:t xml:space="preserve"> of procurement towards RPS</w:t>
      </w:r>
      <w:r w:rsidR="00655CBE">
        <w:t xml:space="preserve"> requirements</w:t>
      </w:r>
      <w:r w:rsidR="005D6F2E">
        <w:t xml:space="preserve"> must be from 10-year or longer contracts.</w:t>
      </w:r>
      <w:r w:rsidR="009E512C">
        <w:rPr>
          <w:rStyle w:val="FootnoteReference"/>
        </w:rPr>
        <w:footnoteReference w:id="32"/>
      </w:r>
    </w:p>
    <w:p w:rsidR="00546B2A" w:rsidP="00344E4B" w:rsidRDefault="008301CC" w14:paraId="03942551" w14:textId="55765DEF">
      <w:pPr>
        <w:pStyle w:val="Standard"/>
      </w:pPr>
      <w:r>
        <w:lastRenderedPageBreak/>
        <w:t xml:space="preserve">Some parties, including </w:t>
      </w:r>
      <w:proofErr w:type="spellStart"/>
      <w:r w:rsidR="00154B19">
        <w:t>CalCCA</w:t>
      </w:r>
      <w:proofErr w:type="spellEnd"/>
      <w:r w:rsidR="00154B19">
        <w:t xml:space="preserve">, </w:t>
      </w:r>
      <w:r w:rsidR="00DE57B3">
        <w:t xml:space="preserve">CESA and </w:t>
      </w:r>
      <w:r>
        <w:t xml:space="preserve">SCE, </w:t>
      </w:r>
      <w:r w:rsidR="008844D0">
        <w:t>argue</w:t>
      </w:r>
      <w:r>
        <w:t xml:space="preserve"> that </w:t>
      </w:r>
      <w:r w:rsidR="00AA7992">
        <w:t>the proposal</w:t>
      </w:r>
      <w:r>
        <w:t xml:space="preserve"> is too radical a departure from the current RA program because it relies on financial incentives, rather than requiring resources to be physically available</w:t>
      </w:r>
      <w:r w:rsidR="00B6332E">
        <w:t xml:space="preserve">.  </w:t>
      </w:r>
      <w:r w:rsidR="00B506E6">
        <w:t>Other parties</w:t>
      </w:r>
      <w:r w:rsidR="00DB0671">
        <w:t>, such as Cal Advocates</w:t>
      </w:r>
      <w:r w:rsidR="002021A7">
        <w:t xml:space="preserve">, </w:t>
      </w:r>
      <w:proofErr w:type="spellStart"/>
      <w:r w:rsidR="002021A7">
        <w:t>CalCCA</w:t>
      </w:r>
      <w:proofErr w:type="spellEnd"/>
      <w:r w:rsidR="00B506E6">
        <w:t>, CMUA,</w:t>
      </w:r>
      <w:r w:rsidR="00DB0671">
        <w:t xml:space="preserve"> and BRTM, </w:t>
      </w:r>
      <w:r w:rsidR="00BA53A9">
        <w:t>contend</w:t>
      </w:r>
      <w:r w:rsidR="00C176EE">
        <w:t xml:space="preserve"> that </w:t>
      </w:r>
      <w:r w:rsidR="00F31135">
        <w:t xml:space="preserve">reliance on a centralized auction and clearinghouse to price and procure energy </w:t>
      </w:r>
      <w:r w:rsidR="00C176EE">
        <w:t xml:space="preserve">will result in </w:t>
      </w:r>
      <w:r w:rsidR="00B506E6">
        <w:t xml:space="preserve">legal and </w:t>
      </w:r>
      <w:r w:rsidR="00546B2A">
        <w:t xml:space="preserve">jurisdictional </w:t>
      </w:r>
      <w:r w:rsidR="00DB0671">
        <w:t>challenges</w:t>
      </w:r>
      <w:r w:rsidR="00546B2A">
        <w:t xml:space="preserve"> about increased oversight</w:t>
      </w:r>
      <w:r w:rsidR="00B506E6">
        <w:t xml:space="preserve"> </w:t>
      </w:r>
      <w:r w:rsidR="00620E10">
        <w:t xml:space="preserve">by the Federal Energy Regulatory Commission (FERC) </w:t>
      </w:r>
      <w:r w:rsidR="00B506E6">
        <w:t>that could delay implementation for years.</w:t>
      </w:r>
      <w:r w:rsidR="00344E4B">
        <w:t xml:space="preserve">  </w:t>
      </w:r>
      <w:r w:rsidR="00546B2A">
        <w:t xml:space="preserve">Another concern </w:t>
      </w:r>
      <w:r w:rsidR="00B57B6A">
        <w:t xml:space="preserve">raised by parties, </w:t>
      </w:r>
      <w:r w:rsidR="00151A4E">
        <w:t>such as</w:t>
      </w:r>
      <w:r w:rsidR="00B57B6A">
        <w:t xml:space="preserve"> </w:t>
      </w:r>
      <w:proofErr w:type="spellStart"/>
      <w:r w:rsidR="00151A4E">
        <w:t>CalCCA</w:t>
      </w:r>
      <w:proofErr w:type="spellEnd"/>
      <w:r w:rsidR="00151A4E">
        <w:t xml:space="preserve">, </w:t>
      </w:r>
      <w:r w:rsidR="00AE6ACA">
        <w:t xml:space="preserve">Calpine and </w:t>
      </w:r>
      <w:r w:rsidR="00B57B6A">
        <w:t xml:space="preserve">CESA, </w:t>
      </w:r>
      <w:r w:rsidR="00546B2A">
        <w:t xml:space="preserve">is that the proposal shifts responsibility and risk to energy suppliers (rather than LSEs), over whom the Commission does not have oversight.  CAISO states that the proposal would require significant revisions to its tariff and result in complex must-offer obligations that may diminish CAISO’s ability to optimally schedule and dispatch resources. </w:t>
      </w:r>
    </w:p>
    <w:p w:rsidR="00546B2A" w:rsidP="009A3D10" w:rsidRDefault="00546B2A" w14:paraId="702E0310" w14:textId="6EE1F5B7">
      <w:pPr>
        <w:pStyle w:val="Standard"/>
      </w:pPr>
      <w:r>
        <w:t>TURN and DMM support further consideration of the proposal.</w:t>
      </w:r>
      <w:r>
        <w:rPr>
          <w:rStyle w:val="FootnoteReference"/>
        </w:rPr>
        <w:footnoteReference w:id="33"/>
      </w:r>
      <w:r>
        <w:t xml:space="preserve">  DMM sees merit if other changes are made to the framework, such as increasing energy bid caps to drive incentives for suppliers to deliver power when needed.</w:t>
      </w:r>
    </w:p>
    <w:p w:rsidR="005445A1" w:rsidP="00D43788" w:rsidRDefault="005445A1" w14:paraId="589CB15B" w14:textId="0E955526">
      <w:pPr>
        <w:pStyle w:val="Heading2"/>
      </w:pPr>
      <w:bookmarkStart w:name="_Toc74206119" w:id="26"/>
      <w:r>
        <w:t xml:space="preserve">Hedging </w:t>
      </w:r>
      <w:r w:rsidR="00521BE2">
        <w:t xml:space="preserve">and Bid Cap </w:t>
      </w:r>
      <w:r>
        <w:t>Proposals</w:t>
      </w:r>
      <w:bookmarkEnd w:id="22"/>
      <w:bookmarkEnd w:id="26"/>
      <w:r>
        <w:t xml:space="preserve"> </w:t>
      </w:r>
    </w:p>
    <w:p w:rsidRPr="00B52FF2" w:rsidR="00B52FF2" w:rsidP="00B52FF2" w:rsidRDefault="00B52FF2" w14:paraId="349E0DB0" w14:textId="201ED1FC">
      <w:pPr>
        <w:pStyle w:val="Standard"/>
      </w:pPr>
      <w:r>
        <w:t xml:space="preserve">PG&amp;E and Energy Division put </w:t>
      </w:r>
      <w:r w:rsidR="005B0444">
        <w:t>forward</w:t>
      </w:r>
      <w:r>
        <w:t xml:space="preserve"> a hedging and bid cap proposal, which </w:t>
      </w:r>
      <w:r w:rsidR="00EC4E3B">
        <w:t>we refer</w:t>
      </w:r>
      <w:r w:rsidR="00D96EB3">
        <w:t xml:space="preserve"> </w:t>
      </w:r>
      <w:r>
        <w:t>to as “hedging component” proposals</w:t>
      </w:r>
      <w:r w:rsidR="00D96EB3">
        <w:t xml:space="preserve"> (</w:t>
      </w:r>
      <w:r w:rsidR="009A03EA">
        <w:t>as</w:t>
      </w:r>
      <w:r>
        <w:t xml:space="preserve"> distinguished from the “restructur</w:t>
      </w:r>
      <w:r w:rsidR="00635562">
        <w:t>ing</w:t>
      </w:r>
      <w:r>
        <w:t>” proposals</w:t>
      </w:r>
      <w:r w:rsidR="00D96EB3">
        <w:t>)</w:t>
      </w:r>
      <w:r>
        <w:t>.</w:t>
      </w:r>
    </w:p>
    <w:p w:rsidRPr="00A7148B" w:rsidR="00A7148B" w:rsidP="00A7148B" w:rsidRDefault="005445A1" w14:paraId="7EC62B00" w14:textId="63077AC7">
      <w:pPr>
        <w:pStyle w:val="Heading3"/>
        <w:rPr>
          <w:szCs w:val="26"/>
        </w:rPr>
      </w:pPr>
      <w:bookmarkStart w:name="_Toc69976155" w:id="27"/>
      <w:bookmarkStart w:name="_Toc74206120" w:id="28"/>
      <w:r>
        <w:t>PG</w:t>
      </w:r>
      <w:r w:rsidRPr="002A4556">
        <w:rPr>
          <w:szCs w:val="26"/>
        </w:rPr>
        <w:t>&amp;E</w:t>
      </w:r>
      <w:r w:rsidR="00A7148B">
        <w:rPr>
          <w:szCs w:val="26"/>
        </w:rPr>
        <w:t>’s</w:t>
      </w:r>
      <w:r w:rsidRPr="002A4556">
        <w:rPr>
          <w:szCs w:val="26"/>
        </w:rPr>
        <w:t xml:space="preserve"> </w:t>
      </w:r>
      <w:r w:rsidR="002B7551">
        <w:t>Hedg</w:t>
      </w:r>
      <w:r w:rsidR="00D207B7">
        <w:t>ing</w:t>
      </w:r>
      <w:r w:rsidRPr="002A4556">
        <w:rPr>
          <w:szCs w:val="26"/>
        </w:rPr>
        <w:t xml:space="preserve"> Proposal</w:t>
      </w:r>
      <w:bookmarkEnd w:id="27"/>
      <w:r w:rsidR="001F1867">
        <w:rPr>
          <w:szCs w:val="26"/>
        </w:rPr>
        <w:t>s</w:t>
      </w:r>
      <w:bookmarkEnd w:id="28"/>
    </w:p>
    <w:p w:rsidR="00D24C49" w:rsidP="00D24C49" w:rsidRDefault="00C90E74" w14:paraId="5CA9F1C6" w14:textId="689BAFC1">
      <w:pPr>
        <w:pStyle w:val="Standard"/>
      </w:pPr>
      <w:r>
        <w:t xml:space="preserve">In its revised proposal, </w:t>
      </w:r>
      <w:r w:rsidR="002B7551">
        <w:t xml:space="preserve">PG&amp;E </w:t>
      </w:r>
      <w:r w:rsidR="008F69A2">
        <w:t xml:space="preserve">puts forth a variable cost </w:t>
      </w:r>
      <w:r w:rsidR="00E9359B">
        <w:t>hedg</w:t>
      </w:r>
      <w:r w:rsidR="004A4D39">
        <w:t>ing</w:t>
      </w:r>
      <w:r w:rsidR="008F69A2">
        <w:t xml:space="preserve"> proposal that would require “that </w:t>
      </w:r>
      <w:r w:rsidR="002B7551">
        <w:t xml:space="preserve">all RA contracts identify the variable operating costs (or relevant proxy) of the resource and require a rebate of the energy market </w:t>
      </w:r>
      <w:r w:rsidR="002B7551">
        <w:lastRenderedPageBreak/>
        <w:t>revenue in excess of those costs.</w:t>
      </w:r>
      <w:r w:rsidR="008F69A2">
        <w:t>”</w:t>
      </w:r>
      <w:r w:rsidR="002B7551">
        <w:rPr>
          <w:rStyle w:val="FootnoteReference"/>
        </w:rPr>
        <w:footnoteReference w:id="34"/>
      </w:r>
      <w:r w:rsidR="002B7551">
        <w:t xml:space="preserve">  PG&amp;E </w:t>
      </w:r>
      <w:r w:rsidR="00637769">
        <w:t>cites</w:t>
      </w:r>
      <w:r w:rsidR="002B7551">
        <w:t xml:space="preserve"> the example that a thermal unit’s costs would include fuel, variable operations and maintenance, and emission costs.  The contract would specify a rebate mechanism in which the seller would rebate to the buyer the difference between the resource’s locational marginal price (LMP) and the variable costs when the price </w:t>
      </w:r>
      <w:r w:rsidR="00A65BE7">
        <w:t>rises above the variable costs</w:t>
      </w:r>
      <w:r w:rsidR="00570C05">
        <w:t>,</w:t>
      </w:r>
      <w:r w:rsidR="002B7551">
        <w:t xml:space="preserve"> whether the resource produced energy or not.  This is intended to give a resource owner an incentive to bid at </w:t>
      </w:r>
      <w:r w:rsidR="00570C05">
        <w:t>a resource’s</w:t>
      </w:r>
      <w:r w:rsidR="002B7551">
        <w:t xml:space="preserve"> variable costs.</w:t>
      </w:r>
      <w:r w:rsidR="00D24C49">
        <w:t xml:space="preserve">  </w:t>
      </w:r>
    </w:p>
    <w:p w:rsidR="00F663FC" w:rsidP="00D24C49" w:rsidRDefault="00E9359B" w14:paraId="25E7C8FC" w14:textId="0DBAE8F0">
      <w:pPr>
        <w:pStyle w:val="Standard"/>
      </w:pPr>
      <w:r>
        <w:t xml:space="preserve">In its </w:t>
      </w:r>
      <w:r w:rsidR="000A2A89">
        <w:t xml:space="preserve">second </w:t>
      </w:r>
      <w:r>
        <w:t xml:space="preserve">revised proposal, </w:t>
      </w:r>
      <w:r w:rsidR="00F663FC">
        <w:t xml:space="preserve">PG&amp;E offers an alternative </w:t>
      </w:r>
      <w:r>
        <w:t>called the price cap rebate proposal.  This proposal offers a similar rebate mechanism to the variable cost hedge proposal</w:t>
      </w:r>
      <w:r w:rsidR="006650A8">
        <w:t>;</w:t>
      </w:r>
      <w:r>
        <w:t xml:space="preserve"> however, rather than identifying variable costs for each RA contract, a trigger value (price cap) </w:t>
      </w:r>
      <w:r w:rsidR="00CF49D1">
        <w:t xml:space="preserve">would </w:t>
      </w:r>
      <w:r>
        <w:t xml:space="preserve">be used to determine the rebate amount.  Specifically, PG&amp;E proposes that </w:t>
      </w:r>
      <w:r w:rsidR="00F663FC">
        <w:t xml:space="preserve">whenever the LMP exceeds the trigger value, a rebate would be paid by the resource to the LSE for the amount equal to the quantity of the contract times the difference between the LMP and the price cap value.  PG&amp;E states that while this does not ensure that resources bid </w:t>
      </w:r>
      <w:r w:rsidR="00A93EFE">
        <w:t xml:space="preserve">at </w:t>
      </w:r>
      <w:r w:rsidR="00F663FC">
        <w:t xml:space="preserve">their variable costs, it provides a price hedge to consumers that they will not be harmed by prices above the price cap. </w:t>
      </w:r>
      <w:r w:rsidR="00EE7783">
        <w:t xml:space="preserve"> </w:t>
      </w:r>
      <w:r w:rsidR="00075895">
        <w:t>This would</w:t>
      </w:r>
      <w:r w:rsidR="00F663FC">
        <w:t xml:space="preserve"> allow LSEs to determine how much of a price hedge would be provided.</w:t>
      </w:r>
      <w:r w:rsidR="00B52FF2">
        <w:t xml:space="preserve">  PG&amp;E adds that this proposal could be layered onto its slice-of-day proposal.</w:t>
      </w:r>
    </w:p>
    <w:p w:rsidRPr="00273A80" w:rsidR="005445A1" w:rsidP="001B15C2" w:rsidRDefault="00330309" w14:paraId="3EC9EA1A" w14:textId="61CDCFC5">
      <w:pPr>
        <w:pStyle w:val="Standard"/>
      </w:pPr>
      <w:r>
        <w:t xml:space="preserve">Some parties object to </w:t>
      </w:r>
      <w:r w:rsidR="00315233">
        <w:t>the</w:t>
      </w:r>
      <w:r>
        <w:t xml:space="preserve"> proposal</w:t>
      </w:r>
      <w:r w:rsidR="001F1867">
        <w:t>s</w:t>
      </w:r>
      <w:r>
        <w:t xml:space="preserve">, including AReM, BRTM, Calpine, </w:t>
      </w:r>
      <w:r w:rsidR="003019B2">
        <w:t xml:space="preserve">CESA, </w:t>
      </w:r>
      <w:r>
        <w:t>LS Power</w:t>
      </w:r>
      <w:r w:rsidR="003019B2">
        <w:t xml:space="preserve"> and MRP</w:t>
      </w:r>
      <w:r>
        <w:t>.</w:t>
      </w:r>
      <w:r>
        <w:rPr>
          <w:rStyle w:val="FootnoteReference"/>
        </w:rPr>
        <w:footnoteReference w:id="35"/>
      </w:r>
      <w:r>
        <w:t xml:space="preserve">  </w:t>
      </w:r>
      <w:r w:rsidR="00B76820">
        <w:t xml:space="preserve">Critics generally </w:t>
      </w:r>
      <w:r w:rsidR="002A2886">
        <w:t xml:space="preserve">raise several concerns: </w:t>
      </w:r>
      <w:r w:rsidR="00654AE3">
        <w:t>the proposal</w:t>
      </w:r>
      <w:r w:rsidR="00B76820">
        <w:t xml:space="preserve"> i</w:t>
      </w:r>
      <w:r w:rsidR="005C6E9B">
        <w:t>s administratively burdensome,</w:t>
      </w:r>
      <w:r w:rsidR="00B76820">
        <w:t xml:space="preserve"> </w:t>
      </w:r>
      <w:r w:rsidR="000A2A89">
        <w:t>may</w:t>
      </w:r>
      <w:r w:rsidRPr="00C92DAE" w:rsidR="000A2A89">
        <w:t xml:space="preserve"> </w:t>
      </w:r>
      <w:r w:rsidRPr="00C92DAE" w:rsidR="00C92DAE">
        <w:t xml:space="preserve">have an adverse impact on </w:t>
      </w:r>
      <w:r w:rsidRPr="00C92DAE" w:rsidR="00C92DAE">
        <w:lastRenderedPageBreak/>
        <w:t>import supply and prices</w:t>
      </w:r>
      <w:r w:rsidRPr="00C92DAE" w:rsidR="00B76820">
        <w:t>,</w:t>
      </w:r>
      <w:r w:rsidR="00B76820">
        <w:t xml:space="preserve"> that market power issues are best addressed in CAISO’s stakeholder initiatives, that a market-based approach to RA is preferred, and that many resources and LSEs may already have energy hedge contracts.</w:t>
      </w:r>
      <w:r w:rsidR="001E1D15">
        <w:t xml:space="preserve">  </w:t>
      </w:r>
      <w:r w:rsidR="00B32868">
        <w:t>Other</w:t>
      </w:r>
      <w:r w:rsidR="0070710C">
        <w:t xml:space="preserve"> parties</w:t>
      </w:r>
      <w:r w:rsidR="001E1D15">
        <w:t xml:space="preserve">, such as </w:t>
      </w:r>
      <w:proofErr w:type="spellStart"/>
      <w:r w:rsidR="001E1D15">
        <w:t>CalCCA</w:t>
      </w:r>
      <w:proofErr w:type="spellEnd"/>
      <w:r w:rsidR="001E1D15">
        <w:t xml:space="preserve">, DMM, and </w:t>
      </w:r>
      <w:proofErr w:type="spellStart"/>
      <w:r w:rsidR="001E1D15">
        <w:t>Vistra</w:t>
      </w:r>
      <w:proofErr w:type="spellEnd"/>
      <w:r w:rsidR="001E1D15">
        <w:t>, comment</w:t>
      </w:r>
      <w:r w:rsidR="0070710C">
        <w:t xml:space="preserve"> that a hedging or bid cap component could be coupled with other </w:t>
      </w:r>
      <w:r w:rsidR="00C17A12">
        <w:t xml:space="preserve">Track 3B.2 </w:t>
      </w:r>
      <w:r w:rsidR="0070710C">
        <w:t>proposals.</w:t>
      </w:r>
      <w:r w:rsidR="0070710C">
        <w:rPr>
          <w:rStyle w:val="FootnoteReference"/>
        </w:rPr>
        <w:footnoteReference w:id="36"/>
      </w:r>
    </w:p>
    <w:p w:rsidR="005445A1" w:rsidP="005C6E9B" w:rsidRDefault="005C6E9B" w14:paraId="65DE38FD" w14:textId="33A9DADC">
      <w:pPr>
        <w:pStyle w:val="Heading3"/>
      </w:pPr>
      <w:bookmarkStart w:name="_Toc74206121" w:id="29"/>
      <w:r>
        <w:t>Energy Division</w:t>
      </w:r>
      <w:r w:rsidR="00A7148B">
        <w:t>’s</w:t>
      </w:r>
      <w:r w:rsidR="00657FB9">
        <w:t xml:space="preserve"> Bid</w:t>
      </w:r>
      <w:r>
        <w:t xml:space="preserve"> Cap Proposal</w:t>
      </w:r>
      <w:bookmarkEnd w:id="29"/>
    </w:p>
    <w:p w:rsidRPr="00F50DCE" w:rsidR="00410983" w:rsidP="00F50DCE" w:rsidRDefault="00410983" w14:paraId="3A35B442" w14:textId="1715A944">
      <w:pPr>
        <w:rPr>
          <w:rFonts w:eastAsia="Times New Roman" w:cs="Times New Roman"/>
          <w:color w:val="000000"/>
        </w:rPr>
      </w:pPr>
      <w:r w:rsidRPr="00410983">
        <w:rPr>
          <w:rFonts w:eastAsia="Times New Roman" w:cs="Times New Roman"/>
          <w:color w:val="000000"/>
        </w:rPr>
        <w:t xml:space="preserve">Energy Division </w:t>
      </w:r>
      <w:r w:rsidR="006E4DAB">
        <w:rPr>
          <w:rFonts w:eastAsia="Times New Roman" w:cs="Times New Roman"/>
          <w:color w:val="000000"/>
        </w:rPr>
        <w:t>proposes</w:t>
      </w:r>
      <w:r w:rsidRPr="00410983">
        <w:rPr>
          <w:rFonts w:eastAsia="Times New Roman" w:cs="Times New Roman"/>
          <w:color w:val="000000"/>
        </w:rPr>
        <w:t xml:space="preserve"> that </w:t>
      </w:r>
      <w:r w:rsidR="003D59EB">
        <w:rPr>
          <w:rFonts w:eastAsia="Times New Roman" w:cs="Times New Roman"/>
          <w:color w:val="000000"/>
        </w:rPr>
        <w:t>a</w:t>
      </w:r>
      <w:r w:rsidRPr="00410983">
        <w:rPr>
          <w:rFonts w:eastAsia="Times New Roman" w:cs="Times New Roman"/>
          <w:color w:val="000000"/>
        </w:rPr>
        <w:t xml:space="preserve"> bid cap </w:t>
      </w:r>
      <w:r w:rsidR="003D59EB">
        <w:rPr>
          <w:rFonts w:eastAsia="Times New Roman" w:cs="Times New Roman"/>
          <w:color w:val="000000"/>
        </w:rPr>
        <w:t>requirement be added to RA contracts.  Energy Division proposes that the level of the bid cap</w:t>
      </w:r>
      <w:r>
        <w:rPr>
          <w:rFonts w:eastAsia="Times New Roman" w:cs="Times New Roman"/>
          <w:color w:val="000000"/>
        </w:rPr>
        <w:t xml:space="preserve"> </w:t>
      </w:r>
      <w:r w:rsidR="004A348D">
        <w:rPr>
          <w:rFonts w:eastAsia="Times New Roman" w:cs="Times New Roman"/>
          <w:color w:val="000000"/>
        </w:rPr>
        <w:t xml:space="preserve">should </w:t>
      </w:r>
      <w:r w:rsidRPr="00410983">
        <w:rPr>
          <w:rFonts w:eastAsia="Times New Roman" w:cs="Times New Roman"/>
          <w:color w:val="000000"/>
        </w:rPr>
        <w:t xml:space="preserve">be set at the higher of $300/MWh or </w:t>
      </w:r>
      <w:r w:rsidR="003D59EB">
        <w:rPr>
          <w:rFonts w:eastAsia="Times New Roman" w:cs="Times New Roman"/>
          <w:color w:val="000000"/>
        </w:rPr>
        <w:t>the</w:t>
      </w:r>
      <w:r w:rsidRPr="00410983">
        <w:rPr>
          <w:rFonts w:eastAsia="Times New Roman" w:cs="Times New Roman"/>
          <w:color w:val="000000"/>
        </w:rPr>
        <w:t xml:space="preserve"> resource-specific default energy bid, excluding non-resource-specific default energy bids, such as those tied to indices.</w:t>
      </w:r>
      <w:r w:rsidR="00C67B55">
        <w:rPr>
          <w:rStyle w:val="FootnoteReference"/>
        </w:rPr>
        <w:footnoteReference w:id="37"/>
      </w:r>
      <w:r w:rsidR="00E440A7">
        <w:rPr>
          <w:rFonts w:eastAsia="Times New Roman" w:cs="Times New Roman"/>
          <w:color w:val="000000"/>
        </w:rPr>
        <w:t xml:space="preserve"> </w:t>
      </w:r>
      <w:r w:rsidR="0020207D">
        <w:rPr>
          <w:rFonts w:eastAsia="Times New Roman" w:cs="Times New Roman"/>
          <w:color w:val="000000"/>
        </w:rPr>
        <w:t xml:space="preserve"> </w:t>
      </w:r>
      <w:r w:rsidRPr="00410983">
        <w:rPr>
          <w:rFonts w:eastAsia="Times New Roman" w:cs="Times New Roman"/>
          <w:color w:val="000000"/>
        </w:rPr>
        <w:t xml:space="preserve">Energy </w:t>
      </w:r>
      <w:r w:rsidR="004A6E30">
        <w:rPr>
          <w:rFonts w:eastAsia="Times New Roman" w:cs="Times New Roman"/>
          <w:color w:val="000000"/>
        </w:rPr>
        <w:t>D</w:t>
      </w:r>
      <w:r w:rsidRPr="00410983">
        <w:rPr>
          <w:rFonts w:eastAsia="Times New Roman" w:cs="Times New Roman"/>
          <w:color w:val="000000"/>
        </w:rPr>
        <w:t>ivision explains that the max</w:t>
      </w:r>
      <w:r w:rsidR="004A6E30">
        <w:rPr>
          <w:rFonts w:eastAsia="Times New Roman" w:cs="Times New Roman"/>
          <w:color w:val="000000"/>
        </w:rPr>
        <w:t>imum</w:t>
      </w:r>
      <w:r w:rsidRPr="00410983">
        <w:rPr>
          <w:rFonts w:eastAsia="Times New Roman" w:cs="Times New Roman"/>
          <w:color w:val="000000"/>
        </w:rPr>
        <w:t xml:space="preserve"> of the two will ensure that the bid cap captures any gas price anomalies</w:t>
      </w:r>
      <w:r w:rsidR="00C67B55">
        <w:rPr>
          <w:rFonts w:eastAsia="Times New Roman" w:cs="Times New Roman"/>
          <w:color w:val="000000"/>
        </w:rPr>
        <w:t xml:space="preserve"> and </w:t>
      </w:r>
      <w:r w:rsidR="00C67B55">
        <w:t xml:space="preserve">that RA resource bids are significantly lower than the current $1,000/MWh FERC hourly bid cap.  </w:t>
      </w:r>
      <w:r w:rsidRPr="00410983">
        <w:rPr>
          <w:rFonts w:eastAsia="Times New Roman" w:cs="Times New Roman"/>
          <w:color w:val="000000"/>
        </w:rPr>
        <w:t xml:space="preserve">To enforce </w:t>
      </w:r>
      <w:r w:rsidR="007C2479">
        <w:rPr>
          <w:rFonts w:eastAsia="Times New Roman" w:cs="Times New Roman"/>
          <w:color w:val="000000"/>
        </w:rPr>
        <w:t>the</w:t>
      </w:r>
      <w:r w:rsidRPr="00410983">
        <w:rPr>
          <w:rFonts w:eastAsia="Times New Roman" w:cs="Times New Roman"/>
          <w:color w:val="000000"/>
        </w:rPr>
        <w:t xml:space="preserve"> bid cap, </w:t>
      </w:r>
      <w:r w:rsidR="0092599A">
        <w:rPr>
          <w:rFonts w:eastAsia="Times New Roman" w:cs="Times New Roman"/>
          <w:color w:val="000000"/>
        </w:rPr>
        <w:t>the proposal offers</w:t>
      </w:r>
      <w:r w:rsidRPr="00410983">
        <w:rPr>
          <w:rFonts w:eastAsia="Times New Roman" w:cs="Times New Roman"/>
          <w:color w:val="000000"/>
        </w:rPr>
        <w:t xml:space="preserve"> a two-pronged mechanism</w:t>
      </w:r>
      <w:proofErr w:type="gramStart"/>
      <w:r w:rsidR="007C2479">
        <w:rPr>
          <w:rFonts w:eastAsia="Times New Roman" w:cs="Times New Roman"/>
          <w:color w:val="000000"/>
        </w:rPr>
        <w:t>:</w:t>
      </w:r>
      <w:r w:rsidR="00FD213B">
        <w:rPr>
          <w:rFonts w:eastAsia="Times New Roman" w:cs="Times New Roman"/>
          <w:color w:val="000000"/>
        </w:rPr>
        <w:t xml:space="preserve"> </w:t>
      </w:r>
      <w:r w:rsidR="007C2479">
        <w:rPr>
          <w:rFonts w:eastAsia="Times New Roman" w:cs="Times New Roman"/>
          <w:color w:val="000000"/>
        </w:rPr>
        <w:t xml:space="preserve"> (</w:t>
      </w:r>
      <w:proofErr w:type="gramEnd"/>
      <w:r w:rsidR="007C2479">
        <w:rPr>
          <w:rFonts w:eastAsia="Times New Roman" w:cs="Times New Roman"/>
          <w:color w:val="000000"/>
        </w:rPr>
        <w:t xml:space="preserve">1) </w:t>
      </w:r>
      <w:r w:rsidR="00663283">
        <w:rPr>
          <w:rFonts w:eastAsia="Times New Roman" w:cs="Times New Roman"/>
          <w:color w:val="000000"/>
        </w:rPr>
        <w:t>require</w:t>
      </w:r>
      <w:r w:rsidRPr="00410983">
        <w:rPr>
          <w:rFonts w:eastAsia="Times New Roman" w:cs="Times New Roman"/>
          <w:color w:val="000000"/>
        </w:rPr>
        <w:t xml:space="preserve"> that RA contracts include </w:t>
      </w:r>
      <w:r w:rsidR="007C2479">
        <w:rPr>
          <w:rFonts w:eastAsia="Times New Roman" w:cs="Times New Roman"/>
          <w:color w:val="000000"/>
        </w:rPr>
        <w:t>the</w:t>
      </w:r>
      <w:r w:rsidRPr="00410983">
        <w:rPr>
          <w:rFonts w:eastAsia="Times New Roman" w:cs="Times New Roman"/>
          <w:color w:val="000000"/>
        </w:rPr>
        <w:t xml:space="preserve"> bid cap provision (</w:t>
      </w:r>
      <w:r w:rsidRPr="00DB2886" w:rsidR="00DB2886">
        <w:rPr>
          <w:rFonts w:eastAsia="Times New Roman" w:cs="Times New Roman"/>
          <w:i/>
          <w:iCs/>
          <w:color w:val="000000"/>
        </w:rPr>
        <w:t>i.e.</w:t>
      </w:r>
      <w:r w:rsidRPr="00E8642B" w:rsidR="007C2479">
        <w:rPr>
          <w:rFonts w:eastAsia="Times New Roman" w:cs="Times New Roman"/>
          <w:color w:val="000000"/>
        </w:rPr>
        <w:t>,</w:t>
      </w:r>
      <w:r w:rsidRPr="007B11D0">
        <w:rPr>
          <w:rFonts w:eastAsia="Times New Roman" w:cs="Times New Roman"/>
          <w:color w:val="000000"/>
        </w:rPr>
        <w:t xml:space="preserve"> </w:t>
      </w:r>
      <w:r w:rsidRPr="00410983">
        <w:rPr>
          <w:rFonts w:eastAsia="Times New Roman" w:cs="Times New Roman"/>
          <w:color w:val="000000"/>
        </w:rPr>
        <w:t>bidding no higher than the higher of $300/MWh or the default energy bid</w:t>
      </w:r>
      <w:r w:rsidR="007C2479">
        <w:rPr>
          <w:rFonts w:eastAsia="Times New Roman" w:cs="Times New Roman"/>
          <w:color w:val="000000"/>
        </w:rPr>
        <w:t xml:space="preserve">); </w:t>
      </w:r>
      <w:r w:rsidR="00641FFB">
        <w:rPr>
          <w:rFonts w:eastAsia="Times New Roman" w:cs="Times New Roman"/>
          <w:color w:val="000000"/>
        </w:rPr>
        <w:t xml:space="preserve">and </w:t>
      </w:r>
      <w:r w:rsidR="007C2479">
        <w:rPr>
          <w:rFonts w:eastAsia="Times New Roman" w:cs="Times New Roman"/>
          <w:color w:val="000000"/>
        </w:rPr>
        <w:t>(2)</w:t>
      </w:r>
      <w:r w:rsidRPr="00410983">
        <w:rPr>
          <w:rFonts w:eastAsia="Times New Roman" w:cs="Times New Roman"/>
          <w:color w:val="000000"/>
        </w:rPr>
        <w:t xml:space="preserve"> </w:t>
      </w:r>
      <w:r w:rsidR="00D151D8">
        <w:rPr>
          <w:rFonts w:eastAsia="Times New Roman" w:cs="Times New Roman"/>
          <w:color w:val="000000"/>
        </w:rPr>
        <w:t xml:space="preserve">require </w:t>
      </w:r>
      <w:r w:rsidR="007C2479">
        <w:rPr>
          <w:rFonts w:eastAsia="Times New Roman" w:cs="Times New Roman"/>
          <w:color w:val="000000"/>
        </w:rPr>
        <w:t xml:space="preserve">Energy Division </w:t>
      </w:r>
      <w:r w:rsidR="00D151D8">
        <w:rPr>
          <w:rFonts w:eastAsia="Times New Roman" w:cs="Times New Roman"/>
          <w:color w:val="000000"/>
        </w:rPr>
        <w:t xml:space="preserve">to </w:t>
      </w:r>
      <w:r w:rsidRPr="00410983">
        <w:rPr>
          <w:rFonts w:eastAsia="Times New Roman" w:cs="Times New Roman"/>
          <w:color w:val="000000"/>
        </w:rPr>
        <w:t>review bidding by market participants and refer</w:t>
      </w:r>
      <w:r w:rsidR="007C2479">
        <w:rPr>
          <w:rFonts w:eastAsia="Times New Roman" w:cs="Times New Roman"/>
          <w:color w:val="000000"/>
        </w:rPr>
        <w:t xml:space="preserve"> LSEs for </w:t>
      </w:r>
      <w:r w:rsidR="00F50DCE">
        <w:rPr>
          <w:rFonts w:eastAsia="Times New Roman" w:cs="Times New Roman"/>
          <w:color w:val="000000"/>
        </w:rPr>
        <w:t>citations for failure to comply</w:t>
      </w:r>
      <w:r w:rsidR="007C2479">
        <w:rPr>
          <w:rFonts w:eastAsia="Times New Roman" w:cs="Times New Roman"/>
          <w:color w:val="000000"/>
        </w:rPr>
        <w:t xml:space="preserve">.  </w:t>
      </w:r>
    </w:p>
    <w:p w:rsidR="00A7148B" w:rsidP="003E5AC7" w:rsidRDefault="00051BFA" w14:paraId="65F03922" w14:textId="426FF6A9">
      <w:pPr>
        <w:pStyle w:val="Standard"/>
      </w:pPr>
      <w:r>
        <w:t xml:space="preserve">Critics of the proposal raise concerns </w:t>
      </w:r>
      <w:proofErr w:type="gramStart"/>
      <w:r>
        <w:t>similar to</w:t>
      </w:r>
      <w:proofErr w:type="gramEnd"/>
      <w:r>
        <w:t xml:space="preserve"> </w:t>
      </w:r>
      <w:r w:rsidR="00535773">
        <w:t>those raised</w:t>
      </w:r>
      <w:r>
        <w:t xml:space="preserve"> </w:t>
      </w:r>
      <w:r w:rsidR="00F711A0">
        <w:t>for</w:t>
      </w:r>
      <w:r>
        <w:t xml:space="preserve"> PG&amp;E’s contract hedge proposal: </w:t>
      </w:r>
      <w:r w:rsidR="001F1840">
        <w:t>the proposal is</w:t>
      </w:r>
      <w:r>
        <w:t xml:space="preserve"> </w:t>
      </w:r>
      <w:r w:rsidRPr="00535773">
        <w:t xml:space="preserve">administratively burdensome, </w:t>
      </w:r>
      <w:r w:rsidR="0039511A">
        <w:t>may</w:t>
      </w:r>
      <w:r w:rsidRPr="00535773" w:rsidR="00C92DAE">
        <w:t xml:space="preserve"> have an adverse</w:t>
      </w:r>
      <w:r w:rsidRPr="00535773">
        <w:t xml:space="preserve"> impact on import</w:t>
      </w:r>
      <w:r w:rsidRPr="00535773" w:rsidR="00C92DAE">
        <w:t xml:space="preserve"> supply and prices</w:t>
      </w:r>
      <w:r w:rsidRPr="00535773">
        <w:t xml:space="preserve">, </w:t>
      </w:r>
      <w:r w:rsidRPr="00535773" w:rsidR="00054671">
        <w:t xml:space="preserve">and </w:t>
      </w:r>
      <w:r w:rsidR="008D5BEF">
        <w:t>may</w:t>
      </w:r>
      <w:r w:rsidRPr="00535773" w:rsidR="008D5BEF">
        <w:t xml:space="preserve"> </w:t>
      </w:r>
      <w:r w:rsidRPr="00535773" w:rsidR="00054671">
        <w:t xml:space="preserve">require LSEs to </w:t>
      </w:r>
      <w:r w:rsidRPr="00535773" w:rsidR="00054671">
        <w:lastRenderedPageBreak/>
        <w:t>monitor RA suppliers</w:t>
      </w:r>
      <w:r w:rsidR="00054671">
        <w:t>.</w:t>
      </w:r>
      <w:r w:rsidR="00054671">
        <w:rPr>
          <w:rStyle w:val="FootnoteReference"/>
        </w:rPr>
        <w:footnoteReference w:id="38"/>
      </w:r>
      <w:r w:rsidR="00054671">
        <w:t xml:space="preserve">  Other concerns are </w:t>
      </w:r>
      <w:r w:rsidR="00B80DB1">
        <w:t xml:space="preserve">that </w:t>
      </w:r>
      <w:r w:rsidRPr="00535773">
        <w:t xml:space="preserve">market power issues are best addressed in CAISO’s stakeholder </w:t>
      </w:r>
      <w:r w:rsidR="00555DC9">
        <w:t>process</w:t>
      </w:r>
      <w:r w:rsidR="00054671">
        <w:t xml:space="preserve"> and that</w:t>
      </w:r>
      <w:r w:rsidRPr="00535773">
        <w:t xml:space="preserve"> forcing a bid cap in CAISO’s market interferes with FERC jurisdiction</w:t>
      </w:r>
      <w:r w:rsidRPr="00535773" w:rsidR="00C92DAE">
        <w:t>.</w:t>
      </w:r>
    </w:p>
    <w:p w:rsidR="00313B59" w:rsidP="00E52779" w:rsidRDefault="001751FF" w14:paraId="0CBEEB19" w14:textId="7EEE6E46">
      <w:pPr>
        <w:pStyle w:val="Heading1"/>
      </w:pPr>
      <w:bookmarkStart w:name="_Toc74206122" w:id="30"/>
      <w:r>
        <w:t>Discussion</w:t>
      </w:r>
      <w:bookmarkEnd w:id="30"/>
    </w:p>
    <w:p w:rsidR="00C51CDC" w:rsidP="0007785C" w:rsidRDefault="00E219E8" w14:paraId="5BB034D0" w14:textId="0EEB16DF">
      <w:pPr>
        <w:pStyle w:val="Standard"/>
      </w:pPr>
      <w:r>
        <w:t xml:space="preserve">In Track 3B.2, the Commission sought proposals </w:t>
      </w:r>
      <w:r w:rsidR="00C51CDC">
        <w:t>on the following:</w:t>
      </w:r>
      <w:r w:rsidR="00313A23">
        <w:rPr>
          <w:rStyle w:val="FootnoteReference"/>
        </w:rPr>
        <w:footnoteReference w:id="39"/>
      </w:r>
    </w:p>
    <w:p w:rsidR="00C51CDC" w:rsidP="00FD213B" w:rsidRDefault="00C51CDC" w14:paraId="11023480" w14:textId="29FF8707">
      <w:pPr>
        <w:pStyle w:val="BlockQuote"/>
      </w:pPr>
      <w:r w:rsidRPr="000041D2">
        <w:t>Examination of the broader RA capacity structure to</w:t>
      </w:r>
      <w:r>
        <w:t xml:space="preserve"> </w:t>
      </w:r>
      <w:r w:rsidRPr="000041D2">
        <w:t>address energy attributes and hourly capacity</w:t>
      </w:r>
      <w:r>
        <w:t xml:space="preserve"> </w:t>
      </w:r>
      <w:r w:rsidRPr="000041D2">
        <w:t>requirements, given the increasing penetration of use</w:t>
      </w:r>
      <w:r>
        <w:t>-</w:t>
      </w:r>
      <w:r w:rsidRPr="000041D2">
        <w:t>limited</w:t>
      </w:r>
      <w:r>
        <w:t xml:space="preserve"> </w:t>
      </w:r>
      <w:r w:rsidRPr="000041D2">
        <w:t>resources, greater reliance on preferred resources,</w:t>
      </w:r>
      <w:r>
        <w:t xml:space="preserve"> </w:t>
      </w:r>
      <w:r w:rsidRPr="000041D2">
        <w:t xml:space="preserve">rolling </w:t>
      </w:r>
      <w:proofErr w:type="gramStart"/>
      <w:r w:rsidRPr="000041D2">
        <w:t>off of</w:t>
      </w:r>
      <w:proofErr w:type="gramEnd"/>
      <w:r w:rsidRPr="000041D2">
        <w:t xml:space="preserve"> a significant amount of long-term tolling</w:t>
      </w:r>
      <w:r>
        <w:t xml:space="preserve"> </w:t>
      </w:r>
      <w:r w:rsidRPr="000041D2">
        <w:t>contracts held by utilities, and material increases in energy</w:t>
      </w:r>
      <w:r>
        <w:t xml:space="preserve"> </w:t>
      </w:r>
      <w:r w:rsidRPr="000041D2">
        <w:t>and capacity prices experienced in California over the past</w:t>
      </w:r>
      <w:r>
        <w:t xml:space="preserve"> </w:t>
      </w:r>
      <w:r w:rsidRPr="000041D2">
        <w:t>years.</w:t>
      </w:r>
    </w:p>
    <w:p w:rsidR="00313A23" w:rsidP="00455DFE" w:rsidRDefault="00217590" w14:paraId="722E5871" w14:textId="350B602F">
      <w:pPr>
        <w:pStyle w:val="ALJBodyText"/>
        <w:rPr>
          <w:rFonts w:cs="BookAntiqua"/>
          <w:szCs w:val="26"/>
        </w:rPr>
      </w:pPr>
      <w:r>
        <w:t>We</w:t>
      </w:r>
      <w:r w:rsidR="00313A23">
        <w:t xml:space="preserve"> stated that </w:t>
      </w:r>
      <w:r w:rsidR="009D6D8F">
        <w:t>Track 3B.2</w:t>
      </w:r>
      <w:r w:rsidR="00313A23">
        <w:t xml:space="preserve"> would “</w:t>
      </w:r>
      <w:r w:rsidRPr="000041D2" w:rsidR="00C51CDC">
        <w:rPr>
          <w:rFonts w:cs="BookAntiqua"/>
          <w:szCs w:val="26"/>
        </w:rPr>
        <w:t>address the direction the Commission</w:t>
      </w:r>
      <w:r w:rsidR="00C51CDC">
        <w:rPr>
          <w:rFonts w:cs="BookAntiqua"/>
          <w:szCs w:val="26"/>
        </w:rPr>
        <w:t xml:space="preserve"> </w:t>
      </w:r>
      <w:r w:rsidRPr="000041D2" w:rsidR="00C51CDC">
        <w:rPr>
          <w:rFonts w:cs="BookAntiqua"/>
          <w:szCs w:val="26"/>
        </w:rPr>
        <w:t>intends to move in with respect to larger structural</w:t>
      </w:r>
      <w:r w:rsidR="00C51CDC">
        <w:rPr>
          <w:rFonts w:cs="BookAntiqua"/>
          <w:szCs w:val="26"/>
        </w:rPr>
        <w:t xml:space="preserve"> </w:t>
      </w:r>
      <w:r w:rsidRPr="000041D2" w:rsidR="00C51CDC">
        <w:rPr>
          <w:rFonts w:cs="BookAntiqua"/>
          <w:szCs w:val="26"/>
        </w:rPr>
        <w:t>changes (</w:t>
      </w:r>
      <w:r w:rsidRPr="00DB2886" w:rsidR="00DB2886">
        <w:rPr>
          <w:rFonts w:cs="BookAntiqua"/>
          <w:i/>
          <w:iCs/>
          <w:szCs w:val="26"/>
        </w:rPr>
        <w:t>e.g.</w:t>
      </w:r>
      <w:r w:rsidRPr="000041D2" w:rsidR="00C51CDC">
        <w:rPr>
          <w:rFonts w:cs="BookAntiqua"/>
          <w:szCs w:val="26"/>
        </w:rPr>
        <w:t>, capacity construct addressing energy</w:t>
      </w:r>
      <w:r w:rsidR="00C51CDC">
        <w:rPr>
          <w:rFonts w:cs="BookAntiqua"/>
          <w:szCs w:val="26"/>
        </w:rPr>
        <w:t xml:space="preserve"> </w:t>
      </w:r>
      <w:r w:rsidRPr="000041D2" w:rsidR="00C51CDC">
        <w:rPr>
          <w:rFonts w:cs="BookAntiqua"/>
          <w:szCs w:val="26"/>
        </w:rPr>
        <w:t>attributes and reliance on resource use-limitations,</w:t>
      </w:r>
      <w:r w:rsidR="00C51CDC">
        <w:rPr>
          <w:rFonts w:cs="BookAntiqua"/>
          <w:szCs w:val="26"/>
        </w:rPr>
        <w:t xml:space="preserve"> </w:t>
      </w:r>
      <w:r w:rsidRPr="000041D2" w:rsidR="00C51CDC">
        <w:rPr>
          <w:rFonts w:cs="BookAntiqua"/>
          <w:szCs w:val="26"/>
        </w:rPr>
        <w:t>forward energy requirement construct)</w:t>
      </w:r>
      <w:r w:rsidR="00313A23">
        <w:rPr>
          <w:rFonts w:cs="BookAntiqua"/>
          <w:szCs w:val="26"/>
        </w:rPr>
        <w:t>.”</w:t>
      </w:r>
      <w:r w:rsidR="00313A23">
        <w:rPr>
          <w:rStyle w:val="FootnoteReference"/>
          <w:rFonts w:cs="BookAntiqua"/>
          <w:szCs w:val="26"/>
        </w:rPr>
        <w:footnoteReference w:id="40"/>
      </w:r>
      <w:r w:rsidR="00313A23">
        <w:t xml:space="preserve">  </w:t>
      </w:r>
      <w:r w:rsidR="000A2A89">
        <w:rPr>
          <w:rFonts w:cs="BookAntiqua"/>
          <w:szCs w:val="26"/>
        </w:rPr>
        <w:t>In addition</w:t>
      </w:r>
      <w:r w:rsidR="00817433">
        <w:rPr>
          <w:rFonts w:cs="BookAntiqua"/>
          <w:szCs w:val="26"/>
        </w:rPr>
        <w:t>,</w:t>
      </w:r>
      <w:r w:rsidR="00313A23">
        <w:rPr>
          <w:rFonts w:cs="BookAntiqua"/>
          <w:szCs w:val="26"/>
        </w:rPr>
        <w:t xml:space="preserve"> </w:t>
      </w:r>
      <w:r w:rsidR="00E36D2A">
        <w:rPr>
          <w:rFonts w:cs="BookAntiqua"/>
          <w:szCs w:val="26"/>
        </w:rPr>
        <w:t>we</w:t>
      </w:r>
      <w:r w:rsidR="00313A23">
        <w:rPr>
          <w:rFonts w:cs="BookAntiqua"/>
          <w:szCs w:val="26"/>
        </w:rPr>
        <w:t xml:space="preserve"> would “[s]</w:t>
      </w:r>
      <w:proofErr w:type="spellStart"/>
      <w:r w:rsidRPr="000041D2" w:rsidR="00C51CDC">
        <w:rPr>
          <w:rFonts w:cs="BookAntiqua"/>
          <w:szCs w:val="26"/>
        </w:rPr>
        <w:t>et</w:t>
      </w:r>
      <w:proofErr w:type="spellEnd"/>
      <w:r w:rsidRPr="000041D2" w:rsidR="00C51CDC">
        <w:rPr>
          <w:rFonts w:cs="BookAntiqua"/>
          <w:szCs w:val="26"/>
        </w:rPr>
        <w:t xml:space="preserve"> forth the</w:t>
      </w:r>
      <w:r w:rsidR="00C51CDC">
        <w:rPr>
          <w:rFonts w:cs="BookAntiqua"/>
          <w:szCs w:val="26"/>
        </w:rPr>
        <w:t xml:space="preserve"> </w:t>
      </w:r>
      <w:r w:rsidRPr="000041D2" w:rsidR="00C51CDC">
        <w:rPr>
          <w:rFonts w:cs="BookAntiqua"/>
          <w:szCs w:val="26"/>
        </w:rPr>
        <w:t>necessary milestones and additional details that must</w:t>
      </w:r>
      <w:r w:rsidR="00C51CDC">
        <w:rPr>
          <w:rFonts w:cs="BookAntiqua"/>
          <w:szCs w:val="26"/>
        </w:rPr>
        <w:t xml:space="preserve"> </w:t>
      </w:r>
      <w:r w:rsidRPr="000041D2" w:rsidR="00C51CDC">
        <w:rPr>
          <w:rFonts w:cs="BookAntiqua"/>
          <w:szCs w:val="26"/>
        </w:rPr>
        <w:t>be determined in order to implement the adopted</w:t>
      </w:r>
      <w:r w:rsidR="00C51CDC">
        <w:rPr>
          <w:rFonts w:cs="BookAntiqua"/>
          <w:szCs w:val="26"/>
        </w:rPr>
        <w:t xml:space="preserve"> </w:t>
      </w:r>
      <w:r w:rsidRPr="000041D2" w:rsidR="00C51CDC">
        <w:rPr>
          <w:rFonts w:cs="BookAntiqua"/>
          <w:szCs w:val="26"/>
        </w:rPr>
        <w:t>direction for a compliance year no earlier than 2023.</w:t>
      </w:r>
      <w:r w:rsidR="00313A23">
        <w:rPr>
          <w:rFonts w:cs="BookAntiqua"/>
          <w:szCs w:val="26"/>
        </w:rPr>
        <w:t>”</w:t>
      </w:r>
      <w:r w:rsidR="00F523E1">
        <w:rPr>
          <w:rStyle w:val="FootnoteReference"/>
          <w:rFonts w:cs="BookAntiqua"/>
          <w:szCs w:val="26"/>
        </w:rPr>
        <w:footnoteReference w:id="41"/>
      </w:r>
    </w:p>
    <w:p w:rsidR="000F2AE2" w:rsidP="00AF3A95" w:rsidRDefault="00455DFE" w14:paraId="1487DD47" w14:textId="5C56981F">
      <w:pPr>
        <w:pStyle w:val="Standard"/>
        <w:rPr>
          <w:rFonts w:eastAsiaTheme="minorEastAsia"/>
          <w:szCs w:val="26"/>
        </w:rPr>
      </w:pPr>
      <w:r>
        <w:t>T</w:t>
      </w:r>
      <w:r w:rsidR="0007785C">
        <w:t>he Commission recognizes</w:t>
      </w:r>
      <w:r>
        <w:t xml:space="preserve"> </w:t>
      </w:r>
      <w:r w:rsidR="0007785C">
        <w:t xml:space="preserve">the </w:t>
      </w:r>
      <w:r w:rsidR="000D525D">
        <w:t>substantial</w:t>
      </w:r>
      <w:r w:rsidR="00C51CDC">
        <w:t xml:space="preserve"> effort</w:t>
      </w:r>
      <w:r w:rsidR="00D207B7">
        <w:t>s</w:t>
      </w:r>
      <w:r w:rsidR="00C51CDC">
        <w:t xml:space="preserve"> undertaken by parties and Energy Division </w:t>
      </w:r>
      <w:r>
        <w:t>to</w:t>
      </w:r>
      <w:r w:rsidR="00C51CDC">
        <w:t xml:space="preserve"> </w:t>
      </w:r>
      <w:r w:rsidR="00C510C7">
        <w:t>submit</w:t>
      </w:r>
      <w:r w:rsidR="00C51CDC">
        <w:t xml:space="preserve"> and </w:t>
      </w:r>
      <w:r>
        <w:t>refine</w:t>
      </w:r>
      <w:r w:rsidR="00C51CDC">
        <w:t xml:space="preserve"> </w:t>
      </w:r>
      <w:r w:rsidR="003C49DF">
        <w:t>the</w:t>
      </w:r>
      <w:r w:rsidR="00C51CDC">
        <w:t xml:space="preserve"> Track 3B.2 </w:t>
      </w:r>
      <w:r w:rsidR="003C49DF">
        <w:t>restructur</w:t>
      </w:r>
      <w:r w:rsidR="006D0F1D">
        <w:t>ing</w:t>
      </w:r>
      <w:r w:rsidR="003C49DF">
        <w:t xml:space="preserve"> </w:t>
      </w:r>
      <w:r w:rsidR="00C51CDC">
        <w:t>proposals</w:t>
      </w:r>
      <w:r>
        <w:t xml:space="preserve">, as well as </w:t>
      </w:r>
      <w:r w:rsidR="003A217F">
        <w:t>parties’</w:t>
      </w:r>
      <w:r>
        <w:t xml:space="preserve"> </w:t>
      </w:r>
      <w:r w:rsidR="00054F74">
        <w:t xml:space="preserve">thorough </w:t>
      </w:r>
      <w:r>
        <w:t>discussion of the proposals</w:t>
      </w:r>
      <w:r w:rsidR="00C51CDC">
        <w:t xml:space="preserve">. </w:t>
      </w:r>
      <w:r>
        <w:t xml:space="preserve"> </w:t>
      </w:r>
      <w:r w:rsidR="00C510C7">
        <w:rPr>
          <w:rFonts w:eastAsiaTheme="minorEastAsia"/>
          <w:szCs w:val="26"/>
        </w:rPr>
        <w:t>To evaluate</w:t>
      </w:r>
      <w:r w:rsidR="00235038">
        <w:rPr>
          <w:rFonts w:eastAsiaTheme="minorEastAsia"/>
          <w:szCs w:val="26"/>
        </w:rPr>
        <w:t xml:space="preserve"> </w:t>
      </w:r>
      <w:r w:rsidR="000F2AE2">
        <w:rPr>
          <w:rFonts w:eastAsiaTheme="minorEastAsia"/>
          <w:szCs w:val="26"/>
        </w:rPr>
        <w:t>the</w:t>
      </w:r>
      <w:r w:rsidR="00235038">
        <w:rPr>
          <w:rFonts w:eastAsiaTheme="minorEastAsia"/>
          <w:szCs w:val="26"/>
        </w:rPr>
        <w:t xml:space="preserve"> </w:t>
      </w:r>
      <w:r w:rsidR="005D32CB">
        <w:rPr>
          <w:rFonts w:eastAsiaTheme="minorEastAsia"/>
          <w:szCs w:val="26"/>
        </w:rPr>
        <w:t>restructur</w:t>
      </w:r>
      <w:r w:rsidR="006D0F1D">
        <w:rPr>
          <w:rFonts w:eastAsiaTheme="minorEastAsia"/>
          <w:szCs w:val="26"/>
        </w:rPr>
        <w:t>ing</w:t>
      </w:r>
      <w:r w:rsidR="005D32CB">
        <w:rPr>
          <w:rFonts w:eastAsiaTheme="minorEastAsia"/>
          <w:szCs w:val="26"/>
        </w:rPr>
        <w:t xml:space="preserve"> </w:t>
      </w:r>
      <w:r w:rsidR="00235038">
        <w:rPr>
          <w:rFonts w:eastAsiaTheme="minorEastAsia"/>
          <w:szCs w:val="26"/>
        </w:rPr>
        <w:t>proposal</w:t>
      </w:r>
      <w:r w:rsidR="000F2AE2">
        <w:rPr>
          <w:rFonts w:eastAsiaTheme="minorEastAsia"/>
          <w:szCs w:val="26"/>
        </w:rPr>
        <w:t>s</w:t>
      </w:r>
      <w:r w:rsidR="00235038">
        <w:rPr>
          <w:rFonts w:eastAsiaTheme="minorEastAsia"/>
          <w:szCs w:val="26"/>
        </w:rPr>
        <w:t>, the Commission considered key principles</w:t>
      </w:r>
      <w:r w:rsidR="000F2AE2">
        <w:rPr>
          <w:rFonts w:eastAsiaTheme="minorEastAsia"/>
          <w:szCs w:val="26"/>
        </w:rPr>
        <w:t xml:space="preserve"> that </w:t>
      </w:r>
      <w:r w:rsidR="00F1768C">
        <w:rPr>
          <w:rFonts w:eastAsiaTheme="minorEastAsia"/>
          <w:szCs w:val="26"/>
        </w:rPr>
        <w:t xml:space="preserve">address the concerns </w:t>
      </w:r>
      <w:r w:rsidR="00977734">
        <w:rPr>
          <w:rFonts w:eastAsiaTheme="minorEastAsia"/>
          <w:szCs w:val="26"/>
        </w:rPr>
        <w:t>regarding</w:t>
      </w:r>
      <w:r w:rsidR="00F1768C">
        <w:rPr>
          <w:rFonts w:eastAsiaTheme="minorEastAsia"/>
          <w:szCs w:val="26"/>
        </w:rPr>
        <w:t xml:space="preserve"> the current RA framework and the objectives </w:t>
      </w:r>
      <w:r w:rsidR="002C2F53">
        <w:rPr>
          <w:rFonts w:eastAsiaTheme="minorEastAsia"/>
          <w:szCs w:val="26"/>
        </w:rPr>
        <w:t xml:space="preserve">of </w:t>
      </w:r>
      <w:r w:rsidR="00A125E0">
        <w:rPr>
          <w:rFonts w:eastAsiaTheme="minorEastAsia"/>
          <w:szCs w:val="26"/>
        </w:rPr>
        <w:t>the</w:t>
      </w:r>
      <w:r w:rsidR="00F1768C">
        <w:rPr>
          <w:rFonts w:eastAsiaTheme="minorEastAsia"/>
          <w:szCs w:val="26"/>
        </w:rPr>
        <w:t xml:space="preserve"> RA </w:t>
      </w:r>
      <w:r w:rsidR="00F1768C">
        <w:rPr>
          <w:rFonts w:eastAsiaTheme="minorEastAsia"/>
          <w:szCs w:val="26"/>
        </w:rPr>
        <w:lastRenderedPageBreak/>
        <w:t>program, as set forth in Public Utilities (Pub. Util.) Code Section 380</w:t>
      </w:r>
      <w:r w:rsidR="006762A2">
        <w:rPr>
          <w:rFonts w:eastAsiaTheme="minorEastAsia"/>
          <w:szCs w:val="26"/>
        </w:rPr>
        <w:t>.  The principles are as follows:</w:t>
      </w:r>
    </w:p>
    <w:p w:rsidR="00D713D2" w:rsidP="00FD213B" w:rsidRDefault="00D16AE1" w14:paraId="73FC14C5" w14:textId="6CEFABAC">
      <w:pPr>
        <w:pStyle w:val="ListParagraph"/>
        <w:numPr>
          <w:ilvl w:val="0"/>
          <w:numId w:val="40"/>
        </w:numPr>
        <w:spacing w:after="120" w:line="240" w:lineRule="auto"/>
        <w:ind w:left="1267" w:right="1440" w:hanging="547"/>
        <w:contextualSpacing w:val="0"/>
      </w:pPr>
      <w:r w:rsidRPr="0058127A">
        <w:t>Principle 1:</w:t>
      </w:r>
      <w:r>
        <w:t xml:space="preserve"> </w:t>
      </w:r>
      <w:r w:rsidR="00790D90">
        <w:t>To b</w:t>
      </w:r>
      <w:r w:rsidR="000D61BF">
        <w:t xml:space="preserve">alance </w:t>
      </w:r>
      <w:r w:rsidR="00F06C62">
        <w:t xml:space="preserve">ensuring </w:t>
      </w:r>
      <w:r w:rsidR="000D61BF">
        <w:t>a reliable</w:t>
      </w:r>
      <w:r w:rsidRPr="000F2AE2" w:rsidR="000F2AE2">
        <w:t xml:space="preserve"> electrical grid</w:t>
      </w:r>
      <w:r w:rsidR="006D3677">
        <w:t xml:space="preserve"> </w:t>
      </w:r>
      <w:r w:rsidR="008C78C8">
        <w:t xml:space="preserve">with </w:t>
      </w:r>
      <w:r w:rsidR="002D3C17">
        <w:t>minimiz</w:t>
      </w:r>
      <w:r w:rsidR="008C78C8">
        <w:t>ing</w:t>
      </w:r>
      <w:r w:rsidR="002D3C17">
        <w:t xml:space="preserve"> costs to customers</w:t>
      </w:r>
      <w:r w:rsidR="006D3677">
        <w:t>.</w:t>
      </w:r>
    </w:p>
    <w:p w:rsidRPr="00D713D2" w:rsidR="00D713D2" w:rsidP="00FD213B" w:rsidRDefault="00D16AE1" w14:paraId="0E2F0035" w14:textId="43281B12">
      <w:pPr>
        <w:pStyle w:val="ListParagraph"/>
        <w:numPr>
          <w:ilvl w:val="0"/>
          <w:numId w:val="40"/>
        </w:numPr>
        <w:spacing w:after="120" w:line="240" w:lineRule="auto"/>
        <w:ind w:left="1267" w:right="1440" w:hanging="547"/>
        <w:contextualSpacing w:val="0"/>
      </w:pPr>
      <w:r w:rsidRPr="0058127A">
        <w:rPr>
          <w:rFonts w:eastAsia="Times New Roman" w:cs="Calibri"/>
          <w:color w:val="000000"/>
        </w:rPr>
        <w:t>Principle 2</w:t>
      </w:r>
      <w:r>
        <w:rPr>
          <w:rFonts w:eastAsia="Times New Roman" w:cs="Calibri"/>
          <w:color w:val="000000"/>
        </w:rPr>
        <w:t xml:space="preserve">: </w:t>
      </w:r>
      <w:r w:rsidR="00790D90">
        <w:rPr>
          <w:rFonts w:eastAsia="Times New Roman" w:cs="Calibri"/>
          <w:color w:val="000000"/>
        </w:rPr>
        <w:t>To</w:t>
      </w:r>
      <w:r w:rsidR="008C78C8">
        <w:rPr>
          <w:rFonts w:eastAsia="Times New Roman" w:cs="Calibri"/>
          <w:color w:val="000000"/>
        </w:rPr>
        <w:t xml:space="preserve"> balance</w:t>
      </w:r>
      <w:r w:rsidR="00790D90">
        <w:rPr>
          <w:rFonts w:eastAsia="Times New Roman" w:cs="Calibri"/>
          <w:color w:val="000000"/>
        </w:rPr>
        <w:t xml:space="preserve"> a</w:t>
      </w:r>
      <w:r>
        <w:rPr>
          <w:rFonts w:eastAsia="Times New Roman" w:cs="Calibri"/>
          <w:color w:val="000000"/>
        </w:rPr>
        <w:t>ddress</w:t>
      </w:r>
      <w:r w:rsidR="008C78C8">
        <w:rPr>
          <w:rFonts w:eastAsia="Times New Roman" w:cs="Calibri"/>
          <w:color w:val="000000"/>
        </w:rPr>
        <w:t>ing</w:t>
      </w:r>
      <w:r w:rsidRPr="000F2AE2" w:rsidR="000F2AE2">
        <w:rPr>
          <w:rFonts w:eastAsia="Times New Roman" w:cs="Calibri"/>
          <w:color w:val="000000"/>
        </w:rPr>
        <w:t xml:space="preserve"> hourly energy sufficiency </w:t>
      </w:r>
      <w:r w:rsidR="008C78C8">
        <w:rPr>
          <w:rFonts w:eastAsia="Times New Roman" w:cs="Calibri"/>
          <w:color w:val="000000"/>
        </w:rPr>
        <w:t>for</w:t>
      </w:r>
      <w:r w:rsidRPr="000F2AE2" w:rsidR="008C78C8">
        <w:rPr>
          <w:rFonts w:eastAsia="Times New Roman" w:cs="Calibri"/>
          <w:color w:val="000000"/>
        </w:rPr>
        <w:t xml:space="preserve"> </w:t>
      </w:r>
      <w:r w:rsidRPr="000F2AE2" w:rsidR="000F2AE2">
        <w:rPr>
          <w:rFonts w:eastAsia="Times New Roman" w:cs="Calibri"/>
          <w:color w:val="000000"/>
        </w:rPr>
        <w:t xml:space="preserve">reliable operations </w:t>
      </w:r>
      <w:r w:rsidR="008C78C8">
        <w:rPr>
          <w:rFonts w:eastAsia="Times New Roman" w:cs="Calibri"/>
          <w:color w:val="000000"/>
        </w:rPr>
        <w:t>with advancing California’s environmental goals</w:t>
      </w:r>
      <w:r>
        <w:rPr>
          <w:rFonts w:eastAsia="Times New Roman" w:cs="Calibri"/>
          <w:color w:val="000000"/>
        </w:rPr>
        <w:t>.</w:t>
      </w:r>
    </w:p>
    <w:p w:rsidR="00E52779" w:rsidP="00FD213B" w:rsidRDefault="00D16AE1" w14:paraId="5815D8FE" w14:textId="6A9BFA8E">
      <w:pPr>
        <w:pStyle w:val="ListParagraph"/>
        <w:numPr>
          <w:ilvl w:val="0"/>
          <w:numId w:val="40"/>
        </w:numPr>
        <w:spacing w:after="120" w:line="240" w:lineRule="auto"/>
        <w:ind w:left="1267" w:right="1440" w:hanging="547"/>
        <w:contextualSpacing w:val="0"/>
      </w:pPr>
      <w:r>
        <w:rPr>
          <w:rFonts w:eastAsia="Times New Roman" w:cs="Calibri"/>
          <w:color w:val="000000" w:themeColor="text1"/>
        </w:rPr>
        <w:t xml:space="preserve">Principle 3: </w:t>
      </w:r>
      <w:r w:rsidR="00790D90">
        <w:rPr>
          <w:rFonts w:eastAsia="Times New Roman" w:cs="Calibri"/>
          <w:color w:val="000000" w:themeColor="text1"/>
        </w:rPr>
        <w:t>To b</w:t>
      </w:r>
      <w:r>
        <w:rPr>
          <w:rFonts w:eastAsia="Times New Roman" w:cs="Calibri"/>
          <w:color w:val="000000" w:themeColor="text1"/>
        </w:rPr>
        <w:t>alance</w:t>
      </w:r>
      <w:r w:rsidRPr="000F2AE2" w:rsidR="000F2AE2">
        <w:rPr>
          <w:rFonts w:eastAsia="Times New Roman" w:cs="Calibri"/>
          <w:color w:val="000000" w:themeColor="text1"/>
        </w:rPr>
        <w:t xml:space="preserve"> granularity and precision in meeting hourly RA needs with a reasonable level of simplicity and transactability</w:t>
      </w:r>
      <w:r w:rsidR="008908F8">
        <w:rPr>
          <w:rFonts w:eastAsia="Times New Roman" w:cs="Calibri"/>
          <w:color w:val="000000" w:themeColor="text1"/>
        </w:rPr>
        <w:t>.</w:t>
      </w:r>
    </w:p>
    <w:p w:rsidRPr="000F05B0" w:rsidR="00D207B7" w:rsidP="00D207B7" w:rsidRDefault="00D16AE1" w14:paraId="40375864" w14:textId="7CE80C73">
      <w:pPr>
        <w:pStyle w:val="ListParagraph"/>
        <w:numPr>
          <w:ilvl w:val="0"/>
          <w:numId w:val="40"/>
        </w:numPr>
        <w:spacing w:after="120" w:line="240" w:lineRule="auto"/>
        <w:ind w:left="1267" w:right="1440" w:hanging="547"/>
        <w:contextualSpacing w:val="0"/>
      </w:pPr>
      <w:r>
        <w:rPr>
          <w:rFonts w:eastAsia="Times New Roman" w:cs="Calibri"/>
          <w:color w:val="000000" w:themeColor="text1"/>
        </w:rPr>
        <w:t xml:space="preserve">Principle 4: </w:t>
      </w:r>
      <w:r w:rsidR="00790D90">
        <w:rPr>
          <w:rFonts w:eastAsia="Times New Roman" w:cs="Calibri"/>
          <w:color w:val="000000" w:themeColor="text1"/>
        </w:rPr>
        <w:t>To be i</w:t>
      </w:r>
      <w:r w:rsidRPr="000F2AE2" w:rsidR="000F2AE2">
        <w:rPr>
          <w:rFonts w:eastAsia="Times New Roman" w:cs="Calibri"/>
          <w:color w:val="000000" w:themeColor="text1"/>
        </w:rPr>
        <w:t>mplementable in the near</w:t>
      </w:r>
      <w:r w:rsidR="000F2AE2">
        <w:rPr>
          <w:rFonts w:eastAsia="Times New Roman" w:cs="Calibri"/>
          <w:color w:val="000000" w:themeColor="text1"/>
        </w:rPr>
        <w:t xml:space="preserve">-term </w:t>
      </w:r>
      <w:r w:rsidRPr="000F2AE2" w:rsidR="000F2AE2">
        <w:rPr>
          <w:rFonts w:eastAsia="Times New Roman" w:cs="Calibri"/>
          <w:color w:val="000000" w:themeColor="text1"/>
        </w:rPr>
        <w:t>(</w:t>
      </w:r>
      <w:r w:rsidRPr="00DB2886" w:rsidR="00DB2886">
        <w:rPr>
          <w:rFonts w:eastAsia="Times New Roman" w:cs="Calibri"/>
          <w:i/>
          <w:iCs/>
          <w:color w:val="000000" w:themeColor="text1"/>
        </w:rPr>
        <w:t>e.g.</w:t>
      </w:r>
      <w:r w:rsidRPr="00FD213B" w:rsidR="000F2AE2">
        <w:rPr>
          <w:rFonts w:eastAsia="Times New Roman" w:cs="Calibri"/>
          <w:i/>
          <w:iCs/>
          <w:color w:val="000000" w:themeColor="text1"/>
        </w:rPr>
        <w:t>,</w:t>
      </w:r>
      <w:r w:rsidRPr="000F2AE2" w:rsidR="000F2AE2">
        <w:rPr>
          <w:rFonts w:eastAsia="Times New Roman" w:cs="Calibri"/>
          <w:color w:val="000000" w:themeColor="text1"/>
        </w:rPr>
        <w:t xml:space="preserve"> 2024)</w:t>
      </w:r>
      <w:r>
        <w:rPr>
          <w:rFonts w:eastAsia="Times New Roman" w:cs="Calibri"/>
          <w:color w:val="000000" w:themeColor="text1"/>
        </w:rPr>
        <w:t>.</w:t>
      </w:r>
    </w:p>
    <w:p w:rsidRPr="00A967F4" w:rsidR="00642734" w:rsidP="00D207B7" w:rsidRDefault="00642734" w14:paraId="6D328312" w14:textId="7E74D892">
      <w:pPr>
        <w:pStyle w:val="ListParagraph"/>
        <w:numPr>
          <w:ilvl w:val="0"/>
          <w:numId w:val="40"/>
        </w:numPr>
        <w:spacing w:after="120" w:line="240" w:lineRule="auto"/>
        <w:ind w:left="1267" w:right="1440" w:hanging="547"/>
        <w:contextualSpacing w:val="0"/>
      </w:pPr>
      <w:r>
        <w:rPr>
          <w:rFonts w:eastAsia="Times New Roman" w:cs="Calibri"/>
          <w:color w:val="000000" w:themeColor="text1"/>
        </w:rPr>
        <w:t>Principle 5: To be durable and adaptable to a changing electric grid.</w:t>
      </w:r>
    </w:p>
    <w:p w:rsidR="00961685" w:rsidP="00D20BA0" w:rsidRDefault="00C510C7" w14:paraId="089C12CA" w14:textId="038EC7C7">
      <w:r w:rsidRPr="00C510C7">
        <w:rPr>
          <w:b/>
          <w:bCs/>
        </w:rPr>
        <w:t>Principle 1</w:t>
      </w:r>
      <w:r w:rsidR="00D16AE1">
        <w:t xml:space="preserve"> </w:t>
      </w:r>
      <w:r w:rsidR="00192C31">
        <w:t>is</w:t>
      </w:r>
      <w:r w:rsidR="00D16AE1">
        <w:t xml:space="preserve"> </w:t>
      </w:r>
      <w:r>
        <w:t>the</w:t>
      </w:r>
      <w:r w:rsidR="006D3677">
        <w:t xml:space="preserve"> </w:t>
      </w:r>
      <w:r>
        <w:t>overarching concept that any RA framework must</w:t>
      </w:r>
      <w:r w:rsidR="00D16AE1">
        <w:t xml:space="preserve"> </w:t>
      </w:r>
      <w:r w:rsidRPr="000F2AE2" w:rsidR="00D16AE1">
        <w:t>balanc</w:t>
      </w:r>
      <w:r w:rsidR="00D16AE1">
        <w:t xml:space="preserve">e </w:t>
      </w:r>
      <w:r w:rsidR="00F1768C">
        <w:t xml:space="preserve">ensuring </w:t>
      </w:r>
      <w:r w:rsidR="00F136B7">
        <w:t xml:space="preserve">a reliable </w:t>
      </w:r>
      <w:r w:rsidR="00F1768C">
        <w:t xml:space="preserve">electrical </w:t>
      </w:r>
      <w:r w:rsidR="00D16AE1">
        <w:t>grid</w:t>
      </w:r>
      <w:r w:rsidRPr="000F2AE2" w:rsidR="00D16AE1">
        <w:t xml:space="preserve"> </w:t>
      </w:r>
      <w:r w:rsidR="008C78C8">
        <w:t>with</w:t>
      </w:r>
      <w:r w:rsidR="003307D7">
        <w:t xml:space="preserve"> </w:t>
      </w:r>
      <w:r w:rsidR="002661B6">
        <w:t>minimizing</w:t>
      </w:r>
      <w:r w:rsidRPr="000F2AE2" w:rsidR="00D16AE1">
        <w:t xml:space="preserve"> </w:t>
      </w:r>
      <w:r w:rsidRPr="00D16AE1" w:rsidR="00D16AE1">
        <w:t>cost</w:t>
      </w:r>
      <w:r w:rsidR="002661B6">
        <w:t>s</w:t>
      </w:r>
      <w:r w:rsidRPr="00D16AE1" w:rsidR="00D16AE1">
        <w:t xml:space="preserve"> to customers</w:t>
      </w:r>
      <w:r w:rsidR="008C78C8">
        <w:t>.</w:t>
      </w:r>
      <w:r w:rsidR="00D207B7">
        <w:t xml:space="preserve">  </w:t>
      </w:r>
      <w:r w:rsidR="00921EB6">
        <w:t>The Commission is concerned that</w:t>
      </w:r>
      <w:r w:rsidR="00D16AE1">
        <w:t xml:space="preserve"> </w:t>
      </w:r>
      <w:r w:rsidR="00921EB6">
        <w:t>under the</w:t>
      </w:r>
      <w:r w:rsidR="00D16AE1">
        <w:t xml:space="preserve"> </w:t>
      </w:r>
      <w:r w:rsidRPr="00A61B37" w:rsidR="00D16AE1">
        <w:t>current RA construct</w:t>
      </w:r>
      <w:r w:rsidR="00921EB6">
        <w:t xml:space="preserve">, </w:t>
      </w:r>
      <w:r w:rsidR="00D16AE1">
        <w:t xml:space="preserve">the value of </w:t>
      </w:r>
      <w:r w:rsidR="00921EB6">
        <w:t xml:space="preserve">an </w:t>
      </w:r>
      <w:r w:rsidR="00D16AE1">
        <w:t xml:space="preserve">RA resource does not </w:t>
      </w:r>
      <w:r w:rsidR="00EB693A">
        <w:t xml:space="preserve">necessarily </w:t>
      </w:r>
      <w:r w:rsidR="00D16AE1">
        <w:t xml:space="preserve">align with </w:t>
      </w:r>
      <w:r w:rsidR="00921EB6">
        <w:t xml:space="preserve">a </w:t>
      </w:r>
      <w:r w:rsidR="00D16AE1">
        <w:t>resource</w:t>
      </w:r>
      <w:r w:rsidR="00921EB6">
        <w:t>’</w:t>
      </w:r>
      <w:r w:rsidR="00D16AE1">
        <w:t>s energy bidding behavior</w:t>
      </w:r>
      <w:r w:rsidR="00004976">
        <w:t xml:space="preserve">, which could lead to </w:t>
      </w:r>
      <w:r w:rsidR="002D3C17">
        <w:t>additional</w:t>
      </w:r>
      <w:r w:rsidR="00004976">
        <w:t xml:space="preserve"> reliability costs to ratepayers</w:t>
      </w:r>
      <w:r w:rsidR="00EB693A">
        <w:t xml:space="preserve">.  This occurs in part </w:t>
      </w:r>
      <w:r w:rsidR="00F136B7">
        <w:t>because the</w:t>
      </w:r>
      <w:r w:rsidR="00D16AE1">
        <w:t xml:space="preserve"> </w:t>
      </w:r>
      <w:r w:rsidR="00EB693A">
        <w:t xml:space="preserve">RA </w:t>
      </w:r>
      <w:r w:rsidR="00B32919">
        <w:t>program assumes that</w:t>
      </w:r>
      <w:r w:rsidRPr="00A61B37" w:rsidR="00D16AE1">
        <w:t xml:space="preserve"> </w:t>
      </w:r>
      <w:r w:rsidR="00EB693A">
        <w:t xml:space="preserve">the </w:t>
      </w:r>
      <w:r w:rsidRPr="00A61B37" w:rsidR="00D16AE1">
        <w:t>CAISO market</w:t>
      </w:r>
      <w:r w:rsidR="00547BEE">
        <w:t xml:space="preserve">s are </w:t>
      </w:r>
      <w:proofErr w:type="gramStart"/>
      <w:r w:rsidR="00547BEE">
        <w:t>competitive</w:t>
      </w:r>
      <w:proofErr w:type="gramEnd"/>
      <w:r w:rsidRPr="00A61B37" w:rsidR="00D16AE1">
        <w:t xml:space="preserve"> and </w:t>
      </w:r>
      <w:r w:rsidR="00D16AE1">
        <w:t xml:space="preserve">that </w:t>
      </w:r>
      <w:r w:rsidRPr="00A61B37" w:rsidR="00D16AE1">
        <w:t xml:space="preserve">LSEs are incented to hedge </w:t>
      </w:r>
      <w:r w:rsidR="00B32919">
        <w:t xml:space="preserve">competitively </w:t>
      </w:r>
      <w:r w:rsidRPr="00A61B37" w:rsidR="00D16AE1">
        <w:t>for their customer load</w:t>
      </w:r>
      <w:r>
        <w:t xml:space="preserve">.  </w:t>
      </w:r>
      <w:r w:rsidR="00A44943">
        <w:t>However, t</w:t>
      </w:r>
      <w:r w:rsidR="00B32919">
        <w:t>he</w:t>
      </w:r>
      <w:r>
        <w:t xml:space="preserve"> </w:t>
      </w:r>
      <w:r w:rsidR="00D16AE1">
        <w:t>RA</w:t>
      </w:r>
      <w:r w:rsidRPr="00A61B37" w:rsidR="00D16AE1">
        <w:t xml:space="preserve"> </w:t>
      </w:r>
      <w:r w:rsidR="00D16AE1">
        <w:t>program</w:t>
      </w:r>
      <w:r w:rsidR="00B32919">
        <w:t xml:space="preserve"> </w:t>
      </w:r>
      <w:r w:rsidR="00A44943">
        <w:t>(</w:t>
      </w:r>
      <w:r w:rsidR="00B32919">
        <w:t>constructed</w:t>
      </w:r>
      <w:r w:rsidR="00D16AE1">
        <w:t xml:space="preserve"> </w:t>
      </w:r>
      <w:r w:rsidRPr="00A61B37" w:rsidR="00D16AE1">
        <w:t>after the 2000</w:t>
      </w:r>
      <w:r w:rsidR="00FF195C">
        <w:t xml:space="preserve"> </w:t>
      </w:r>
      <w:r w:rsidR="00D16AE1">
        <w:t xml:space="preserve">Western </w:t>
      </w:r>
      <w:r w:rsidRPr="00A61B37" w:rsidR="00D16AE1">
        <w:t>energy crisis</w:t>
      </w:r>
      <w:r w:rsidR="00A44943">
        <w:t>)</w:t>
      </w:r>
      <w:r w:rsidRPr="00A61B37" w:rsidR="00D16AE1">
        <w:t xml:space="preserve"> </w:t>
      </w:r>
      <w:r w:rsidR="00D16AE1">
        <w:t xml:space="preserve">did not </w:t>
      </w:r>
      <w:r w:rsidR="00003464">
        <w:t>account for</w:t>
      </w:r>
      <w:r w:rsidR="00D16AE1">
        <w:t xml:space="preserve"> </w:t>
      </w:r>
      <w:r w:rsidRPr="00A61B37" w:rsidR="00D16AE1">
        <w:t>the proliferation of retail choice</w:t>
      </w:r>
      <w:r w:rsidR="001A3032">
        <w:t xml:space="preserve"> </w:t>
      </w:r>
      <w:r w:rsidR="007F33E7">
        <w:t>or</w:t>
      </w:r>
      <w:r w:rsidRPr="00A61B37" w:rsidR="00D16AE1">
        <w:t xml:space="preserve"> the uncertainty associated with </w:t>
      </w:r>
      <w:r w:rsidR="00D16AE1">
        <w:t xml:space="preserve">the </w:t>
      </w:r>
      <w:r w:rsidRPr="00A61B37" w:rsidR="00D16AE1">
        <w:t>provider of last resor</w:t>
      </w:r>
      <w:r w:rsidR="00FF195C">
        <w:t>t</w:t>
      </w:r>
      <w:r w:rsidR="000564AB">
        <w:t>.</w:t>
      </w:r>
      <w:r w:rsidR="00FF195C">
        <w:t xml:space="preserve"> </w:t>
      </w:r>
      <w:r w:rsidR="000564AB">
        <w:t xml:space="preserve"> </w:t>
      </w:r>
      <w:r w:rsidR="00D207B7">
        <w:t>As further discussed above, t</w:t>
      </w:r>
      <w:r w:rsidR="000564AB">
        <w:t xml:space="preserve">his </w:t>
      </w:r>
      <w:r w:rsidR="00EB25CE">
        <w:t>ha</w:t>
      </w:r>
      <w:r w:rsidR="000564AB">
        <w:t>s</w:t>
      </w:r>
      <w:r w:rsidR="00FF195C">
        <w:t xml:space="preserve"> </w:t>
      </w:r>
      <w:r w:rsidR="007802A5">
        <w:t xml:space="preserve">resulted in </w:t>
      </w:r>
      <w:r w:rsidR="00FF195C">
        <w:t>a decline in</w:t>
      </w:r>
      <w:r w:rsidR="00547BEE">
        <w:t xml:space="preserve"> IOU-held</w:t>
      </w:r>
      <w:r w:rsidR="00FF195C">
        <w:t xml:space="preserve"> tolling contracts </w:t>
      </w:r>
      <w:r w:rsidR="00547BEE">
        <w:t xml:space="preserve">(which means fewer resources under least-cost dispatch requirements) </w:t>
      </w:r>
      <w:r w:rsidR="00FF195C">
        <w:t xml:space="preserve">as </w:t>
      </w:r>
      <w:r w:rsidR="007F33E7">
        <w:t xml:space="preserve">LSEs are uncertain as to whether they will </w:t>
      </w:r>
      <w:r w:rsidR="00FF195C">
        <w:t>serve</w:t>
      </w:r>
      <w:r w:rsidR="007F33E7">
        <w:t xml:space="preserve"> future load.  </w:t>
      </w:r>
      <w:r w:rsidR="002954AE">
        <w:t>In addition, other aspects of reliability costs to customers may contribute to increased costs.</w:t>
      </w:r>
    </w:p>
    <w:p w:rsidR="00324C95" w:rsidP="00324C95" w:rsidRDefault="007F33E7" w14:paraId="4C9F4241" w14:textId="765AD405">
      <w:r>
        <w:lastRenderedPageBreak/>
        <w:t>In addition</w:t>
      </w:r>
      <w:r w:rsidR="00D560E5">
        <w:t xml:space="preserve">, the </w:t>
      </w:r>
      <w:r>
        <w:t xml:space="preserve">tightening of supply </w:t>
      </w:r>
      <w:r w:rsidR="00E82F19">
        <w:t>in</w:t>
      </w:r>
      <w:r>
        <w:t xml:space="preserve"> the West and </w:t>
      </w:r>
      <w:r w:rsidRPr="00A61B37" w:rsidR="00D16AE1">
        <w:t xml:space="preserve">the </w:t>
      </w:r>
      <w:r w:rsidR="00E82F19">
        <w:t>lack</w:t>
      </w:r>
      <w:r w:rsidRPr="00A61B37" w:rsidR="00D16AE1">
        <w:t xml:space="preserve"> of adequate market power mitigation </w:t>
      </w:r>
      <w:r w:rsidR="00D16AE1">
        <w:t xml:space="preserve">measures </w:t>
      </w:r>
      <w:r w:rsidRPr="00A61B37" w:rsidR="00D16AE1">
        <w:t xml:space="preserve">in </w:t>
      </w:r>
      <w:r w:rsidR="00D16AE1">
        <w:t xml:space="preserve">the </w:t>
      </w:r>
      <w:r w:rsidRPr="00A61B37" w:rsidR="00D16AE1">
        <w:t>CAISO market</w:t>
      </w:r>
      <w:r w:rsidR="003378EF">
        <w:t xml:space="preserve"> </w:t>
      </w:r>
      <w:r>
        <w:t xml:space="preserve">has </w:t>
      </w:r>
      <w:r w:rsidR="00F136B7">
        <w:t xml:space="preserve">led </w:t>
      </w:r>
      <w:r w:rsidR="00B32919">
        <w:t xml:space="preserve">to instances where </w:t>
      </w:r>
      <w:r>
        <w:t>energy does not flow</w:t>
      </w:r>
      <w:r w:rsidR="00F808D3">
        <w:t>,</w:t>
      </w:r>
      <w:r>
        <w:t xml:space="preserve"> or curtailment of demand does not occur</w:t>
      </w:r>
      <w:r w:rsidR="00F808D3">
        <w:t>,</w:t>
      </w:r>
      <w:r>
        <w:t xml:space="preserve"> when needed, </w:t>
      </w:r>
      <w:r w:rsidR="00A71613">
        <w:t xml:space="preserve">which </w:t>
      </w:r>
      <w:r>
        <w:t>increas</w:t>
      </w:r>
      <w:r w:rsidR="00A71613">
        <w:t>es</w:t>
      </w:r>
      <w:r>
        <w:t xml:space="preserve"> </w:t>
      </w:r>
      <w:r w:rsidR="00F136B7">
        <w:t>cost</w:t>
      </w:r>
      <w:r w:rsidR="00B75099">
        <w:t>s</w:t>
      </w:r>
      <w:r w:rsidR="00F136B7">
        <w:t xml:space="preserve"> to </w:t>
      </w:r>
      <w:r w:rsidR="002551E2">
        <w:t>customers</w:t>
      </w:r>
      <w:r w:rsidR="00F136B7">
        <w:t xml:space="preserve">. </w:t>
      </w:r>
      <w:r w:rsidRPr="00A61B37" w:rsidR="00F136B7">
        <w:t xml:space="preserve"> </w:t>
      </w:r>
      <w:r w:rsidR="003D6C37">
        <w:t>Particularly given</w:t>
      </w:r>
      <w:r w:rsidR="003175DF">
        <w:t xml:space="preserve"> the </w:t>
      </w:r>
      <w:r w:rsidR="006D459D">
        <w:t xml:space="preserve">summer </w:t>
      </w:r>
      <w:r w:rsidR="003175DF">
        <w:t xml:space="preserve">2020 </w:t>
      </w:r>
      <w:r w:rsidR="00961685">
        <w:t>electricity outages</w:t>
      </w:r>
      <w:r w:rsidR="003175DF">
        <w:t xml:space="preserve"> and the reliance on import energy to serve California’s load, we</w:t>
      </w:r>
      <w:r w:rsidR="00D91C7E">
        <w:t xml:space="preserve"> </w:t>
      </w:r>
      <w:r w:rsidR="007771A2">
        <w:t>find</w:t>
      </w:r>
      <w:r w:rsidR="002661B6">
        <w:t xml:space="preserve"> it critical </w:t>
      </w:r>
      <w:r w:rsidR="00D91C7E">
        <w:t xml:space="preserve">that </w:t>
      </w:r>
      <w:r w:rsidR="00D16AE1">
        <w:t>a</w:t>
      </w:r>
      <w:r w:rsidRPr="00A61B37" w:rsidR="00D16AE1">
        <w:t xml:space="preserve"> future </w:t>
      </w:r>
      <w:r w:rsidR="00D16AE1">
        <w:t>framework</w:t>
      </w:r>
      <w:r w:rsidRPr="00A61B37" w:rsidR="00D16AE1">
        <w:t xml:space="preserve"> </w:t>
      </w:r>
      <w:r w:rsidR="00D91C7E">
        <w:t xml:space="preserve">include </w:t>
      </w:r>
      <w:r w:rsidRPr="00A61B37" w:rsidR="00D16AE1">
        <w:t xml:space="preserve">a component that links </w:t>
      </w:r>
      <w:r w:rsidR="006509ED">
        <w:t>RA</w:t>
      </w:r>
      <w:r w:rsidRPr="00A61B37" w:rsidR="006509ED">
        <w:t xml:space="preserve"> </w:t>
      </w:r>
      <w:r w:rsidR="006509ED">
        <w:t>to a resource’s</w:t>
      </w:r>
      <w:r w:rsidRPr="00A61B37" w:rsidR="00D16AE1">
        <w:t xml:space="preserve"> energy bidding behavior</w:t>
      </w:r>
      <w:r w:rsidR="00324C95">
        <w:t xml:space="preserve"> </w:t>
      </w:r>
      <w:proofErr w:type="gramStart"/>
      <w:r w:rsidR="006509ED">
        <w:t>so as to</w:t>
      </w:r>
      <w:proofErr w:type="gramEnd"/>
      <w:r w:rsidR="006509ED">
        <w:t xml:space="preserve"> </w:t>
      </w:r>
      <w:r w:rsidR="00324C95">
        <w:t xml:space="preserve">increase </w:t>
      </w:r>
      <w:r w:rsidR="000A2A89">
        <w:t xml:space="preserve">the </w:t>
      </w:r>
      <w:r w:rsidR="00324C95">
        <w:t>cost-effectiveness</w:t>
      </w:r>
      <w:r w:rsidR="000A2A89">
        <w:t xml:space="preserve"> of RA</w:t>
      </w:r>
      <w:r w:rsidR="003175DF">
        <w:t>.</w:t>
      </w:r>
    </w:p>
    <w:p w:rsidR="00A71613" w:rsidP="00A71613" w:rsidRDefault="00A1111D" w14:paraId="17A8363E" w14:textId="7BF78C07">
      <w:r w:rsidRPr="0058127A">
        <w:rPr>
          <w:rFonts w:eastAsia="Times New Roman" w:cs="Calibri"/>
          <w:b/>
          <w:bCs/>
          <w:color w:val="000000"/>
        </w:rPr>
        <w:t>Principle 2</w:t>
      </w:r>
      <w:r w:rsidR="00D74E00">
        <w:rPr>
          <w:rFonts w:eastAsia="Times New Roman" w:cs="Calibri"/>
          <w:b/>
          <w:bCs/>
          <w:color w:val="000000"/>
        </w:rPr>
        <w:t xml:space="preserve"> </w:t>
      </w:r>
      <w:r w:rsidR="00A71613">
        <w:rPr>
          <w:rFonts w:eastAsia="Times New Roman" w:cs="Calibri"/>
          <w:color w:val="000000"/>
        </w:rPr>
        <w:t>is the concept</w:t>
      </w:r>
      <w:r w:rsidR="008C78C8">
        <w:rPr>
          <w:rFonts w:eastAsia="Times New Roman" w:cs="Calibri"/>
          <w:color w:val="000000"/>
        </w:rPr>
        <w:t xml:space="preserve"> that any RA framework must balance the need for </w:t>
      </w:r>
      <w:r w:rsidRPr="00A1111D">
        <w:rPr>
          <w:rFonts w:eastAsia="Times New Roman" w:cs="Calibri"/>
          <w:color w:val="000000"/>
        </w:rPr>
        <w:t xml:space="preserve">hourly energy sufficiency </w:t>
      </w:r>
      <w:r>
        <w:rPr>
          <w:rFonts w:eastAsia="Times New Roman" w:cs="Calibri"/>
          <w:color w:val="000000"/>
        </w:rPr>
        <w:t>to ensure</w:t>
      </w:r>
      <w:r w:rsidRPr="00A1111D">
        <w:rPr>
          <w:rFonts w:eastAsia="Times New Roman" w:cs="Calibri"/>
          <w:color w:val="000000"/>
        </w:rPr>
        <w:t xml:space="preserve"> reliable operations </w:t>
      </w:r>
      <w:r w:rsidR="008C78C8">
        <w:rPr>
          <w:rFonts w:eastAsia="Times New Roman" w:cs="Calibri"/>
          <w:color w:val="000000"/>
        </w:rPr>
        <w:t xml:space="preserve">with </w:t>
      </w:r>
      <w:r w:rsidR="008C78C8">
        <w:t xml:space="preserve">advancing </w:t>
      </w:r>
      <w:r w:rsidRPr="006D3677" w:rsidR="008C78C8">
        <w:rPr>
          <w:rFonts w:eastAsia="Times New Roman" w:cs="Calibri"/>
          <w:color w:val="000000"/>
        </w:rPr>
        <w:t>California’s clean energy, greenhouse gas emission</w:t>
      </w:r>
      <w:r w:rsidR="008C78C8">
        <w:rPr>
          <w:rFonts w:eastAsia="Times New Roman" w:cs="Calibri"/>
          <w:color w:val="000000"/>
        </w:rPr>
        <w:t xml:space="preserve"> reduction</w:t>
      </w:r>
      <w:r w:rsidRPr="006D3677" w:rsidR="008C78C8">
        <w:rPr>
          <w:rFonts w:eastAsia="Times New Roman" w:cs="Calibri"/>
          <w:color w:val="000000"/>
        </w:rPr>
        <w:t>, and air pollution reduction goals</w:t>
      </w:r>
      <w:r w:rsidR="008C78C8">
        <w:rPr>
          <w:rFonts w:eastAsia="Times New Roman" w:cs="Calibri"/>
          <w:color w:val="000000"/>
        </w:rPr>
        <w:t xml:space="preserve">.  </w:t>
      </w:r>
      <w:r w:rsidR="008C78C8">
        <w:t xml:space="preserve">As California advances its clean energy goals through the directives mandated by Senate Bill (SB) 100 and SB 350, we recognize that the </w:t>
      </w:r>
      <w:r w:rsidRPr="00A61B37" w:rsidR="008C78C8">
        <w:t xml:space="preserve">current </w:t>
      </w:r>
      <w:r w:rsidR="008C78C8">
        <w:t xml:space="preserve">RA </w:t>
      </w:r>
      <w:r w:rsidRPr="00A61B37" w:rsidR="008C78C8">
        <w:t xml:space="preserve">MCC </w:t>
      </w:r>
      <w:r w:rsidR="008C78C8">
        <w:t>b</w:t>
      </w:r>
      <w:r w:rsidRPr="00A61B37" w:rsidR="008C78C8">
        <w:t>ucket construct, which aims to limit overreliance on use</w:t>
      </w:r>
      <w:r w:rsidR="007E1624">
        <w:noBreakHyphen/>
      </w:r>
      <w:r w:rsidRPr="00A61B37" w:rsidR="008C78C8">
        <w:t xml:space="preserve">limited resources, does not account for energy storage charging needs and is </w:t>
      </w:r>
      <w:r w:rsidR="008C78C8">
        <w:t>non-</w:t>
      </w:r>
      <w:r w:rsidRPr="00A61B37" w:rsidR="008C78C8">
        <w:t xml:space="preserve">binding </w:t>
      </w:r>
      <w:r w:rsidR="008C78C8">
        <w:t>on LSEs</w:t>
      </w:r>
      <w:r w:rsidRPr="00A61B37" w:rsidR="008C78C8">
        <w:t xml:space="preserve">. </w:t>
      </w:r>
      <w:r w:rsidR="008C78C8">
        <w:t xml:space="preserve"> With the growing penetration of renewable resources, the Commission seeks a framework that can better manage reliance on use-limited resources to meet reliability needs.</w:t>
      </w:r>
    </w:p>
    <w:p w:rsidR="00E23F5C" w:rsidP="00D20BA0" w:rsidRDefault="008C78C8" w14:paraId="6F044BB2" w14:textId="212A27F3">
      <w:r>
        <w:t>In addition, t</w:t>
      </w:r>
      <w:r w:rsidR="0089683E">
        <w:t xml:space="preserve">he current </w:t>
      </w:r>
      <w:r w:rsidR="00A71613">
        <w:t xml:space="preserve">RA </w:t>
      </w:r>
      <w:r w:rsidR="0089683E">
        <w:t xml:space="preserve">framework </w:t>
      </w:r>
      <w:r w:rsidR="009B23CE">
        <w:t>considers</w:t>
      </w:r>
      <w:r w:rsidR="0089683E">
        <w:t xml:space="preserve"> the monthly gross peak load </w:t>
      </w:r>
      <w:r w:rsidR="004E5896">
        <w:t>but</w:t>
      </w:r>
      <w:r w:rsidR="0089683E">
        <w:t xml:space="preserve"> </w:t>
      </w:r>
      <w:r w:rsidR="006509ED">
        <w:t xml:space="preserve">may </w:t>
      </w:r>
      <w:r w:rsidR="0089683E">
        <w:t xml:space="preserve">not address other hours of the day when load may still be high and variable resources provide little </w:t>
      </w:r>
      <w:r w:rsidR="009B23CE">
        <w:t>or</w:t>
      </w:r>
      <w:r w:rsidR="0089683E">
        <w:t xml:space="preserve"> no value.  </w:t>
      </w:r>
      <w:r w:rsidR="000A2A89">
        <w:t>T</w:t>
      </w:r>
      <w:r w:rsidR="0089683E">
        <w:t>he Commission seeks a framework that can ensure</w:t>
      </w:r>
      <w:r w:rsidR="00147A29">
        <w:t xml:space="preserve"> grid reliability based on the system’s ability to meet net peak demand and gross peak demand</w:t>
      </w:r>
      <w:r w:rsidR="00250B99">
        <w:t>.</w:t>
      </w:r>
      <w:r>
        <w:t xml:space="preserve">  </w:t>
      </w:r>
      <w:r>
        <w:rPr>
          <w:rFonts w:eastAsia="Times New Roman" w:cs="Calibri"/>
          <w:color w:val="000000"/>
        </w:rPr>
        <w:t xml:space="preserve">We recognize that </w:t>
      </w:r>
      <w:r w:rsidR="0058127A">
        <w:rPr>
          <w:rFonts w:eastAsia="Times New Roman" w:cs="Calibri"/>
          <w:color w:val="000000"/>
        </w:rPr>
        <w:t xml:space="preserve">there is some overlap between </w:t>
      </w:r>
      <w:r>
        <w:rPr>
          <w:rFonts w:eastAsia="Times New Roman" w:cs="Calibri"/>
          <w:color w:val="000000"/>
        </w:rPr>
        <w:t>Principle</w:t>
      </w:r>
      <w:r w:rsidR="0058127A">
        <w:rPr>
          <w:rFonts w:eastAsia="Times New Roman" w:cs="Calibri"/>
          <w:color w:val="000000"/>
        </w:rPr>
        <w:t>s 1 and</w:t>
      </w:r>
      <w:r>
        <w:rPr>
          <w:rFonts w:eastAsia="Times New Roman" w:cs="Calibri"/>
          <w:color w:val="000000"/>
        </w:rPr>
        <w:t xml:space="preserve"> 2 with regards to the need for a reliable grid.</w:t>
      </w:r>
      <w:r>
        <w:t xml:space="preserve">  </w:t>
      </w:r>
    </w:p>
    <w:p w:rsidR="00961685" w:rsidP="00961685" w:rsidRDefault="00645E3C" w14:paraId="55F1F6B7" w14:textId="74EF4F83">
      <w:pPr>
        <w:rPr>
          <w:rFonts w:eastAsia="Times New Roman" w:cs="Calibri"/>
          <w:color w:val="000000" w:themeColor="text1"/>
        </w:rPr>
      </w:pPr>
      <w:r w:rsidRPr="00645E3C">
        <w:t>Under</w:t>
      </w:r>
      <w:r>
        <w:rPr>
          <w:b/>
          <w:bCs/>
        </w:rPr>
        <w:t xml:space="preserve"> </w:t>
      </w:r>
      <w:r w:rsidRPr="00582338" w:rsidR="003034B3">
        <w:rPr>
          <w:b/>
          <w:bCs/>
        </w:rPr>
        <w:t xml:space="preserve">Principle </w:t>
      </w:r>
      <w:r w:rsidR="00582338">
        <w:rPr>
          <w:b/>
          <w:bCs/>
        </w:rPr>
        <w:t>3</w:t>
      </w:r>
      <w:r>
        <w:t xml:space="preserve">, the Commission recognizes the complexity of the current RA program, which </w:t>
      </w:r>
      <w:r w:rsidRPr="008908F8" w:rsidR="00582338">
        <w:rPr>
          <w:rFonts w:eastAsia="Times New Roman" w:cs="Calibri"/>
          <w:color w:val="000000" w:themeColor="text1"/>
        </w:rPr>
        <w:t>requires LSEs to submit</w:t>
      </w:r>
      <w:r w:rsidR="008908F8">
        <w:rPr>
          <w:rFonts w:eastAsia="Times New Roman" w:cs="Calibri"/>
          <w:color w:val="000000" w:themeColor="text1"/>
        </w:rPr>
        <w:t xml:space="preserve"> </w:t>
      </w:r>
      <w:r w:rsidRPr="008908F8" w:rsidR="00582338">
        <w:rPr>
          <w:rFonts w:eastAsia="Times New Roman" w:cs="Calibri"/>
          <w:color w:val="000000" w:themeColor="text1"/>
        </w:rPr>
        <w:t xml:space="preserve">both year-ahead and month-ahead RA filings </w:t>
      </w:r>
      <w:r w:rsidR="008908F8">
        <w:rPr>
          <w:rFonts w:eastAsia="Times New Roman" w:cs="Calibri"/>
          <w:color w:val="000000" w:themeColor="text1"/>
        </w:rPr>
        <w:t>to show</w:t>
      </w:r>
      <w:r w:rsidRPr="008908F8" w:rsidR="00582338">
        <w:rPr>
          <w:rFonts w:eastAsia="Times New Roman" w:cs="Calibri"/>
          <w:color w:val="000000" w:themeColor="text1"/>
        </w:rPr>
        <w:t xml:space="preserve"> compliance with system, local and flexible RA </w:t>
      </w:r>
      <w:r w:rsidRPr="008908F8" w:rsidR="00582338">
        <w:rPr>
          <w:rFonts w:eastAsia="Times New Roman" w:cs="Calibri"/>
          <w:color w:val="000000" w:themeColor="text1"/>
        </w:rPr>
        <w:lastRenderedPageBreak/>
        <w:t>obligations.  System obligations are also subject to the MCC bucket percentage limit</w:t>
      </w:r>
      <w:r w:rsidR="008908F8">
        <w:rPr>
          <w:rFonts w:eastAsia="Times New Roman" w:cs="Calibri"/>
          <w:color w:val="000000" w:themeColor="text1"/>
        </w:rPr>
        <w:t>s and in</w:t>
      </w:r>
      <w:r w:rsidRPr="008908F8" w:rsidR="00582338">
        <w:rPr>
          <w:rFonts w:eastAsia="Times New Roman" w:cs="Calibri"/>
          <w:color w:val="000000" w:themeColor="text1"/>
        </w:rPr>
        <w:t xml:space="preserve"> each filing, an LSE must designate an MCC bucket for each contracted resource</w:t>
      </w:r>
      <w:r>
        <w:rPr>
          <w:rFonts w:eastAsia="Times New Roman" w:cs="Calibri"/>
          <w:color w:val="000000" w:themeColor="text1"/>
        </w:rPr>
        <w:t xml:space="preserve"> and show </w:t>
      </w:r>
      <w:r w:rsidRPr="008908F8" w:rsidR="00582338">
        <w:rPr>
          <w:rFonts w:eastAsia="Times New Roman" w:cs="Calibri"/>
          <w:color w:val="000000" w:themeColor="text1"/>
        </w:rPr>
        <w:t>that the MCC bucket</w:t>
      </w:r>
      <w:r w:rsidR="00F853C5">
        <w:rPr>
          <w:rFonts w:eastAsia="Times New Roman" w:cs="Calibri"/>
          <w:color w:val="000000" w:themeColor="text1"/>
        </w:rPr>
        <w:t xml:space="preserve"> caps </w:t>
      </w:r>
      <w:r w:rsidRPr="008908F8" w:rsidR="00582338">
        <w:rPr>
          <w:rFonts w:eastAsia="Times New Roman" w:cs="Calibri"/>
          <w:color w:val="000000" w:themeColor="text1"/>
        </w:rPr>
        <w:t xml:space="preserve">were not exceeded. </w:t>
      </w:r>
      <w:r>
        <w:rPr>
          <w:rFonts w:eastAsia="Times New Roman" w:cs="Calibri"/>
          <w:color w:val="000000" w:themeColor="text1"/>
        </w:rPr>
        <w:t xml:space="preserve"> </w:t>
      </w:r>
      <w:r w:rsidR="002F5399">
        <w:rPr>
          <w:rFonts w:eastAsia="Times New Roman" w:cs="Calibri"/>
          <w:color w:val="000000" w:themeColor="text1"/>
        </w:rPr>
        <w:t>Further</w:t>
      </w:r>
      <w:r w:rsidRPr="008908F8" w:rsidR="00582338">
        <w:rPr>
          <w:rFonts w:eastAsia="Times New Roman" w:cs="Calibri"/>
          <w:color w:val="000000" w:themeColor="text1"/>
        </w:rPr>
        <w:t xml:space="preserve">, </w:t>
      </w:r>
      <w:r>
        <w:rPr>
          <w:rFonts w:eastAsia="Times New Roman" w:cs="Calibri"/>
          <w:color w:val="000000" w:themeColor="text1"/>
        </w:rPr>
        <w:t xml:space="preserve">CAISO </w:t>
      </w:r>
      <w:r w:rsidR="002F5399">
        <w:rPr>
          <w:rFonts w:eastAsia="Times New Roman" w:cs="Calibri"/>
          <w:color w:val="000000" w:themeColor="text1"/>
        </w:rPr>
        <w:t>S</w:t>
      </w:r>
      <w:r w:rsidRPr="008908F8" w:rsidR="00582338">
        <w:rPr>
          <w:rFonts w:eastAsia="Times New Roman" w:cs="Calibri"/>
          <w:color w:val="000000" w:themeColor="text1"/>
        </w:rPr>
        <w:t xml:space="preserve">upply </w:t>
      </w:r>
      <w:r w:rsidR="002F5399">
        <w:rPr>
          <w:rFonts w:eastAsia="Times New Roman" w:cs="Calibri"/>
          <w:color w:val="000000" w:themeColor="text1"/>
        </w:rPr>
        <w:t>P</w:t>
      </w:r>
      <w:r w:rsidRPr="008908F8" w:rsidR="00582338">
        <w:rPr>
          <w:rFonts w:eastAsia="Times New Roman" w:cs="Calibri"/>
          <w:color w:val="000000" w:themeColor="text1"/>
        </w:rPr>
        <w:t xml:space="preserve">lans only confirm </w:t>
      </w:r>
      <w:r w:rsidR="002F5399">
        <w:rPr>
          <w:rFonts w:eastAsia="Times New Roman" w:cs="Calibri"/>
          <w:color w:val="000000" w:themeColor="text1"/>
        </w:rPr>
        <w:t>an</w:t>
      </w:r>
      <w:r w:rsidRPr="008908F8" w:rsidR="00582338">
        <w:rPr>
          <w:rFonts w:eastAsia="Times New Roman" w:cs="Calibri"/>
          <w:color w:val="000000" w:themeColor="text1"/>
        </w:rPr>
        <w:t xml:space="preserve"> </w:t>
      </w:r>
      <w:r>
        <w:rPr>
          <w:rFonts w:eastAsia="Times New Roman" w:cs="Calibri"/>
          <w:color w:val="000000" w:themeColor="text1"/>
        </w:rPr>
        <w:t xml:space="preserve">LSE’s </w:t>
      </w:r>
      <w:r w:rsidRPr="008908F8" w:rsidR="00582338">
        <w:rPr>
          <w:rFonts w:eastAsia="Times New Roman" w:cs="Calibri"/>
          <w:color w:val="000000" w:themeColor="text1"/>
        </w:rPr>
        <w:t xml:space="preserve">resource </w:t>
      </w:r>
      <w:r>
        <w:rPr>
          <w:rFonts w:eastAsia="Times New Roman" w:cs="Calibri"/>
          <w:color w:val="000000" w:themeColor="text1"/>
        </w:rPr>
        <w:t>but do not confirm</w:t>
      </w:r>
      <w:r w:rsidRPr="008908F8" w:rsidR="00582338">
        <w:rPr>
          <w:rFonts w:eastAsia="Times New Roman" w:cs="Calibri"/>
          <w:color w:val="000000" w:themeColor="text1"/>
        </w:rPr>
        <w:t xml:space="preserve"> the </w:t>
      </w:r>
      <w:r w:rsidR="00E23F5C">
        <w:rPr>
          <w:rFonts w:eastAsia="Times New Roman" w:cs="Calibri"/>
          <w:color w:val="000000" w:themeColor="text1"/>
        </w:rPr>
        <w:t xml:space="preserve">designated </w:t>
      </w:r>
      <w:r w:rsidRPr="008908F8" w:rsidR="00582338">
        <w:rPr>
          <w:rFonts w:eastAsia="Times New Roman" w:cs="Calibri"/>
          <w:color w:val="000000" w:themeColor="text1"/>
        </w:rPr>
        <w:t>MCC bucket.</w:t>
      </w:r>
      <w:r>
        <w:rPr>
          <w:rFonts w:eastAsia="Times New Roman" w:cs="Calibri"/>
          <w:color w:val="000000" w:themeColor="text1"/>
        </w:rPr>
        <w:t xml:space="preserve">  </w:t>
      </w:r>
    </w:p>
    <w:p w:rsidRPr="00645E3C" w:rsidR="00A71613" w:rsidP="00D20BA0" w:rsidRDefault="00961685" w14:paraId="1B602408" w14:textId="4C92B685">
      <w:pPr>
        <w:rPr>
          <w:rFonts w:eastAsia="Times New Roman" w:cs="Calibri"/>
          <w:color w:val="000000" w:themeColor="text1"/>
        </w:rPr>
      </w:pPr>
      <w:r>
        <w:rPr>
          <w:rFonts w:eastAsia="Times New Roman" w:cs="Calibri"/>
          <w:color w:val="000000" w:themeColor="text1"/>
        </w:rPr>
        <w:t xml:space="preserve">A less complex framework will inherently result in ease of transactability and contracting, as comprehensible rules regarding need determination and resource counting will facilitate </w:t>
      </w:r>
      <w:r w:rsidRPr="004F6874">
        <w:rPr>
          <w:rFonts w:eastAsia="Times New Roman" w:cs="Calibri"/>
          <w:color w:val="000000" w:themeColor="text1"/>
        </w:rPr>
        <w:t xml:space="preserve">bilateral trading </w:t>
      </w:r>
      <w:r>
        <w:rPr>
          <w:rFonts w:eastAsia="Times New Roman" w:cs="Calibri"/>
          <w:color w:val="000000" w:themeColor="text1"/>
        </w:rPr>
        <w:t xml:space="preserve">and contracting of </w:t>
      </w:r>
      <w:r w:rsidRPr="004F6874">
        <w:rPr>
          <w:rFonts w:eastAsia="Times New Roman" w:cs="Calibri"/>
          <w:color w:val="000000" w:themeColor="text1"/>
        </w:rPr>
        <w:t>RA products</w:t>
      </w:r>
      <w:r>
        <w:rPr>
          <w:rFonts w:eastAsia="Times New Roman" w:cs="Calibri"/>
          <w:color w:val="000000" w:themeColor="text1"/>
        </w:rPr>
        <w:t xml:space="preserve"> and provide better certainty to allow for long-term contracting.  </w:t>
      </w:r>
      <w:r w:rsidR="00645E3C">
        <w:rPr>
          <w:rFonts w:eastAsia="Times New Roman" w:cs="Calibri"/>
          <w:color w:val="000000" w:themeColor="text1"/>
        </w:rPr>
        <w:t xml:space="preserve">We seek a framework that appropriately balances </w:t>
      </w:r>
      <w:r w:rsidRPr="00645E3C" w:rsidR="00645E3C">
        <w:rPr>
          <w:rFonts w:eastAsia="Times New Roman" w:cs="Calibri"/>
          <w:color w:val="000000" w:themeColor="text1"/>
        </w:rPr>
        <w:t xml:space="preserve">granularity </w:t>
      </w:r>
      <w:r w:rsidR="00E23F5C">
        <w:rPr>
          <w:rFonts w:eastAsia="Times New Roman" w:cs="Calibri"/>
          <w:color w:val="000000" w:themeColor="text1"/>
        </w:rPr>
        <w:t>of</w:t>
      </w:r>
      <w:r w:rsidRPr="00645E3C" w:rsidR="00E23F5C">
        <w:rPr>
          <w:rFonts w:eastAsia="Times New Roman" w:cs="Calibri"/>
          <w:color w:val="000000" w:themeColor="text1"/>
        </w:rPr>
        <w:t xml:space="preserve"> </w:t>
      </w:r>
      <w:r w:rsidR="00645E3C">
        <w:rPr>
          <w:rFonts w:eastAsia="Times New Roman" w:cs="Calibri"/>
          <w:color w:val="000000" w:themeColor="text1"/>
        </w:rPr>
        <w:t>meet</w:t>
      </w:r>
      <w:r w:rsidR="00E23F5C">
        <w:rPr>
          <w:rFonts w:eastAsia="Times New Roman" w:cs="Calibri"/>
          <w:color w:val="000000" w:themeColor="text1"/>
        </w:rPr>
        <w:t>ing</w:t>
      </w:r>
      <w:r w:rsidRPr="00645E3C" w:rsidR="00645E3C">
        <w:rPr>
          <w:rFonts w:eastAsia="Times New Roman" w:cs="Calibri"/>
          <w:color w:val="000000" w:themeColor="text1"/>
        </w:rPr>
        <w:t xml:space="preserve"> hourly RA needs with a reasonable level of simplicity and transactability</w:t>
      </w:r>
      <w:r w:rsidR="002F5399">
        <w:rPr>
          <w:rFonts w:eastAsia="Times New Roman" w:cs="Calibri"/>
          <w:color w:val="000000" w:themeColor="text1"/>
        </w:rPr>
        <w:t xml:space="preserve"> to minimize the complexity of the RA program.</w:t>
      </w:r>
      <w:r w:rsidR="00C010DF">
        <w:rPr>
          <w:rFonts w:eastAsia="Times New Roman" w:cs="Calibri"/>
          <w:color w:val="000000" w:themeColor="text1"/>
        </w:rPr>
        <w:t xml:space="preserve">  </w:t>
      </w:r>
    </w:p>
    <w:p w:rsidR="00E52779" w:rsidP="00E52779" w:rsidRDefault="000A2A89" w14:paraId="24A0FA39" w14:textId="10618765">
      <w:pPr>
        <w:rPr>
          <w:rFonts w:eastAsia="Times New Roman" w:cs="Calibri"/>
          <w:color w:val="000000" w:themeColor="text1"/>
        </w:rPr>
      </w:pPr>
      <w:r>
        <w:t>Under</w:t>
      </w:r>
      <w:r w:rsidR="00C74C33">
        <w:rPr>
          <w:b/>
          <w:bCs/>
        </w:rPr>
        <w:t xml:space="preserve"> </w:t>
      </w:r>
      <w:r w:rsidRPr="00812FB6" w:rsidR="00812FB6">
        <w:rPr>
          <w:b/>
          <w:bCs/>
        </w:rPr>
        <w:t xml:space="preserve">Principle </w:t>
      </w:r>
      <w:r w:rsidR="00C74C33">
        <w:rPr>
          <w:b/>
          <w:bCs/>
        </w:rPr>
        <w:t xml:space="preserve">4, </w:t>
      </w:r>
      <w:r w:rsidR="00C74C33">
        <w:t>t</w:t>
      </w:r>
      <w:r w:rsidRPr="00812FB6" w:rsidR="00812FB6">
        <w:rPr>
          <w:rFonts w:eastAsia="Times New Roman" w:cs="Calibri"/>
          <w:color w:val="000000" w:themeColor="text1"/>
        </w:rPr>
        <w:t>he current year</w:t>
      </w:r>
      <w:r w:rsidR="00812FB6">
        <w:rPr>
          <w:rFonts w:eastAsia="Times New Roman" w:cs="Calibri"/>
          <w:color w:val="000000" w:themeColor="text1"/>
        </w:rPr>
        <w:t>-</w:t>
      </w:r>
      <w:r w:rsidRPr="00812FB6" w:rsidR="00812FB6">
        <w:rPr>
          <w:rFonts w:eastAsia="Times New Roman" w:cs="Calibri"/>
          <w:color w:val="000000" w:themeColor="text1"/>
        </w:rPr>
        <w:t xml:space="preserve">ahead RA process requires LSEs </w:t>
      </w:r>
      <w:r w:rsidR="00F96E55">
        <w:rPr>
          <w:rFonts w:eastAsia="Times New Roman" w:cs="Calibri"/>
          <w:color w:val="000000" w:themeColor="text1"/>
        </w:rPr>
        <w:t xml:space="preserve">to </w:t>
      </w:r>
      <w:r w:rsidRPr="00812FB6" w:rsidR="00812FB6">
        <w:rPr>
          <w:rFonts w:eastAsia="Times New Roman" w:cs="Calibri"/>
          <w:color w:val="000000" w:themeColor="text1"/>
        </w:rPr>
        <w:t>submit historical load data in March and initial load forecasts in April the year prior to serving load (</w:t>
      </w:r>
      <w:r w:rsidRPr="00DB2886" w:rsidR="00DB2886">
        <w:rPr>
          <w:rFonts w:eastAsia="Times New Roman" w:cs="Calibri"/>
          <w:i/>
          <w:iCs/>
          <w:color w:val="000000" w:themeColor="text1"/>
        </w:rPr>
        <w:t>e.g.</w:t>
      </w:r>
      <w:r w:rsidRPr="00812FB6" w:rsidR="00812FB6">
        <w:rPr>
          <w:rFonts w:eastAsia="Times New Roman" w:cs="Calibri"/>
          <w:color w:val="000000" w:themeColor="text1"/>
        </w:rPr>
        <w:t>, for 2023 compliance, LSEs submit load forecast</w:t>
      </w:r>
      <w:r w:rsidR="00F0385D">
        <w:rPr>
          <w:rFonts w:eastAsia="Times New Roman" w:cs="Calibri"/>
          <w:color w:val="000000" w:themeColor="text1"/>
        </w:rPr>
        <w:t>s</w:t>
      </w:r>
      <w:r w:rsidRPr="00812FB6" w:rsidR="00812FB6">
        <w:rPr>
          <w:rFonts w:eastAsia="Times New Roman" w:cs="Calibri"/>
          <w:color w:val="000000" w:themeColor="text1"/>
        </w:rPr>
        <w:t xml:space="preserve"> in April 2022).  </w:t>
      </w:r>
      <w:r w:rsidR="00A342FC">
        <w:rPr>
          <w:rFonts w:eastAsia="Times New Roman" w:cs="Calibri"/>
          <w:color w:val="000000" w:themeColor="text1"/>
        </w:rPr>
        <w:t>The</w:t>
      </w:r>
      <w:r w:rsidRPr="00812FB6" w:rsidR="00812FB6">
        <w:rPr>
          <w:rFonts w:eastAsia="Times New Roman" w:cs="Calibri"/>
          <w:color w:val="000000" w:themeColor="text1"/>
        </w:rPr>
        <w:t xml:space="preserve"> data is </w:t>
      </w:r>
      <w:r w:rsidR="00C74C33">
        <w:rPr>
          <w:rFonts w:eastAsia="Times New Roman" w:cs="Calibri"/>
          <w:color w:val="000000" w:themeColor="text1"/>
        </w:rPr>
        <w:t xml:space="preserve">then </w:t>
      </w:r>
      <w:r w:rsidRPr="00812FB6" w:rsidR="00812FB6">
        <w:rPr>
          <w:rFonts w:eastAsia="Times New Roman" w:cs="Calibri"/>
          <w:color w:val="000000" w:themeColor="text1"/>
        </w:rPr>
        <w:t xml:space="preserve">evaluated by the CEC and the </w:t>
      </w:r>
      <w:r w:rsidR="00C74C33">
        <w:rPr>
          <w:rFonts w:eastAsia="Times New Roman" w:cs="Calibri"/>
          <w:color w:val="000000" w:themeColor="text1"/>
        </w:rPr>
        <w:t>Commission</w:t>
      </w:r>
      <w:r w:rsidRPr="00812FB6" w:rsidR="00812FB6">
        <w:rPr>
          <w:rFonts w:eastAsia="Times New Roman" w:cs="Calibri"/>
          <w:color w:val="000000" w:themeColor="text1"/>
        </w:rPr>
        <w:t xml:space="preserve"> through </w:t>
      </w:r>
      <w:r w:rsidR="00A342FC">
        <w:rPr>
          <w:rFonts w:eastAsia="Times New Roman" w:cs="Calibri"/>
          <w:color w:val="000000" w:themeColor="text1"/>
        </w:rPr>
        <w:t>a</w:t>
      </w:r>
      <w:r w:rsidRPr="00812FB6" w:rsidR="00812FB6">
        <w:rPr>
          <w:rFonts w:eastAsia="Times New Roman" w:cs="Calibri"/>
          <w:color w:val="000000" w:themeColor="text1"/>
        </w:rPr>
        <w:t xml:space="preserve"> load forecast adjustment methodology.</w:t>
      </w:r>
      <w:r w:rsidR="003D536B">
        <w:rPr>
          <w:rStyle w:val="FootnoteReference"/>
          <w:rFonts w:eastAsia="Times New Roman" w:cs="Calibri"/>
          <w:color w:val="000000" w:themeColor="text1"/>
        </w:rPr>
        <w:footnoteReference w:id="42"/>
      </w:r>
      <w:r w:rsidRPr="00812FB6" w:rsidR="00812FB6">
        <w:rPr>
          <w:rFonts w:eastAsia="Times New Roman" w:cs="Calibri"/>
          <w:color w:val="000000" w:themeColor="text1"/>
        </w:rPr>
        <w:t xml:space="preserve">  </w:t>
      </w:r>
      <w:r w:rsidR="000A6256">
        <w:rPr>
          <w:rFonts w:eastAsia="Times New Roman" w:cs="Calibri"/>
          <w:color w:val="000000" w:themeColor="text1"/>
        </w:rPr>
        <w:t>Based on</w:t>
      </w:r>
      <w:r w:rsidRPr="00812FB6" w:rsidR="00812FB6">
        <w:rPr>
          <w:rFonts w:eastAsia="Times New Roman" w:cs="Calibri"/>
          <w:color w:val="000000" w:themeColor="text1"/>
        </w:rPr>
        <w:t xml:space="preserve"> this timing, it </w:t>
      </w:r>
      <w:r w:rsidR="00A342FC">
        <w:rPr>
          <w:rFonts w:eastAsia="Times New Roman" w:cs="Calibri"/>
          <w:color w:val="000000" w:themeColor="text1"/>
        </w:rPr>
        <w:t>is not</w:t>
      </w:r>
      <w:r w:rsidRPr="00812FB6" w:rsidR="00812FB6">
        <w:rPr>
          <w:rFonts w:eastAsia="Times New Roman" w:cs="Calibri"/>
          <w:color w:val="000000" w:themeColor="text1"/>
        </w:rPr>
        <w:t xml:space="preserve"> possible to implement a new RA framework for the 2023 compliance </w:t>
      </w:r>
      <w:proofErr w:type="gramStart"/>
      <w:r w:rsidRPr="00812FB6" w:rsidR="00812FB6">
        <w:rPr>
          <w:rFonts w:eastAsia="Times New Roman" w:cs="Calibri"/>
          <w:color w:val="000000" w:themeColor="text1"/>
        </w:rPr>
        <w:t>year</w:t>
      </w:r>
      <w:proofErr w:type="gramEnd"/>
      <w:r w:rsidR="00725751">
        <w:rPr>
          <w:rFonts w:eastAsia="Times New Roman" w:cs="Calibri"/>
          <w:color w:val="000000" w:themeColor="text1"/>
        </w:rPr>
        <w:t xml:space="preserve"> but it may be possible </w:t>
      </w:r>
      <w:r w:rsidRPr="00812FB6" w:rsidR="00812FB6">
        <w:rPr>
          <w:rFonts w:eastAsia="Times New Roman" w:cs="Calibri"/>
          <w:color w:val="000000" w:themeColor="text1"/>
        </w:rPr>
        <w:t xml:space="preserve">to </w:t>
      </w:r>
      <w:r w:rsidR="00C74C33">
        <w:rPr>
          <w:rFonts w:eastAsia="Times New Roman" w:cs="Calibri"/>
          <w:color w:val="000000" w:themeColor="text1"/>
        </w:rPr>
        <w:t>adopt a new framework</w:t>
      </w:r>
      <w:r w:rsidRPr="00812FB6" w:rsidR="00812FB6">
        <w:rPr>
          <w:rFonts w:eastAsia="Times New Roman" w:cs="Calibri"/>
          <w:color w:val="000000" w:themeColor="text1"/>
        </w:rPr>
        <w:t xml:space="preserve"> in </w:t>
      </w:r>
      <w:r w:rsidR="00EF6655">
        <w:rPr>
          <w:rFonts w:eastAsia="Times New Roman" w:cs="Calibri"/>
          <w:color w:val="000000" w:themeColor="text1"/>
        </w:rPr>
        <w:t>2022</w:t>
      </w:r>
      <w:r w:rsidRPr="00812FB6" w:rsidR="00812FB6">
        <w:rPr>
          <w:rFonts w:eastAsia="Times New Roman" w:cs="Calibri"/>
          <w:color w:val="000000" w:themeColor="text1"/>
        </w:rPr>
        <w:t xml:space="preserve"> </w:t>
      </w:r>
      <w:r w:rsidR="00C74C33">
        <w:rPr>
          <w:rFonts w:eastAsia="Times New Roman" w:cs="Calibri"/>
          <w:color w:val="000000" w:themeColor="text1"/>
        </w:rPr>
        <w:t xml:space="preserve">to begin implementation </w:t>
      </w:r>
      <w:r w:rsidR="00C97433">
        <w:rPr>
          <w:rFonts w:eastAsia="Times New Roman" w:cs="Calibri"/>
          <w:color w:val="000000" w:themeColor="text1"/>
        </w:rPr>
        <w:t xml:space="preserve">in 2023 </w:t>
      </w:r>
      <w:r w:rsidR="00C74C33">
        <w:rPr>
          <w:rFonts w:eastAsia="Times New Roman" w:cs="Calibri"/>
          <w:color w:val="000000" w:themeColor="text1"/>
        </w:rPr>
        <w:t>for the 2024 RA</w:t>
      </w:r>
      <w:r w:rsidRPr="00812FB6" w:rsidR="00812FB6">
        <w:rPr>
          <w:rFonts w:eastAsia="Times New Roman" w:cs="Calibri"/>
          <w:color w:val="000000" w:themeColor="text1"/>
        </w:rPr>
        <w:t xml:space="preserve"> compliance year.  </w:t>
      </w:r>
      <w:r w:rsidR="002E662C">
        <w:rPr>
          <w:rFonts w:eastAsia="Times New Roman" w:cs="Calibri"/>
          <w:color w:val="000000" w:themeColor="text1"/>
        </w:rPr>
        <w:t>The</w:t>
      </w:r>
      <w:r w:rsidR="00C74C33">
        <w:rPr>
          <w:rFonts w:eastAsia="Times New Roman" w:cs="Calibri"/>
          <w:color w:val="000000" w:themeColor="text1"/>
        </w:rPr>
        <w:t xml:space="preserve"> Commission seeks a framework that</w:t>
      </w:r>
      <w:r w:rsidRPr="00812FB6" w:rsidR="00812FB6">
        <w:rPr>
          <w:rFonts w:eastAsia="Times New Roman" w:cs="Calibri"/>
          <w:color w:val="000000" w:themeColor="text1"/>
        </w:rPr>
        <w:t xml:space="preserve"> could be implemented in this timeframe.</w:t>
      </w:r>
    </w:p>
    <w:p w:rsidR="001B2846" w:rsidP="00E52779" w:rsidRDefault="00A410DD" w14:paraId="0893ECB6" w14:textId="16A99FC1">
      <w:pPr>
        <w:rPr>
          <w:rFonts w:eastAsia="Times New Roman" w:cs="Calibri"/>
          <w:color w:val="000000" w:themeColor="text1"/>
        </w:rPr>
      </w:pPr>
      <w:r>
        <w:rPr>
          <w:rFonts w:eastAsia="Times New Roman" w:cs="Calibri"/>
          <w:color w:val="000000" w:themeColor="text1"/>
        </w:rPr>
        <w:t>Under</w:t>
      </w:r>
      <w:r w:rsidR="001B2846">
        <w:rPr>
          <w:rFonts w:eastAsia="Times New Roman" w:cs="Calibri"/>
          <w:color w:val="000000" w:themeColor="text1"/>
        </w:rPr>
        <w:t xml:space="preserve"> </w:t>
      </w:r>
      <w:r w:rsidRPr="00642734" w:rsidR="001B2846">
        <w:rPr>
          <w:rFonts w:eastAsia="Times New Roman" w:cs="Calibri"/>
          <w:b/>
          <w:bCs/>
          <w:color w:val="000000" w:themeColor="text1"/>
        </w:rPr>
        <w:t>Principle 5</w:t>
      </w:r>
      <w:r w:rsidR="001B2846">
        <w:rPr>
          <w:rFonts w:eastAsia="Times New Roman" w:cs="Calibri"/>
          <w:color w:val="000000" w:themeColor="text1"/>
        </w:rPr>
        <w:t xml:space="preserve">, </w:t>
      </w:r>
      <w:r w:rsidR="00642734">
        <w:rPr>
          <w:rFonts w:eastAsia="Times New Roman" w:cs="Calibri"/>
          <w:color w:val="000000" w:themeColor="text1"/>
        </w:rPr>
        <w:t xml:space="preserve">the Commission seeks a future RA framework that may be durable and adaptable to a changing electric grid.  </w:t>
      </w:r>
    </w:p>
    <w:p w:rsidR="0088294F" w:rsidP="0088294F" w:rsidRDefault="00E52779" w14:paraId="365E1A09" w14:textId="4AC7467B">
      <w:pPr>
        <w:rPr>
          <w:rFonts w:eastAsia="Times New Roman" w:cs="Calibri"/>
          <w:color w:val="000000"/>
        </w:rPr>
      </w:pPr>
      <w:r>
        <w:rPr>
          <w:rFonts w:eastAsia="Times New Roman" w:cs="Calibri"/>
          <w:color w:val="000000"/>
        </w:rPr>
        <w:t>With these principles in mind, we consider the restructur</w:t>
      </w:r>
      <w:r w:rsidR="00625AA8">
        <w:rPr>
          <w:rFonts w:eastAsia="Times New Roman" w:cs="Calibri"/>
          <w:color w:val="000000"/>
        </w:rPr>
        <w:t>ing</w:t>
      </w:r>
      <w:r>
        <w:rPr>
          <w:rFonts w:eastAsia="Times New Roman" w:cs="Calibri"/>
          <w:color w:val="000000"/>
        </w:rPr>
        <w:t xml:space="preserve"> proposals.</w:t>
      </w:r>
    </w:p>
    <w:p w:rsidR="002031D3" w:rsidP="002031D3" w:rsidRDefault="002031D3" w14:paraId="7F4F4ABF" w14:textId="3B0AD630">
      <w:pPr>
        <w:pStyle w:val="Heading2"/>
      </w:pPr>
      <w:bookmarkStart w:name="_Toc74206123" w:id="31"/>
      <w:r w:rsidRPr="008C4DD7">
        <w:lastRenderedPageBreak/>
        <w:t>Principle</w:t>
      </w:r>
      <w:r>
        <w:t xml:space="preserve"> 1</w:t>
      </w:r>
      <w:r w:rsidR="007B4152">
        <w:t xml:space="preserve">: </w:t>
      </w:r>
      <w:r w:rsidR="00EE1D7A">
        <w:t xml:space="preserve">Balance a </w:t>
      </w:r>
      <w:r>
        <w:t>R</w:t>
      </w:r>
      <w:r w:rsidRPr="000F2AE2">
        <w:t xml:space="preserve">eliable </w:t>
      </w:r>
      <w:r>
        <w:t>E</w:t>
      </w:r>
      <w:r w:rsidRPr="000F2AE2">
        <w:t xml:space="preserve">lectrical </w:t>
      </w:r>
      <w:r>
        <w:t>G</w:t>
      </w:r>
      <w:r w:rsidRPr="000F2AE2">
        <w:t>rid</w:t>
      </w:r>
      <w:r w:rsidR="00EE1D7A">
        <w:t xml:space="preserve"> </w:t>
      </w:r>
      <w:r w:rsidR="0088294F">
        <w:t>with</w:t>
      </w:r>
      <w:r w:rsidR="00F06C62">
        <w:t xml:space="preserve"> </w:t>
      </w:r>
      <w:r w:rsidR="003307D7">
        <w:t>Minimiz</w:t>
      </w:r>
      <w:r w:rsidR="0088294F">
        <w:t>ing</w:t>
      </w:r>
      <w:r w:rsidR="003307D7">
        <w:t xml:space="preserve"> Costs </w:t>
      </w:r>
      <w:r w:rsidR="00EE1D7A">
        <w:t>to Customers</w:t>
      </w:r>
      <w:bookmarkEnd w:id="31"/>
      <w:r w:rsidR="00837321">
        <w:t xml:space="preserve"> </w:t>
      </w:r>
    </w:p>
    <w:p w:rsidR="00650574" w:rsidP="00002383" w:rsidRDefault="00C14CFC" w14:paraId="70379AB8" w14:textId="085E03D9">
      <w:r>
        <w:t xml:space="preserve">The Commission considers </w:t>
      </w:r>
      <w:r w:rsidR="00002383">
        <w:t>which</w:t>
      </w:r>
      <w:r>
        <w:t xml:space="preserve"> proposals </w:t>
      </w:r>
      <w:r w:rsidR="00002383">
        <w:t xml:space="preserve">best </w:t>
      </w:r>
      <w:r>
        <w:t xml:space="preserve">address </w:t>
      </w:r>
      <w:r w:rsidR="00D766C0">
        <w:t xml:space="preserve">a </w:t>
      </w:r>
      <w:r w:rsidRPr="0058127A" w:rsidR="00837321">
        <w:t>reliab</w:t>
      </w:r>
      <w:r w:rsidRPr="0058127A" w:rsidR="00D766C0">
        <w:t>le</w:t>
      </w:r>
      <w:r w:rsidRPr="0058127A" w:rsidR="00837321">
        <w:t xml:space="preserve"> </w:t>
      </w:r>
      <w:r w:rsidRPr="0058127A" w:rsidR="00D766C0">
        <w:t>electrical grid</w:t>
      </w:r>
      <w:r w:rsidR="00D766C0">
        <w:t xml:space="preserve"> </w:t>
      </w:r>
      <w:r w:rsidR="006509ED">
        <w:t>that minimizes costs to customers</w:t>
      </w:r>
      <w:r w:rsidRPr="00A61B37" w:rsidR="00A61B37">
        <w:t xml:space="preserve">. </w:t>
      </w:r>
      <w:r w:rsidR="00A70D28">
        <w:t xml:space="preserve"> </w:t>
      </w:r>
      <w:r w:rsidR="008D171B">
        <w:t>The Commission finds that</w:t>
      </w:r>
      <w:r w:rsidRPr="00A61B37" w:rsidR="008D171B">
        <w:t xml:space="preserve"> </w:t>
      </w:r>
      <w:proofErr w:type="gramStart"/>
      <w:r w:rsidRPr="00A61B37" w:rsidR="008D171B">
        <w:t xml:space="preserve">all </w:t>
      </w:r>
      <w:r w:rsidR="008D171B">
        <w:t>of</w:t>
      </w:r>
      <w:proofErr w:type="gramEnd"/>
      <w:r w:rsidR="008D171B">
        <w:t xml:space="preserve"> </w:t>
      </w:r>
      <w:r w:rsidRPr="00A61B37" w:rsidR="008D171B">
        <w:t xml:space="preserve">the </w:t>
      </w:r>
      <w:r w:rsidR="008D171B">
        <w:t xml:space="preserve">restructuring </w:t>
      </w:r>
      <w:r w:rsidRPr="00A61B37" w:rsidR="008D171B">
        <w:t xml:space="preserve">proposals </w:t>
      </w:r>
      <w:r w:rsidR="008D171B">
        <w:t>are designed</w:t>
      </w:r>
      <w:r w:rsidRPr="00A61B37" w:rsidR="008D171B">
        <w:t xml:space="preserve"> to </w:t>
      </w:r>
      <w:r w:rsidR="008D171B">
        <w:t>enhance the current RA framework and ensure</w:t>
      </w:r>
      <w:r w:rsidRPr="0058127A" w:rsidR="008D171B">
        <w:t xml:space="preserve"> a reliable electrical grid</w:t>
      </w:r>
      <w:r w:rsidR="008D171B">
        <w:t xml:space="preserve">.  </w:t>
      </w:r>
    </w:p>
    <w:p w:rsidRPr="00A61B37" w:rsidR="00A71613" w:rsidP="00D20BA0" w:rsidRDefault="00A70D28" w14:paraId="031453A7" w14:textId="6DC63568">
      <w:r>
        <w:t xml:space="preserve">PG&amp;E’s </w:t>
      </w:r>
      <w:r w:rsidRPr="00A61B37" w:rsidR="00A61B37">
        <w:t xml:space="preserve">proposal </w:t>
      </w:r>
      <w:r w:rsidR="00002383">
        <w:t>provides that</w:t>
      </w:r>
      <w:r w:rsidRPr="00A61B37" w:rsidR="00A61B37">
        <w:t xml:space="preserve"> </w:t>
      </w:r>
      <w:r w:rsidR="00E4257D">
        <w:t xml:space="preserve">a </w:t>
      </w:r>
      <w:r w:rsidR="00002383">
        <w:t xml:space="preserve">resource </w:t>
      </w:r>
      <w:r w:rsidRPr="00A61B37" w:rsidR="00A61B37">
        <w:t xml:space="preserve">can only </w:t>
      </w:r>
      <w:r w:rsidR="00002383">
        <w:t>meet a slice-of-day</w:t>
      </w:r>
      <w:r w:rsidRPr="00A61B37" w:rsidR="00A61B37">
        <w:t xml:space="preserve"> </w:t>
      </w:r>
      <w:r w:rsidR="00002383">
        <w:t xml:space="preserve">if </w:t>
      </w:r>
      <w:r w:rsidR="00E4257D">
        <w:t xml:space="preserve">it </w:t>
      </w:r>
      <w:proofErr w:type="gramStart"/>
      <w:r w:rsidR="00E4257D">
        <w:t xml:space="preserve">is </w:t>
      </w:r>
      <w:r w:rsidRPr="00A61B37" w:rsidR="00A61B37">
        <w:t>capable of providing</w:t>
      </w:r>
      <w:proofErr w:type="gramEnd"/>
      <w:r w:rsidRPr="00A61B37" w:rsidR="00A61B37">
        <w:t xml:space="preserve"> energy across that specific slice. </w:t>
      </w:r>
      <w:r>
        <w:t xml:space="preserve"> </w:t>
      </w:r>
      <w:r w:rsidR="00B5078D">
        <w:t>SCE/</w:t>
      </w:r>
      <w:proofErr w:type="spellStart"/>
      <w:r w:rsidR="00B5078D">
        <w:t>CalCCA</w:t>
      </w:r>
      <w:r w:rsidR="006F5982">
        <w:t>’s</w:t>
      </w:r>
      <w:proofErr w:type="spellEnd"/>
      <w:r w:rsidRPr="00A61B37" w:rsidR="00A61B37">
        <w:t xml:space="preserve"> proposal </w:t>
      </w:r>
      <w:r w:rsidR="004C6B6F">
        <w:t>would add</w:t>
      </w:r>
      <w:r w:rsidRPr="00A61B37" w:rsidR="00A61B37">
        <w:t xml:space="preserve"> an NQE requirement </w:t>
      </w:r>
      <w:r w:rsidR="004C6B6F">
        <w:t>to the RA program</w:t>
      </w:r>
      <w:r w:rsidR="00DB432A">
        <w:t xml:space="preserve"> and</w:t>
      </w:r>
      <w:r w:rsidR="004C6B6F">
        <w:t xml:space="preserve"> resources would receive a monthly NQE value </w:t>
      </w:r>
      <w:r w:rsidRPr="00A61B37" w:rsidR="00A61B37">
        <w:t xml:space="preserve">based on the amount of energy they </w:t>
      </w:r>
      <w:proofErr w:type="gramStart"/>
      <w:r w:rsidR="00824907">
        <w:t xml:space="preserve">are capable of </w:t>
      </w:r>
      <w:r w:rsidRPr="00A61B37" w:rsidR="00A61B37">
        <w:t>produc</w:t>
      </w:r>
      <w:r w:rsidR="00824907">
        <w:t>ing</w:t>
      </w:r>
      <w:proofErr w:type="gramEnd"/>
      <w:r w:rsidR="00146D6F">
        <w:t xml:space="preserve"> over the month</w:t>
      </w:r>
      <w:r w:rsidRPr="00A61B37" w:rsidR="00A61B37">
        <w:t xml:space="preserve">. </w:t>
      </w:r>
      <w:r>
        <w:t xml:space="preserve"> </w:t>
      </w:r>
      <w:r w:rsidRPr="00A61B37" w:rsidR="00A61B37">
        <w:t xml:space="preserve">The SFPFC proposal </w:t>
      </w:r>
      <w:r w:rsidR="00A126C9">
        <w:t>changes</w:t>
      </w:r>
      <w:r w:rsidRPr="00A61B37" w:rsidR="00A61B37">
        <w:t xml:space="preserve"> the current RA product to an hourly financial hedge that </w:t>
      </w:r>
      <w:r w:rsidR="00A126C9">
        <w:t xml:space="preserve">would </w:t>
      </w:r>
      <w:r w:rsidRPr="00A61B37" w:rsidR="00A61B37">
        <w:t>incent generators to minimize the cost of supplying the forw</w:t>
      </w:r>
      <w:r w:rsidR="00A126C9">
        <w:t>a</w:t>
      </w:r>
      <w:r w:rsidRPr="00A61B37" w:rsidR="00A61B37">
        <w:t>rd contract quantity of energy.</w:t>
      </w:r>
      <w:r w:rsidR="00383DFA">
        <w:t xml:space="preserve">  </w:t>
      </w:r>
      <w:r w:rsidRPr="00DC4B02" w:rsidR="00704FCF">
        <w:rPr>
          <w:szCs w:val="26"/>
        </w:rPr>
        <w:t>The SFPFC pushes the risk of meeting real-time demand on to suppliers</w:t>
      </w:r>
      <w:r w:rsidR="00704FCF">
        <w:rPr>
          <w:szCs w:val="26"/>
        </w:rPr>
        <w:t xml:space="preserve"> and </w:t>
      </w:r>
      <w:r w:rsidRPr="00DC4B02" w:rsidR="00704FCF">
        <w:rPr>
          <w:szCs w:val="26"/>
        </w:rPr>
        <w:t>aims to incent cross</w:t>
      </w:r>
      <w:r w:rsidR="00704FCF">
        <w:rPr>
          <w:szCs w:val="26"/>
        </w:rPr>
        <w:t>-</w:t>
      </w:r>
      <w:r w:rsidRPr="00DC4B02" w:rsidR="00704FCF">
        <w:rPr>
          <w:szCs w:val="26"/>
        </w:rPr>
        <w:t>hedging between technologies to arrive at a least</w:t>
      </w:r>
      <w:r w:rsidR="00704FCF">
        <w:rPr>
          <w:szCs w:val="26"/>
        </w:rPr>
        <w:t>-</w:t>
      </w:r>
      <w:r w:rsidRPr="00DC4B02" w:rsidR="00704FCF">
        <w:rPr>
          <w:szCs w:val="26"/>
        </w:rPr>
        <w:t>cost solution to meet hourly demand.</w:t>
      </w:r>
      <w:r w:rsidR="00704FCF">
        <w:rPr>
          <w:szCs w:val="26"/>
        </w:rPr>
        <w:t xml:space="preserve">  </w:t>
      </w:r>
      <w:r w:rsidR="00E23F5C">
        <w:t>SDG&amp;E’s proposal would require LSEs to meet a fixed load requirement using only resources available 24 x 7, and a dynamic load requirement using availability</w:t>
      </w:r>
      <w:r w:rsidR="006966C5">
        <w:t>-</w:t>
      </w:r>
      <w:r w:rsidR="00E23F5C">
        <w:t xml:space="preserve">limited resources that are valued using a slice multiplier </w:t>
      </w:r>
      <w:r w:rsidR="006966C5">
        <w:t>to</w:t>
      </w:r>
      <w:r w:rsidR="00E23F5C">
        <w:t xml:space="preserve"> calculate a resource</w:t>
      </w:r>
      <w:r w:rsidR="006966C5">
        <w:t>’</w:t>
      </w:r>
      <w:r w:rsidR="00E23F5C">
        <w:t>s value based on number of slices</w:t>
      </w:r>
      <w:r w:rsidR="006966C5">
        <w:t>-</w:t>
      </w:r>
      <w:r w:rsidR="00E23F5C">
        <w:t>of</w:t>
      </w:r>
      <w:r w:rsidR="006966C5">
        <w:t>-</w:t>
      </w:r>
      <w:r w:rsidR="00E23F5C">
        <w:t xml:space="preserve">day </w:t>
      </w:r>
      <w:r w:rsidR="006966C5">
        <w:t>a</w:t>
      </w:r>
      <w:r w:rsidR="00E23F5C">
        <w:t xml:space="preserve"> resource is available to provide energy. </w:t>
      </w:r>
      <w:r w:rsidR="006966C5">
        <w:t xml:space="preserve"> </w:t>
      </w:r>
    </w:p>
    <w:p w:rsidRPr="00A61B37" w:rsidR="00A61B37" w:rsidP="005D1020" w:rsidRDefault="008D171B" w14:paraId="768CF473" w14:textId="6F905BD0">
      <w:r>
        <w:t xml:space="preserve">While </w:t>
      </w:r>
      <w:proofErr w:type="gramStart"/>
      <w:r>
        <w:t>all of</w:t>
      </w:r>
      <w:proofErr w:type="gramEnd"/>
      <w:r>
        <w:t xml:space="preserve"> the proposals are intended to enhance the current RA framework</w:t>
      </w:r>
      <w:r w:rsidR="0058127A">
        <w:t xml:space="preserve">, the SFPFC framework is the only restructuring proposal that attempts to </w:t>
      </w:r>
      <w:r>
        <w:t>link RA to energy bidding behavior (so as to provide reliability while minimizing costs to customers).  The SFPFC framework</w:t>
      </w:r>
      <w:r w:rsidR="0058127A">
        <w:t xml:space="preserve"> adds a financial hedging product that is supported by physical resources with confirmed energy to meet the quantity of the SFPFC.  PG&amp;E’s hedging proposal</w:t>
      </w:r>
      <w:r w:rsidR="00A71613">
        <w:t>s</w:t>
      </w:r>
      <w:r w:rsidR="0058127A">
        <w:t xml:space="preserve"> and Energy Division’s bid </w:t>
      </w:r>
      <w:r w:rsidR="0058127A">
        <w:lastRenderedPageBreak/>
        <w:t xml:space="preserve">cap </w:t>
      </w:r>
      <w:proofErr w:type="gramStart"/>
      <w:r w:rsidR="0058127A">
        <w:t>proposal</w:t>
      </w:r>
      <w:proofErr w:type="gramEnd"/>
      <w:r w:rsidR="0058127A">
        <w:t xml:space="preserve"> also attempt to link capacity to energy bidding behavior and to ensure that the RA value is transferred to the energy markets.  We recognize that one of the hedging component proposals could be added to one of the restructuring proposals to address this concern</w:t>
      </w:r>
      <w:r w:rsidR="00A71613">
        <w:t xml:space="preserve"> as well</w:t>
      </w:r>
      <w:r w:rsidR="0058127A">
        <w:t xml:space="preserve">.  </w:t>
      </w:r>
    </w:p>
    <w:p w:rsidRPr="00E8642B" w:rsidR="0088294F" w:rsidP="0088294F" w:rsidRDefault="00DC4B02" w14:paraId="2BB08911" w14:textId="5EAB506E">
      <w:pPr>
        <w:pStyle w:val="Heading2"/>
        <w:rPr>
          <w:rFonts w:eastAsia="Times New Roman"/>
          <w:bCs/>
          <w:color w:val="000000"/>
        </w:rPr>
      </w:pPr>
      <w:bookmarkStart w:name="_Toc74206124" w:id="32"/>
      <w:r w:rsidRPr="00DC4B02">
        <w:t>Principle 2</w:t>
      </w:r>
      <w:r w:rsidR="00ED1D86">
        <w:t>:</w:t>
      </w:r>
      <w:r w:rsidRPr="00DC4B02">
        <w:t xml:space="preserve">  </w:t>
      </w:r>
      <w:r w:rsidR="0088294F">
        <w:t xml:space="preserve">Balance </w:t>
      </w:r>
      <w:r w:rsidRPr="00DC4B02" w:rsidR="00B7574C">
        <w:rPr>
          <w:rFonts w:eastAsia="Times New Roman"/>
          <w:bCs/>
          <w:color w:val="000000"/>
        </w:rPr>
        <w:t>Address</w:t>
      </w:r>
      <w:r w:rsidR="0088294F">
        <w:rPr>
          <w:rFonts w:eastAsia="Times New Roman"/>
          <w:bCs/>
          <w:color w:val="000000"/>
        </w:rPr>
        <w:t>ing</w:t>
      </w:r>
      <w:r w:rsidRPr="00DC4B02" w:rsidR="00B7574C">
        <w:rPr>
          <w:rFonts w:eastAsia="Times New Roman"/>
          <w:bCs/>
          <w:color w:val="000000"/>
        </w:rPr>
        <w:t xml:space="preserve"> </w:t>
      </w:r>
      <w:r>
        <w:rPr>
          <w:rFonts w:eastAsia="Times New Roman"/>
          <w:bCs/>
          <w:color w:val="000000"/>
        </w:rPr>
        <w:t>H</w:t>
      </w:r>
      <w:r w:rsidRPr="00DC4B02" w:rsidR="00B7574C">
        <w:rPr>
          <w:rFonts w:eastAsia="Times New Roman"/>
          <w:bCs/>
          <w:color w:val="000000"/>
        </w:rPr>
        <w:t xml:space="preserve">ourly </w:t>
      </w:r>
      <w:r>
        <w:rPr>
          <w:rFonts w:eastAsia="Times New Roman"/>
          <w:bCs/>
          <w:color w:val="000000"/>
        </w:rPr>
        <w:t>E</w:t>
      </w:r>
      <w:r w:rsidRPr="00DC4B02" w:rsidR="00B7574C">
        <w:rPr>
          <w:rFonts w:eastAsia="Times New Roman"/>
          <w:bCs/>
          <w:color w:val="000000"/>
        </w:rPr>
        <w:t xml:space="preserve">nergy </w:t>
      </w:r>
      <w:r>
        <w:rPr>
          <w:rFonts w:eastAsia="Times New Roman"/>
          <w:bCs/>
          <w:color w:val="000000"/>
        </w:rPr>
        <w:t>S</w:t>
      </w:r>
      <w:r w:rsidRPr="00DC4B02" w:rsidR="00B7574C">
        <w:rPr>
          <w:rFonts w:eastAsia="Times New Roman"/>
          <w:bCs/>
          <w:color w:val="000000"/>
        </w:rPr>
        <w:t xml:space="preserve">ufficiency </w:t>
      </w:r>
      <w:r w:rsidR="0088294F">
        <w:rPr>
          <w:rFonts w:eastAsia="Times New Roman"/>
          <w:bCs/>
          <w:color w:val="000000"/>
        </w:rPr>
        <w:t>with Advancing Environmental Goals</w:t>
      </w:r>
      <w:bookmarkEnd w:id="32"/>
    </w:p>
    <w:p w:rsidR="00A71613" w:rsidP="00A71613" w:rsidRDefault="00D766C0" w14:paraId="507CF20D" w14:textId="789ED588">
      <w:pPr>
        <w:rPr>
          <w:szCs w:val="26"/>
        </w:rPr>
      </w:pPr>
      <w:r>
        <w:t>The Commission considers which proposals best address hourly energy sufficiency given the</w:t>
      </w:r>
      <w:r w:rsidRPr="00A61B37">
        <w:t xml:space="preserve"> </w:t>
      </w:r>
      <w:r>
        <w:t>increasing</w:t>
      </w:r>
      <w:r w:rsidRPr="00A61B37">
        <w:t xml:space="preserve"> penetration of renewable</w:t>
      </w:r>
      <w:r>
        <w:t xml:space="preserve"> resources driven by the State’s environmental policy goals (</w:t>
      </w:r>
      <w:r w:rsidRPr="00DB2886" w:rsidR="00DB2886">
        <w:rPr>
          <w:i/>
          <w:iCs/>
        </w:rPr>
        <w:t>e.g.</w:t>
      </w:r>
      <w:r w:rsidRPr="007E1624">
        <w:rPr>
          <w:i/>
          <w:iCs/>
        </w:rPr>
        <w:t>,</w:t>
      </w:r>
      <w:r>
        <w:t xml:space="preserve"> </w:t>
      </w:r>
      <w:r w:rsidR="008D171B">
        <w:t>SB</w:t>
      </w:r>
      <w:r>
        <w:t xml:space="preserve"> 100, </w:t>
      </w:r>
      <w:r w:rsidR="008D171B">
        <w:t>SB</w:t>
      </w:r>
      <w:r>
        <w:t xml:space="preserve"> 350).</w:t>
      </w:r>
    </w:p>
    <w:p w:rsidR="005D1020" w:rsidP="005D1020" w:rsidRDefault="00C515AA" w14:paraId="51977962" w14:textId="77777777">
      <w:r>
        <w:rPr>
          <w:szCs w:val="26"/>
        </w:rPr>
        <w:t>SCE/</w:t>
      </w:r>
      <w:proofErr w:type="spellStart"/>
      <w:r>
        <w:rPr>
          <w:szCs w:val="26"/>
        </w:rPr>
        <w:t>CalCCA’s</w:t>
      </w:r>
      <w:proofErr w:type="spellEnd"/>
      <w:r w:rsidRPr="00DC4B02" w:rsidR="00B7574C">
        <w:rPr>
          <w:szCs w:val="26"/>
        </w:rPr>
        <w:t xml:space="preserve"> proposal attempts to address hourly energy sufficiency by adding an NQE requirement that </w:t>
      </w:r>
      <w:r w:rsidRPr="00DC4B02" w:rsidR="00B7574C">
        <w:rPr>
          <w:rFonts w:eastAsia="Times New Roman" w:cs="Times New Roman"/>
          <w:color w:val="000000" w:themeColor="text1"/>
          <w:szCs w:val="26"/>
        </w:rPr>
        <w:t xml:space="preserve">would require verification that </w:t>
      </w:r>
      <w:r w:rsidR="00613C3B">
        <w:rPr>
          <w:rFonts w:eastAsia="Times New Roman" w:cs="Times New Roman"/>
          <w:color w:val="000000" w:themeColor="text1"/>
          <w:szCs w:val="26"/>
        </w:rPr>
        <w:t>an</w:t>
      </w:r>
      <w:r w:rsidRPr="00DC4B02" w:rsidR="00B7574C">
        <w:rPr>
          <w:rFonts w:eastAsia="Times New Roman" w:cs="Times New Roman"/>
          <w:color w:val="000000" w:themeColor="text1"/>
          <w:szCs w:val="26"/>
        </w:rPr>
        <w:t xml:space="preserve"> LSE’s portfolio has sufficient energy to meet both its hourly load and storage charging needs. </w:t>
      </w:r>
      <w:r w:rsidR="00DC4B02">
        <w:rPr>
          <w:rFonts w:eastAsia="Times New Roman" w:cs="Times New Roman"/>
          <w:color w:val="000000" w:themeColor="text1"/>
          <w:szCs w:val="26"/>
        </w:rPr>
        <w:t xml:space="preserve"> </w:t>
      </w:r>
      <w:r w:rsidRPr="00DC4B02" w:rsidR="00B7574C">
        <w:rPr>
          <w:szCs w:val="26"/>
        </w:rPr>
        <w:t xml:space="preserve">This may help ensure that LSEs have sufficient energy in all hours of each month to meet their load. </w:t>
      </w:r>
      <w:r w:rsidR="00DC4B02">
        <w:rPr>
          <w:szCs w:val="26"/>
        </w:rPr>
        <w:t xml:space="preserve"> </w:t>
      </w:r>
      <w:r w:rsidRPr="00A61B37" w:rsidR="00704FCF">
        <w:t xml:space="preserve">Variable energy resources would be accounted for (and valued) by netting their hourly projected production off the hourly load forecast to establish a net load forecast used to set both NQC and NQE requirements.  Energy storage charging needs </w:t>
      </w:r>
      <w:r w:rsidR="00704FCF">
        <w:t>would be</w:t>
      </w:r>
      <w:r w:rsidRPr="00A61B37" w:rsidR="00704FCF">
        <w:t xml:space="preserve"> addressed </w:t>
      </w:r>
      <w:r w:rsidR="00704FCF">
        <w:t>by</w:t>
      </w:r>
      <w:r w:rsidRPr="00A61B37" w:rsidR="00704FCF">
        <w:t xml:space="preserve"> </w:t>
      </w:r>
      <w:r w:rsidR="00704FCF">
        <w:t>requiring LSEs that use energy storage to meet their net loads to show there is enough excess energy available from their shown RA portfolio to charge the storage resources</w:t>
      </w:r>
      <w:r w:rsidRPr="00A61B37" w:rsidR="00704FCF">
        <w:t xml:space="preserve">.  </w:t>
      </w:r>
    </w:p>
    <w:p w:rsidR="007813DD" w:rsidP="00D20BA0" w:rsidRDefault="00B7574C" w14:paraId="40F09FEC" w14:textId="34D30765">
      <w:pPr>
        <w:rPr>
          <w:szCs w:val="26"/>
        </w:rPr>
      </w:pPr>
      <w:r w:rsidRPr="00DC4B02">
        <w:rPr>
          <w:szCs w:val="26"/>
        </w:rPr>
        <w:t>PG</w:t>
      </w:r>
      <w:r w:rsidR="00DC4B02">
        <w:rPr>
          <w:szCs w:val="26"/>
        </w:rPr>
        <w:t>&amp;E’s</w:t>
      </w:r>
      <w:r w:rsidRPr="00DC4B02">
        <w:rPr>
          <w:szCs w:val="26"/>
        </w:rPr>
        <w:t xml:space="preserve"> slice-of-day attempts to address energy sufficiency by breaking an LSEs’ load into seasonal requirement</w:t>
      </w:r>
      <w:r w:rsidR="006038B6">
        <w:rPr>
          <w:szCs w:val="26"/>
        </w:rPr>
        <w:t>s</w:t>
      </w:r>
      <w:r w:rsidRPr="00DC4B02">
        <w:rPr>
          <w:szCs w:val="26"/>
        </w:rPr>
        <w:t xml:space="preserve"> across a peak 24-hour period for each season and using an exceedance</w:t>
      </w:r>
      <w:r w:rsidR="00DC4B02">
        <w:rPr>
          <w:szCs w:val="26"/>
        </w:rPr>
        <w:t>-</w:t>
      </w:r>
      <w:r w:rsidRPr="00DC4B02">
        <w:rPr>
          <w:szCs w:val="26"/>
        </w:rPr>
        <w:t>based methodology to value resources across each slice</w:t>
      </w:r>
      <w:r w:rsidR="001B56F5">
        <w:rPr>
          <w:szCs w:val="26"/>
        </w:rPr>
        <w:t>-</w:t>
      </w:r>
      <w:r w:rsidRPr="00DC4B02">
        <w:rPr>
          <w:szCs w:val="26"/>
        </w:rPr>
        <w:t>of</w:t>
      </w:r>
      <w:r w:rsidR="001B56F5">
        <w:rPr>
          <w:szCs w:val="26"/>
        </w:rPr>
        <w:t>-</w:t>
      </w:r>
      <w:r w:rsidRPr="00DC4B02">
        <w:rPr>
          <w:szCs w:val="26"/>
        </w:rPr>
        <w:t xml:space="preserve">day and season. </w:t>
      </w:r>
      <w:r w:rsidR="00DC4B02">
        <w:rPr>
          <w:szCs w:val="26"/>
        </w:rPr>
        <w:t xml:space="preserve"> </w:t>
      </w:r>
      <w:r w:rsidRPr="00DC4B02">
        <w:rPr>
          <w:szCs w:val="26"/>
        </w:rPr>
        <w:t xml:space="preserve">PG&amp;E proposes to establish a structure that accounts for capacity to meet energy storage charging needs </w:t>
      </w:r>
      <w:r w:rsidR="00704FCF">
        <w:t xml:space="preserve">by requiring LSEs to include additional capacity in another slice to account for storage charging. </w:t>
      </w:r>
      <w:r w:rsidRPr="00A61B37" w:rsidR="00704FCF">
        <w:t xml:space="preserve"> </w:t>
      </w:r>
      <w:r w:rsidRPr="00A61B37" w:rsidR="00704FCF">
        <w:lastRenderedPageBreak/>
        <w:t>PG&amp;E also proposes that all resources</w:t>
      </w:r>
      <w:r w:rsidR="00704FCF">
        <w:t xml:space="preserve"> (except for energy storage and imports) be</w:t>
      </w:r>
      <w:r w:rsidRPr="00A61B37" w:rsidR="00704FCF">
        <w:t xml:space="preserve"> valued based on an exceedance methodology across each slice</w:t>
      </w:r>
      <w:r w:rsidR="00704FCF">
        <w:t>, or a</w:t>
      </w:r>
      <w:r w:rsidRPr="00A61B37" w:rsidR="00704FCF">
        <w:t xml:space="preserve">lternatively, using a net load forecast that would net forecasted wind and solar production from the hourly load forecast. </w:t>
      </w:r>
      <w:r w:rsidR="00704FCF">
        <w:t xml:space="preserve"> </w:t>
      </w:r>
      <w:r w:rsidRPr="00DC4B02">
        <w:rPr>
          <w:szCs w:val="26"/>
        </w:rPr>
        <w:t>SDG&amp;E’s simplified slice</w:t>
      </w:r>
      <w:r w:rsidR="00DC4B02">
        <w:rPr>
          <w:szCs w:val="26"/>
        </w:rPr>
        <w:t>-</w:t>
      </w:r>
      <w:r w:rsidRPr="00DC4B02">
        <w:rPr>
          <w:szCs w:val="26"/>
        </w:rPr>
        <w:t>of</w:t>
      </w:r>
      <w:r w:rsidR="00DC4B02">
        <w:rPr>
          <w:szCs w:val="26"/>
        </w:rPr>
        <w:t>-</w:t>
      </w:r>
      <w:r w:rsidRPr="00DC4B02">
        <w:rPr>
          <w:szCs w:val="26"/>
        </w:rPr>
        <w:t>day also attempts to address energy sufficiency through a fixed load and dynamic load requirement</w:t>
      </w:r>
      <w:r w:rsidR="0074206B">
        <w:rPr>
          <w:szCs w:val="26"/>
        </w:rPr>
        <w:t>,</w:t>
      </w:r>
      <w:r w:rsidRPr="00DC4B02">
        <w:rPr>
          <w:szCs w:val="26"/>
        </w:rPr>
        <w:t xml:space="preserve"> which breaks dynamic load into slices and uses a slice multiplier to determine how much a resource can count towards meeting the aggregate dynamic load requirement.</w:t>
      </w:r>
      <w:r w:rsidR="00DC4B02">
        <w:rPr>
          <w:szCs w:val="26"/>
        </w:rPr>
        <w:t xml:space="preserve">  </w:t>
      </w:r>
      <w:r w:rsidR="00704FCF">
        <w:t>Energy storage charging requirements would be added to the dynamic load requirement.</w:t>
      </w:r>
    </w:p>
    <w:p w:rsidR="00DC4B02" w:rsidP="00D20BA0" w:rsidRDefault="00502C05" w14:paraId="6DE40E6D" w14:textId="2F61A4BF">
      <w:pPr>
        <w:rPr>
          <w:szCs w:val="26"/>
        </w:rPr>
      </w:pPr>
      <w:r>
        <w:rPr>
          <w:szCs w:val="26"/>
        </w:rPr>
        <w:t>The</w:t>
      </w:r>
      <w:r w:rsidRPr="00DC4B02" w:rsidR="00B7574C">
        <w:rPr>
          <w:szCs w:val="26"/>
        </w:rPr>
        <w:t xml:space="preserve"> SFPFC framework attempts to meet hourly energy sufficiency through a financial hedging contract that would be shaped to the hourly system demand within each quarterly compliance period.</w:t>
      </w:r>
      <w:r w:rsidR="00DC4B02">
        <w:rPr>
          <w:szCs w:val="26"/>
        </w:rPr>
        <w:t xml:space="preserve"> </w:t>
      </w:r>
      <w:r w:rsidRPr="00DC4B02" w:rsidR="00B7574C">
        <w:rPr>
          <w:szCs w:val="26"/>
        </w:rPr>
        <w:t xml:space="preserve"> </w:t>
      </w:r>
      <w:r w:rsidR="00704FCF">
        <w:t xml:space="preserve">An hourly financial hedge that is tied to physical firm energy resource values would address increased renewable penetration because resource suppliers would seek to hedge energy supply risk with controllable generation.  Cross-hedging between resource </w:t>
      </w:r>
      <w:r w:rsidRPr="00FB7ADF" w:rsidR="00704FCF">
        <w:t>technolog</w:t>
      </w:r>
      <w:r w:rsidR="00704FCF">
        <w:t>ies would</w:t>
      </w:r>
      <w:r w:rsidRPr="00FB7ADF" w:rsidR="00704FCF">
        <w:t xml:space="preserve"> provide </w:t>
      </w:r>
      <w:r w:rsidR="00704FCF">
        <w:t>a</w:t>
      </w:r>
      <w:r w:rsidRPr="00FB7ADF" w:rsidR="00704FCF">
        <w:t xml:space="preserve"> revenue stream </w:t>
      </w:r>
      <w:r w:rsidR="00704FCF">
        <w:t xml:space="preserve">to controllable generation, </w:t>
      </w:r>
      <w:r w:rsidRPr="00FB7ADF" w:rsidR="00704FCF">
        <w:t>necessary for fixed cost recovery</w:t>
      </w:r>
      <w:r w:rsidR="00704FCF">
        <w:t xml:space="preserve">, and would ensure there is sufficient controllable generation to meet demand in all hours.  </w:t>
      </w:r>
      <w:r w:rsidRPr="00A61B37" w:rsidR="00704FCF">
        <w:t xml:space="preserve"> </w:t>
      </w:r>
    </w:p>
    <w:p w:rsidR="005C30A1" w:rsidP="00BF071A" w:rsidRDefault="002F21A0" w14:paraId="12E9F7C8" w14:textId="4AB6ED41">
      <w:pPr>
        <w:autoSpaceDE w:val="0"/>
        <w:autoSpaceDN w:val="0"/>
        <w:adjustRightInd w:val="0"/>
      </w:pPr>
      <w:proofErr w:type="gramStart"/>
      <w:r>
        <w:rPr>
          <w:szCs w:val="26"/>
        </w:rPr>
        <w:t>All</w:t>
      </w:r>
      <w:r w:rsidRPr="00DC4B02" w:rsidR="00B7574C">
        <w:rPr>
          <w:szCs w:val="26"/>
        </w:rPr>
        <w:t xml:space="preserve"> of</w:t>
      </w:r>
      <w:proofErr w:type="gramEnd"/>
      <w:r w:rsidRPr="00DC4B02" w:rsidR="00B7574C">
        <w:rPr>
          <w:szCs w:val="26"/>
        </w:rPr>
        <w:t xml:space="preserve"> the </w:t>
      </w:r>
      <w:r w:rsidR="0031451E">
        <w:rPr>
          <w:szCs w:val="26"/>
        </w:rPr>
        <w:t>restructur</w:t>
      </w:r>
      <w:r w:rsidR="009A35B4">
        <w:rPr>
          <w:szCs w:val="26"/>
        </w:rPr>
        <w:t>ing</w:t>
      </w:r>
      <w:r w:rsidR="0031451E">
        <w:rPr>
          <w:szCs w:val="26"/>
        </w:rPr>
        <w:t xml:space="preserve"> proposals include</w:t>
      </w:r>
      <w:r w:rsidRPr="00DC4B02" w:rsidR="00B7574C">
        <w:rPr>
          <w:szCs w:val="26"/>
        </w:rPr>
        <w:t xml:space="preserve"> a component that </w:t>
      </w:r>
      <w:r w:rsidR="004A1E10">
        <w:rPr>
          <w:szCs w:val="26"/>
        </w:rPr>
        <w:t>aims</w:t>
      </w:r>
      <w:r w:rsidRPr="00DC4B02" w:rsidR="00B7574C">
        <w:rPr>
          <w:szCs w:val="26"/>
        </w:rPr>
        <w:t xml:space="preserve"> to address hourly energy sufficiency</w:t>
      </w:r>
      <w:r w:rsidR="007813DD">
        <w:rPr>
          <w:szCs w:val="26"/>
        </w:rPr>
        <w:t xml:space="preserve"> and advance environmental goals</w:t>
      </w:r>
      <w:r w:rsidRPr="00DC4B02" w:rsidR="00B7574C">
        <w:rPr>
          <w:szCs w:val="26"/>
        </w:rPr>
        <w:t xml:space="preserve">. </w:t>
      </w:r>
      <w:r w:rsidR="007813DD">
        <w:rPr>
          <w:szCs w:val="26"/>
        </w:rPr>
        <w:t xml:space="preserve"> H</w:t>
      </w:r>
      <w:r w:rsidR="00107708">
        <w:rPr>
          <w:szCs w:val="26"/>
        </w:rPr>
        <w:t>owever,</w:t>
      </w:r>
      <w:r w:rsidR="00DC4B02">
        <w:rPr>
          <w:szCs w:val="26"/>
        </w:rPr>
        <w:t xml:space="preserve"> </w:t>
      </w:r>
      <w:r w:rsidR="00107708">
        <w:t>PG&amp;E’s</w:t>
      </w:r>
      <w:r w:rsidRPr="00A61B37" w:rsidR="00107708">
        <w:t xml:space="preserve"> slice-of-day </w:t>
      </w:r>
      <w:r w:rsidR="00107708">
        <w:t xml:space="preserve">proposal </w:t>
      </w:r>
      <w:r w:rsidRPr="00A61B37" w:rsidR="00107708">
        <w:t xml:space="preserve">and </w:t>
      </w:r>
      <w:r w:rsidR="00107708">
        <w:t xml:space="preserve">the </w:t>
      </w:r>
      <w:r w:rsidRPr="00A61B37" w:rsidR="00107708">
        <w:t xml:space="preserve">SFPFC proposal </w:t>
      </w:r>
      <w:r w:rsidR="00107708">
        <w:t>appear to</w:t>
      </w:r>
      <w:r w:rsidRPr="00A61B37" w:rsidR="00107708">
        <w:t xml:space="preserve"> better address</w:t>
      </w:r>
      <w:r w:rsidR="00107708">
        <w:t xml:space="preserve"> </w:t>
      </w:r>
      <w:r w:rsidR="007813DD">
        <w:t>Principle 2</w:t>
      </w:r>
      <w:r w:rsidR="00107708">
        <w:t xml:space="preserve"> </w:t>
      </w:r>
      <w:r w:rsidRPr="00A61B37" w:rsidR="00107708">
        <w:t xml:space="preserve">because they </w:t>
      </w:r>
      <w:r w:rsidR="00107708">
        <w:t>evaluate reliability needs at a</w:t>
      </w:r>
      <w:r w:rsidRPr="00A61B37" w:rsidR="00107708">
        <w:t xml:space="preserve"> more granular </w:t>
      </w:r>
      <w:r w:rsidR="00107708">
        <w:t xml:space="preserve">level.  PG&amp;E’s proposal ensures that LSEs do not overly rely on use-limited resources to meet their four-hour slice-of-day requirements by assigning a binding NQC value for each slice and season based on the resource’s ability to provide energy during that </w:t>
      </w:r>
      <w:proofErr w:type="gramStart"/>
      <w:r w:rsidR="00107708">
        <w:t>time period</w:t>
      </w:r>
      <w:proofErr w:type="gramEnd"/>
      <w:r w:rsidR="00107708">
        <w:t xml:space="preserve">.  It also addresses </w:t>
      </w:r>
      <w:r w:rsidRPr="00A61B37" w:rsidR="00107708">
        <w:t xml:space="preserve">energy storage charging </w:t>
      </w:r>
      <w:proofErr w:type="gramStart"/>
      <w:r w:rsidRPr="00A61B37" w:rsidR="00107708">
        <w:t>concerns</w:t>
      </w:r>
      <w:r w:rsidR="00107708">
        <w:t>, and</w:t>
      </w:r>
      <w:proofErr w:type="gramEnd"/>
      <w:r w:rsidRPr="00A61B37" w:rsidR="00107708">
        <w:t xml:space="preserve"> </w:t>
      </w:r>
      <w:r w:rsidRPr="00A61B37" w:rsidR="00107708">
        <w:lastRenderedPageBreak/>
        <w:t>provide</w:t>
      </w:r>
      <w:r w:rsidR="00107708">
        <w:t>s</w:t>
      </w:r>
      <w:r w:rsidRPr="00A61B37" w:rsidR="00107708">
        <w:t xml:space="preserve"> renewable resources </w:t>
      </w:r>
      <w:r w:rsidR="00107708">
        <w:t xml:space="preserve">with </w:t>
      </w:r>
      <w:r w:rsidRPr="00A61B37" w:rsidR="00107708">
        <w:t xml:space="preserve">a value stream </w:t>
      </w:r>
      <w:r w:rsidR="00107708">
        <w:t>based on the</w:t>
      </w:r>
      <w:r w:rsidRPr="00A61B37" w:rsidR="00107708">
        <w:t xml:space="preserve"> time period </w:t>
      </w:r>
      <w:r w:rsidR="00107708">
        <w:t xml:space="preserve">that </w:t>
      </w:r>
      <w:r w:rsidRPr="00A61B37" w:rsidR="00107708">
        <w:t xml:space="preserve">they </w:t>
      </w:r>
      <w:r w:rsidR="00107708">
        <w:t xml:space="preserve">are providing reliability.  The </w:t>
      </w:r>
      <w:r w:rsidRPr="00A61B37" w:rsidR="00107708">
        <w:t xml:space="preserve">SFPFC </w:t>
      </w:r>
      <w:r w:rsidR="006D459D">
        <w:t xml:space="preserve">proposal </w:t>
      </w:r>
      <w:r w:rsidRPr="00A61B37" w:rsidR="00107708">
        <w:t xml:space="preserve">financially hedges hourly energy demand </w:t>
      </w:r>
      <w:r w:rsidR="00107708">
        <w:t>to ensure reliability is obtained in every hour</w:t>
      </w:r>
      <w:r w:rsidRPr="00A61B37" w:rsidR="00107708">
        <w:t xml:space="preserve">.  </w:t>
      </w:r>
    </w:p>
    <w:p w:rsidR="00107708" w:rsidRDefault="00107708" w14:paraId="230EAB98" w14:textId="0FA4413E">
      <w:r>
        <w:t>We also observe</w:t>
      </w:r>
      <w:r w:rsidRPr="00A61B37">
        <w:t xml:space="preserve"> that using a net load approach may help to provide value to resources that operate outside of peak</w:t>
      </w:r>
      <w:r>
        <w:t xml:space="preserve"> </w:t>
      </w:r>
      <w:r w:rsidRPr="00A61B37">
        <w:t>deliverability</w:t>
      </w:r>
      <w:r>
        <w:t xml:space="preserve"> periods.  We note that PG&amp;E’s</w:t>
      </w:r>
      <w:r w:rsidRPr="00A61B37">
        <w:t xml:space="preserve"> </w:t>
      </w:r>
      <w:r>
        <w:t>s</w:t>
      </w:r>
      <w:r w:rsidRPr="00A61B37">
        <w:t>lice</w:t>
      </w:r>
      <w:r>
        <w:t>-</w:t>
      </w:r>
      <w:r w:rsidRPr="00A61B37">
        <w:t>of</w:t>
      </w:r>
      <w:r>
        <w:t>-d</w:t>
      </w:r>
      <w:r w:rsidRPr="00A61B37">
        <w:t xml:space="preserve">ay </w:t>
      </w:r>
      <w:r>
        <w:t xml:space="preserve">proposal </w:t>
      </w:r>
      <w:r w:rsidRPr="00A61B37">
        <w:t xml:space="preserve">may already provide </w:t>
      </w:r>
      <w:r>
        <w:t>this</w:t>
      </w:r>
      <w:r w:rsidRPr="00A61B37">
        <w:t xml:space="preserve"> value to such resources </w:t>
      </w:r>
      <w:r>
        <w:t>since</w:t>
      </w:r>
      <w:r w:rsidRPr="00A61B37">
        <w:t xml:space="preserve"> value would be derived using an exceedance methodology across each slice</w:t>
      </w:r>
      <w:r>
        <w:t>-</w:t>
      </w:r>
      <w:r w:rsidRPr="00A61B37">
        <w:t>of</w:t>
      </w:r>
      <w:r>
        <w:t>-</w:t>
      </w:r>
      <w:r w:rsidRPr="00A61B37">
        <w:t>day,</w:t>
      </w:r>
      <w:r>
        <w:t xml:space="preserve"> which </w:t>
      </w:r>
      <w:r w:rsidRPr="00A61B37">
        <w:t xml:space="preserve">essentially </w:t>
      </w:r>
      <w:r>
        <w:t xml:space="preserve">would </w:t>
      </w:r>
      <w:r w:rsidRPr="00A61B37">
        <w:t xml:space="preserve">provide some value for non-peak time periods.   </w:t>
      </w:r>
    </w:p>
    <w:p w:rsidRPr="00107708" w:rsidR="000F7860" w:rsidP="000F7860" w:rsidRDefault="000F7860" w14:paraId="2B679B4D" w14:textId="316B37D9">
      <w:pPr>
        <w:autoSpaceDE w:val="0"/>
        <w:autoSpaceDN w:val="0"/>
        <w:adjustRightInd w:val="0"/>
      </w:pPr>
      <w:r>
        <w:t>SCE/</w:t>
      </w:r>
      <w:proofErr w:type="spellStart"/>
      <w:r>
        <w:t>CalCCA’s</w:t>
      </w:r>
      <w:proofErr w:type="spellEnd"/>
      <w:r>
        <w:t xml:space="preserve"> </w:t>
      </w:r>
      <w:r w:rsidRPr="00A61B37">
        <w:t>proposal</w:t>
      </w:r>
      <w:r w:rsidR="008D171B">
        <w:t>, as submitted,</w:t>
      </w:r>
      <w:r>
        <w:t xml:space="preserve"> does not include a component to address the temporal concern, although SCE/</w:t>
      </w:r>
      <w:proofErr w:type="spellStart"/>
      <w:r>
        <w:t>CalCCA</w:t>
      </w:r>
      <w:proofErr w:type="spellEnd"/>
      <w:r>
        <w:t xml:space="preserve"> </w:t>
      </w:r>
      <w:r w:rsidRPr="00A61B37">
        <w:t xml:space="preserve">include </w:t>
      </w:r>
      <w:r>
        <w:t xml:space="preserve">potential </w:t>
      </w:r>
      <w:r w:rsidRPr="00A61B37">
        <w:t xml:space="preserve">options </w:t>
      </w:r>
      <w:r>
        <w:t>that could be</w:t>
      </w:r>
      <w:r w:rsidRPr="00A61B37">
        <w:t xml:space="preserve"> </w:t>
      </w:r>
      <w:r>
        <w:t>developed to address this issue.  If one were developed, it may</w:t>
      </w:r>
      <w:r w:rsidRPr="00A61B37">
        <w:t xml:space="preserve"> </w:t>
      </w:r>
      <w:r>
        <w:t xml:space="preserve">adequately </w:t>
      </w:r>
      <w:r w:rsidRPr="00A61B37">
        <w:t xml:space="preserve">address </w:t>
      </w:r>
      <w:r>
        <w:t>reliability associated with the growing</w:t>
      </w:r>
      <w:r w:rsidRPr="00A61B37">
        <w:t xml:space="preserve"> penetration</w:t>
      </w:r>
      <w:r>
        <w:t xml:space="preserve"> of renewables</w:t>
      </w:r>
      <w:r w:rsidRPr="00A61B37">
        <w:t xml:space="preserve">.  </w:t>
      </w:r>
    </w:p>
    <w:p w:rsidRPr="00F637E3" w:rsidR="00F637E3" w:rsidP="00F637E3" w:rsidRDefault="00F637E3" w14:paraId="0EFC62C5" w14:textId="4C67784C">
      <w:pPr>
        <w:pStyle w:val="Heading2"/>
      </w:pPr>
      <w:bookmarkStart w:name="_Toc74206125" w:id="33"/>
      <w:r w:rsidRPr="00DC4B02">
        <w:t xml:space="preserve">Principle </w:t>
      </w:r>
      <w:r>
        <w:t>3</w:t>
      </w:r>
      <w:r w:rsidR="00B97D4B">
        <w:t>:</w:t>
      </w:r>
      <w:r w:rsidRPr="00DC4B02">
        <w:t xml:space="preserve">  </w:t>
      </w:r>
      <w:r>
        <w:rPr>
          <w:rFonts w:eastAsia="Times New Roman"/>
          <w:bCs/>
          <w:color w:val="000000"/>
        </w:rPr>
        <w:t>Balance Granularity in Meeting</w:t>
      </w:r>
      <w:r w:rsidRPr="00DC4B02">
        <w:rPr>
          <w:rFonts w:eastAsia="Times New Roman"/>
          <w:bCs/>
          <w:color w:val="000000"/>
        </w:rPr>
        <w:t xml:space="preserve"> </w:t>
      </w:r>
      <w:r>
        <w:rPr>
          <w:rFonts w:eastAsia="Times New Roman"/>
          <w:bCs/>
          <w:color w:val="000000"/>
        </w:rPr>
        <w:t>H</w:t>
      </w:r>
      <w:r w:rsidRPr="00DC4B02">
        <w:rPr>
          <w:rFonts w:eastAsia="Times New Roman"/>
          <w:bCs/>
          <w:color w:val="000000"/>
        </w:rPr>
        <w:t xml:space="preserve">ourly </w:t>
      </w:r>
      <w:r>
        <w:rPr>
          <w:rFonts w:eastAsia="Times New Roman"/>
          <w:bCs/>
          <w:color w:val="000000"/>
        </w:rPr>
        <w:t>Needs with Simplicity and Transactability</w:t>
      </w:r>
      <w:bookmarkEnd w:id="33"/>
      <w:r w:rsidRPr="00DC4B02">
        <w:rPr>
          <w:rFonts w:eastAsia="Times New Roman"/>
          <w:bCs/>
          <w:color w:val="000000"/>
        </w:rPr>
        <w:t xml:space="preserve"> </w:t>
      </w:r>
    </w:p>
    <w:p w:rsidRPr="00F637E3" w:rsidR="00B7574C" w:rsidP="00B7574C" w:rsidRDefault="001B4CD0" w14:paraId="65751019" w14:textId="187D9B9D">
      <w:pPr>
        <w:rPr>
          <w:rFonts w:eastAsia="Times New Roman" w:cs="Calibri"/>
          <w:color w:val="000000"/>
        </w:rPr>
      </w:pPr>
      <w:r>
        <w:rPr>
          <w:rFonts w:eastAsia="Times New Roman" w:cs="Calibri"/>
          <w:color w:val="000000"/>
        </w:rPr>
        <w:t>SCE/</w:t>
      </w:r>
      <w:proofErr w:type="spellStart"/>
      <w:r>
        <w:rPr>
          <w:rFonts w:eastAsia="Times New Roman" w:cs="Calibri"/>
          <w:color w:val="000000"/>
        </w:rPr>
        <w:t>CalCCA</w:t>
      </w:r>
      <w:r w:rsidR="00F536C1">
        <w:rPr>
          <w:rFonts w:eastAsia="Times New Roman" w:cs="Calibri"/>
          <w:color w:val="000000"/>
        </w:rPr>
        <w:t>’s</w:t>
      </w:r>
      <w:proofErr w:type="spellEnd"/>
      <w:r w:rsidRPr="00F637E3" w:rsidR="00B7574C">
        <w:rPr>
          <w:rFonts w:eastAsia="Times New Roman" w:cs="Calibri"/>
          <w:color w:val="000000"/>
        </w:rPr>
        <w:t xml:space="preserve"> proposal add</w:t>
      </w:r>
      <w:r w:rsidR="00A0035B">
        <w:rPr>
          <w:rFonts w:eastAsia="Times New Roman" w:cs="Calibri"/>
          <w:color w:val="000000"/>
        </w:rPr>
        <w:t>s</w:t>
      </w:r>
      <w:r w:rsidRPr="00F637E3" w:rsidR="00B7574C">
        <w:rPr>
          <w:rFonts w:eastAsia="Times New Roman" w:cs="Calibri"/>
          <w:color w:val="000000"/>
        </w:rPr>
        <w:t xml:space="preserve"> a</w:t>
      </w:r>
      <w:r w:rsidR="00A0035B">
        <w:rPr>
          <w:rFonts w:eastAsia="Times New Roman" w:cs="Calibri"/>
          <w:color w:val="000000"/>
        </w:rPr>
        <w:t xml:space="preserve">n </w:t>
      </w:r>
      <w:r w:rsidRPr="00F637E3" w:rsidR="00B7574C">
        <w:rPr>
          <w:rFonts w:eastAsia="Times New Roman" w:cs="Calibri"/>
          <w:color w:val="000000"/>
        </w:rPr>
        <w:t xml:space="preserve">NQE requirement </w:t>
      </w:r>
      <w:r w:rsidR="00F637E3">
        <w:rPr>
          <w:rFonts w:eastAsia="Times New Roman" w:cs="Calibri"/>
          <w:color w:val="000000"/>
        </w:rPr>
        <w:t>whereby</w:t>
      </w:r>
      <w:r w:rsidRPr="00F637E3" w:rsidR="00B7574C">
        <w:rPr>
          <w:rFonts w:eastAsia="Times New Roman" w:cs="Calibri"/>
          <w:color w:val="000000"/>
        </w:rPr>
        <w:t xml:space="preserve"> LSEs would </w:t>
      </w:r>
      <w:r w:rsidR="00527ADA">
        <w:rPr>
          <w:rFonts w:eastAsia="Times New Roman" w:cs="Calibri"/>
          <w:color w:val="000000"/>
        </w:rPr>
        <w:t>continue to</w:t>
      </w:r>
      <w:r w:rsidRPr="00F637E3" w:rsidR="00B7574C">
        <w:rPr>
          <w:rFonts w:eastAsia="Times New Roman" w:cs="Calibri"/>
          <w:color w:val="000000"/>
        </w:rPr>
        <w:t xml:space="preserve"> make 12 monthly showings but have </w:t>
      </w:r>
      <w:r w:rsidR="006966C5">
        <w:rPr>
          <w:rFonts w:eastAsia="Times New Roman" w:cs="Calibri"/>
          <w:color w:val="000000"/>
        </w:rPr>
        <w:t xml:space="preserve">an </w:t>
      </w:r>
      <w:r w:rsidRPr="00F637E3" w:rsidR="00B7574C">
        <w:rPr>
          <w:rFonts w:eastAsia="Times New Roman" w:cs="Calibri"/>
          <w:color w:val="000000"/>
        </w:rPr>
        <w:t>additional NQE showing in lieu of MCC bucket reporting.</w:t>
      </w:r>
      <w:r w:rsidR="00F637E3">
        <w:rPr>
          <w:rFonts w:eastAsia="Times New Roman" w:cs="Calibri"/>
          <w:color w:val="000000"/>
        </w:rPr>
        <w:t xml:space="preserve"> </w:t>
      </w:r>
      <w:r w:rsidRPr="00F637E3" w:rsidR="00B7574C">
        <w:rPr>
          <w:rFonts w:eastAsia="Times New Roman" w:cs="Calibri"/>
          <w:color w:val="000000"/>
        </w:rPr>
        <w:t xml:space="preserve"> </w:t>
      </w:r>
      <w:r w:rsidR="00B7630D">
        <w:rPr>
          <w:rFonts w:eastAsia="Times New Roman" w:cs="Calibri"/>
          <w:color w:val="000000"/>
        </w:rPr>
        <w:t>The</w:t>
      </w:r>
      <w:r w:rsidRPr="00F637E3" w:rsidR="00B7574C">
        <w:rPr>
          <w:rFonts w:eastAsia="Times New Roman" w:cs="Calibri"/>
          <w:color w:val="000000"/>
        </w:rPr>
        <w:t xml:space="preserve"> proposal</w:t>
      </w:r>
      <w:r w:rsidR="00337080">
        <w:rPr>
          <w:rFonts w:eastAsia="Times New Roman" w:cs="Calibri"/>
          <w:color w:val="000000"/>
        </w:rPr>
        <w:t xml:space="preserve"> also</w:t>
      </w:r>
      <w:r w:rsidRPr="00F637E3" w:rsidR="00B7574C">
        <w:rPr>
          <w:rFonts w:eastAsia="Times New Roman" w:cs="Calibri"/>
          <w:color w:val="000000"/>
        </w:rPr>
        <w:t xml:space="preserve"> introduces the need to implement and administer an NQE resource counting process</w:t>
      </w:r>
      <w:r w:rsidR="00B7630D">
        <w:rPr>
          <w:rFonts w:eastAsia="Times New Roman" w:cs="Calibri"/>
          <w:color w:val="000000"/>
        </w:rPr>
        <w:t>,</w:t>
      </w:r>
      <w:r w:rsidRPr="00F637E3" w:rsidR="00B7574C">
        <w:rPr>
          <w:rFonts w:eastAsia="Times New Roman" w:cs="Calibri"/>
          <w:color w:val="000000"/>
        </w:rPr>
        <w:t xml:space="preserve"> in addition to the current NQC process. </w:t>
      </w:r>
      <w:r w:rsidR="00F637E3">
        <w:rPr>
          <w:rFonts w:eastAsia="Times New Roman" w:cs="Calibri"/>
          <w:color w:val="000000"/>
        </w:rPr>
        <w:t xml:space="preserve"> </w:t>
      </w:r>
      <w:r w:rsidRPr="00F637E3" w:rsidR="00B7574C">
        <w:rPr>
          <w:rFonts w:eastAsia="Times New Roman" w:cs="Calibri"/>
          <w:color w:val="000000"/>
        </w:rPr>
        <w:t xml:space="preserve">While </w:t>
      </w:r>
      <w:r w:rsidR="00B5078D">
        <w:rPr>
          <w:rFonts w:eastAsia="Times New Roman" w:cs="Calibri"/>
          <w:color w:val="000000"/>
        </w:rPr>
        <w:t>SCE/</w:t>
      </w:r>
      <w:proofErr w:type="spellStart"/>
      <w:r w:rsidR="00B5078D">
        <w:rPr>
          <w:rFonts w:eastAsia="Times New Roman" w:cs="Calibri"/>
          <w:color w:val="000000"/>
        </w:rPr>
        <w:t>CalCCA</w:t>
      </w:r>
      <w:proofErr w:type="spellEnd"/>
      <w:r w:rsidRPr="00F637E3" w:rsidR="00B7574C">
        <w:rPr>
          <w:rFonts w:eastAsia="Times New Roman" w:cs="Calibri"/>
          <w:color w:val="000000"/>
        </w:rPr>
        <w:t xml:space="preserve"> do not specifically </w:t>
      </w:r>
      <w:r w:rsidR="00065B3A">
        <w:rPr>
          <w:rFonts w:eastAsia="Times New Roman" w:cs="Calibri"/>
          <w:color w:val="000000"/>
        </w:rPr>
        <w:t>recommend</w:t>
      </w:r>
      <w:r w:rsidRPr="00F637E3" w:rsidR="00B7574C">
        <w:rPr>
          <w:rFonts w:eastAsia="Times New Roman" w:cs="Calibri"/>
          <w:color w:val="000000"/>
        </w:rPr>
        <w:t xml:space="preserve"> unbundling</w:t>
      </w:r>
      <w:r w:rsidR="00F637E3">
        <w:rPr>
          <w:rFonts w:eastAsia="Times New Roman" w:cs="Calibri"/>
          <w:color w:val="000000"/>
        </w:rPr>
        <w:t xml:space="preserve"> NQE and NQC</w:t>
      </w:r>
      <w:r w:rsidRPr="00F637E3" w:rsidR="00B7574C">
        <w:rPr>
          <w:rFonts w:eastAsia="Times New Roman" w:cs="Calibri"/>
          <w:color w:val="000000"/>
        </w:rPr>
        <w:t xml:space="preserve">, they state that this could be explored </w:t>
      </w:r>
      <w:r w:rsidR="00065B3A">
        <w:rPr>
          <w:rFonts w:eastAsia="Times New Roman" w:cs="Calibri"/>
          <w:color w:val="000000"/>
        </w:rPr>
        <w:t>in</w:t>
      </w:r>
      <w:r w:rsidRPr="00F637E3" w:rsidR="00B7574C">
        <w:rPr>
          <w:rFonts w:eastAsia="Times New Roman" w:cs="Calibri"/>
          <w:color w:val="000000"/>
        </w:rPr>
        <w:t xml:space="preserve"> workshops.</w:t>
      </w:r>
      <w:r w:rsidRPr="00F637E3" w:rsidR="00B7574C">
        <w:rPr>
          <w:rStyle w:val="FootnoteReference"/>
          <w:rFonts w:eastAsia="Times New Roman" w:cs="Calibri"/>
          <w:color w:val="000000"/>
        </w:rPr>
        <w:footnoteReference w:id="43"/>
      </w:r>
      <w:r w:rsidRPr="00F637E3" w:rsidR="00B7574C">
        <w:rPr>
          <w:rFonts w:eastAsia="Times New Roman" w:cs="Calibri"/>
          <w:color w:val="000000"/>
        </w:rPr>
        <w:t xml:space="preserve"> </w:t>
      </w:r>
      <w:r w:rsidR="00F637E3">
        <w:rPr>
          <w:rFonts w:eastAsia="Times New Roman" w:cs="Calibri"/>
          <w:color w:val="000000"/>
        </w:rPr>
        <w:t xml:space="preserve"> </w:t>
      </w:r>
      <w:r w:rsidRPr="00F637E3" w:rsidR="00B7574C">
        <w:rPr>
          <w:rFonts w:eastAsia="Times New Roman" w:cs="Calibri"/>
          <w:color w:val="000000"/>
        </w:rPr>
        <w:t xml:space="preserve">Therefore, it is not clear if LSEs would have to directly contract for </w:t>
      </w:r>
      <w:r w:rsidRPr="00F637E3" w:rsidR="00B7574C">
        <w:rPr>
          <w:rFonts w:eastAsia="Times New Roman" w:cs="Calibri"/>
          <w:color w:val="000000"/>
        </w:rPr>
        <w:lastRenderedPageBreak/>
        <w:t xml:space="preserve">NQE in their contracts with generators.  If unbundling </w:t>
      </w:r>
      <w:r w:rsidR="00B34001">
        <w:rPr>
          <w:rFonts w:eastAsia="Times New Roman" w:cs="Calibri"/>
          <w:color w:val="000000"/>
        </w:rPr>
        <w:t>were</w:t>
      </w:r>
      <w:r w:rsidRPr="00F637E3" w:rsidR="00B7574C">
        <w:rPr>
          <w:rFonts w:eastAsia="Times New Roman" w:cs="Calibri"/>
          <w:color w:val="000000"/>
        </w:rPr>
        <w:t xml:space="preserve"> </w:t>
      </w:r>
      <w:r w:rsidR="00F637E3">
        <w:rPr>
          <w:rFonts w:eastAsia="Times New Roman" w:cs="Calibri"/>
          <w:color w:val="000000"/>
        </w:rPr>
        <w:t>permitted</w:t>
      </w:r>
      <w:r w:rsidRPr="00F637E3" w:rsidR="00B7574C">
        <w:rPr>
          <w:rFonts w:eastAsia="Times New Roman" w:cs="Calibri"/>
          <w:color w:val="000000"/>
        </w:rPr>
        <w:t xml:space="preserve">, this would require each contract to specify the NQE of a resource and for a </w:t>
      </w:r>
      <w:r w:rsidR="00C466E9">
        <w:rPr>
          <w:rFonts w:eastAsia="Times New Roman" w:cs="Calibri"/>
          <w:color w:val="000000"/>
        </w:rPr>
        <w:t>S</w:t>
      </w:r>
      <w:r w:rsidRPr="00F637E3" w:rsidR="00B7574C">
        <w:rPr>
          <w:rFonts w:eastAsia="Times New Roman" w:cs="Calibri"/>
          <w:color w:val="000000"/>
        </w:rPr>
        <w:t xml:space="preserve">upply </w:t>
      </w:r>
      <w:r w:rsidR="00C466E9">
        <w:rPr>
          <w:rFonts w:eastAsia="Times New Roman" w:cs="Calibri"/>
          <w:color w:val="000000"/>
        </w:rPr>
        <w:t>P</w:t>
      </w:r>
      <w:r w:rsidRPr="00F637E3" w:rsidR="00B7574C">
        <w:rPr>
          <w:rFonts w:eastAsia="Times New Roman" w:cs="Calibri"/>
          <w:color w:val="000000"/>
        </w:rPr>
        <w:t xml:space="preserve">lan to confirm this amount. </w:t>
      </w:r>
    </w:p>
    <w:p w:rsidRPr="00F637E3" w:rsidR="00B7574C" w:rsidP="00B7574C" w:rsidRDefault="00B7574C" w14:paraId="56F77402" w14:textId="5852ED2D">
      <w:pPr>
        <w:rPr>
          <w:rFonts w:eastAsia="Times New Roman" w:cs="Calibri"/>
          <w:color w:val="000000"/>
        </w:rPr>
      </w:pPr>
      <w:r w:rsidRPr="00F637E3">
        <w:rPr>
          <w:rFonts w:eastAsia="Times New Roman" w:cs="Calibri"/>
          <w:color w:val="000000" w:themeColor="text1"/>
        </w:rPr>
        <w:t xml:space="preserve">PG&amp;E’s slice-of-day </w:t>
      </w:r>
      <w:r w:rsidR="004064C1">
        <w:rPr>
          <w:rFonts w:eastAsia="Times New Roman" w:cs="Calibri"/>
          <w:color w:val="000000" w:themeColor="text1"/>
        </w:rPr>
        <w:t>would</w:t>
      </w:r>
      <w:r w:rsidRPr="00F637E3">
        <w:rPr>
          <w:rFonts w:eastAsia="Times New Roman" w:cs="Calibri"/>
          <w:color w:val="000000" w:themeColor="text1"/>
        </w:rPr>
        <w:t xml:space="preserve"> change the peak monthly construct to a seasonal construct</w:t>
      </w:r>
      <w:r w:rsidR="004064C1">
        <w:rPr>
          <w:rFonts w:eastAsia="Times New Roman" w:cs="Calibri"/>
          <w:color w:val="000000" w:themeColor="text1"/>
        </w:rPr>
        <w:t>, which</w:t>
      </w:r>
      <w:r w:rsidRPr="00F637E3">
        <w:rPr>
          <w:rFonts w:eastAsia="Times New Roman" w:cs="Calibri"/>
          <w:color w:val="000000" w:themeColor="text1"/>
        </w:rPr>
        <w:t xml:space="preserve"> mean</w:t>
      </w:r>
      <w:r w:rsidR="00E76EB3">
        <w:rPr>
          <w:rFonts w:eastAsia="Times New Roman" w:cs="Calibri"/>
          <w:color w:val="000000" w:themeColor="text1"/>
        </w:rPr>
        <w:t>s</w:t>
      </w:r>
      <w:r w:rsidRPr="00F637E3">
        <w:rPr>
          <w:rFonts w:eastAsia="Times New Roman" w:cs="Calibri"/>
          <w:color w:val="000000" w:themeColor="text1"/>
        </w:rPr>
        <w:t xml:space="preserve"> that </w:t>
      </w:r>
      <w:r w:rsidR="00E76EB3">
        <w:rPr>
          <w:rFonts w:eastAsia="Times New Roman" w:cs="Calibri"/>
          <w:color w:val="000000" w:themeColor="text1"/>
        </w:rPr>
        <w:t xml:space="preserve">an </w:t>
      </w:r>
      <w:r w:rsidRPr="00F637E3">
        <w:rPr>
          <w:rFonts w:eastAsia="Times New Roman" w:cs="Calibri"/>
          <w:color w:val="000000" w:themeColor="text1"/>
        </w:rPr>
        <w:t xml:space="preserve">LSE would submit three seasonal RA showings </w:t>
      </w:r>
      <w:r w:rsidR="00E76EB3">
        <w:rPr>
          <w:rFonts w:eastAsia="Times New Roman" w:cs="Calibri"/>
          <w:color w:val="000000" w:themeColor="text1"/>
        </w:rPr>
        <w:t>to demonstrate</w:t>
      </w:r>
      <w:r w:rsidRPr="00F637E3">
        <w:rPr>
          <w:rFonts w:eastAsia="Times New Roman" w:cs="Calibri"/>
          <w:color w:val="000000" w:themeColor="text1"/>
        </w:rPr>
        <w:t xml:space="preserve"> </w:t>
      </w:r>
      <w:r w:rsidR="00C96389">
        <w:rPr>
          <w:rFonts w:eastAsia="Times New Roman" w:cs="Calibri"/>
          <w:color w:val="000000" w:themeColor="text1"/>
        </w:rPr>
        <w:t xml:space="preserve">it </w:t>
      </w:r>
      <w:r w:rsidRPr="00F637E3">
        <w:rPr>
          <w:rFonts w:eastAsia="Times New Roman" w:cs="Calibri"/>
          <w:color w:val="000000" w:themeColor="text1"/>
        </w:rPr>
        <w:t>met six slice</w:t>
      </w:r>
      <w:r w:rsidR="009A4A11">
        <w:rPr>
          <w:rFonts w:eastAsia="Times New Roman" w:cs="Calibri"/>
          <w:color w:val="000000" w:themeColor="text1"/>
        </w:rPr>
        <w:t>-</w:t>
      </w:r>
      <w:r w:rsidRPr="00F637E3">
        <w:rPr>
          <w:rFonts w:eastAsia="Times New Roman" w:cs="Calibri"/>
          <w:color w:val="000000" w:themeColor="text1"/>
        </w:rPr>
        <w:t>of</w:t>
      </w:r>
      <w:r w:rsidR="009A4A11">
        <w:rPr>
          <w:rFonts w:eastAsia="Times New Roman" w:cs="Calibri"/>
          <w:color w:val="000000" w:themeColor="text1"/>
        </w:rPr>
        <w:t>-</w:t>
      </w:r>
      <w:r w:rsidRPr="00F637E3">
        <w:rPr>
          <w:rFonts w:eastAsia="Times New Roman" w:cs="Calibri"/>
          <w:color w:val="000000" w:themeColor="text1"/>
        </w:rPr>
        <w:t xml:space="preserve">day requirements.  The proposal also </w:t>
      </w:r>
      <w:r w:rsidR="00B755CB">
        <w:rPr>
          <w:rFonts w:eastAsia="Times New Roman" w:cs="Calibri"/>
          <w:color w:val="000000" w:themeColor="text1"/>
        </w:rPr>
        <w:t>would require</w:t>
      </w:r>
      <w:r w:rsidRPr="00F637E3">
        <w:rPr>
          <w:rFonts w:eastAsia="Times New Roman" w:cs="Calibri"/>
          <w:color w:val="000000" w:themeColor="text1"/>
        </w:rPr>
        <w:t xml:space="preserve"> that the current NQC list be modified from a monthly list to a seasonal list with six NQC values for each slice</w:t>
      </w:r>
      <w:r w:rsidR="009A4A11">
        <w:rPr>
          <w:rFonts w:eastAsia="Times New Roman" w:cs="Calibri"/>
          <w:color w:val="000000" w:themeColor="text1"/>
        </w:rPr>
        <w:t>-</w:t>
      </w:r>
      <w:r w:rsidRPr="00F637E3">
        <w:rPr>
          <w:rFonts w:eastAsia="Times New Roman" w:cs="Calibri"/>
          <w:color w:val="000000" w:themeColor="text1"/>
        </w:rPr>
        <w:t>of</w:t>
      </w:r>
      <w:r w:rsidR="009A4A11">
        <w:rPr>
          <w:rFonts w:eastAsia="Times New Roman" w:cs="Calibri"/>
          <w:color w:val="000000" w:themeColor="text1"/>
        </w:rPr>
        <w:t>-</w:t>
      </w:r>
      <w:r w:rsidRPr="00F637E3">
        <w:rPr>
          <w:rFonts w:eastAsia="Times New Roman" w:cs="Calibri"/>
          <w:color w:val="000000" w:themeColor="text1"/>
        </w:rPr>
        <w:t>day</w:t>
      </w:r>
      <w:r w:rsidR="009A4A11">
        <w:rPr>
          <w:rFonts w:eastAsia="Times New Roman" w:cs="Calibri"/>
          <w:color w:val="000000" w:themeColor="text1"/>
        </w:rPr>
        <w:t xml:space="preserve">, and that </w:t>
      </w:r>
      <w:r w:rsidRPr="00F637E3">
        <w:rPr>
          <w:rFonts w:eastAsia="Times New Roman" w:cs="Calibri"/>
          <w:color w:val="000000" w:themeColor="text1"/>
        </w:rPr>
        <w:t>LSE</w:t>
      </w:r>
      <w:r w:rsidR="009A4A11">
        <w:rPr>
          <w:rFonts w:eastAsia="Times New Roman" w:cs="Calibri"/>
          <w:color w:val="000000" w:themeColor="text1"/>
        </w:rPr>
        <w:t>s</w:t>
      </w:r>
      <w:r w:rsidRPr="00F637E3">
        <w:rPr>
          <w:rFonts w:eastAsia="Times New Roman" w:cs="Calibri"/>
          <w:color w:val="000000" w:themeColor="text1"/>
        </w:rPr>
        <w:t xml:space="preserve"> use this NQC list to contract for each slice</w:t>
      </w:r>
      <w:r w:rsidR="009A4A11">
        <w:rPr>
          <w:rFonts w:eastAsia="Times New Roman" w:cs="Calibri"/>
          <w:color w:val="000000" w:themeColor="text1"/>
        </w:rPr>
        <w:t>-</w:t>
      </w:r>
      <w:r w:rsidRPr="00F637E3">
        <w:rPr>
          <w:rFonts w:eastAsia="Times New Roman" w:cs="Calibri"/>
          <w:color w:val="000000" w:themeColor="text1"/>
        </w:rPr>
        <w:t>of</w:t>
      </w:r>
      <w:r w:rsidR="009A4A11">
        <w:rPr>
          <w:rFonts w:eastAsia="Times New Roman" w:cs="Calibri"/>
          <w:color w:val="000000" w:themeColor="text1"/>
        </w:rPr>
        <w:t>-</w:t>
      </w:r>
      <w:r w:rsidRPr="00F637E3">
        <w:rPr>
          <w:rFonts w:eastAsia="Times New Roman" w:cs="Calibri"/>
          <w:color w:val="000000" w:themeColor="text1"/>
        </w:rPr>
        <w:t xml:space="preserve">day.  Supply </w:t>
      </w:r>
      <w:r w:rsidR="009A4A11">
        <w:rPr>
          <w:rFonts w:eastAsia="Times New Roman" w:cs="Calibri"/>
          <w:color w:val="000000" w:themeColor="text1"/>
        </w:rPr>
        <w:t>P</w:t>
      </w:r>
      <w:r w:rsidRPr="00F637E3">
        <w:rPr>
          <w:rFonts w:eastAsia="Times New Roman" w:cs="Calibri"/>
          <w:color w:val="000000" w:themeColor="text1"/>
        </w:rPr>
        <w:t>lans would need to confirm each slice</w:t>
      </w:r>
      <w:r w:rsidR="009A4A11">
        <w:rPr>
          <w:rFonts w:eastAsia="Times New Roman" w:cs="Calibri"/>
          <w:color w:val="000000" w:themeColor="text1"/>
        </w:rPr>
        <w:t>-</w:t>
      </w:r>
      <w:r w:rsidRPr="00F637E3">
        <w:rPr>
          <w:rFonts w:eastAsia="Times New Roman" w:cs="Calibri"/>
          <w:color w:val="000000" w:themeColor="text1"/>
        </w:rPr>
        <w:t>of</w:t>
      </w:r>
      <w:r w:rsidR="009A4A11">
        <w:rPr>
          <w:rFonts w:eastAsia="Times New Roman" w:cs="Calibri"/>
          <w:color w:val="000000" w:themeColor="text1"/>
        </w:rPr>
        <w:t>-</w:t>
      </w:r>
      <w:r w:rsidRPr="00F637E3">
        <w:rPr>
          <w:rFonts w:eastAsia="Times New Roman" w:cs="Calibri"/>
          <w:color w:val="000000" w:themeColor="text1"/>
        </w:rPr>
        <w:t xml:space="preserve">day for each season. </w:t>
      </w:r>
      <w:r w:rsidR="00BF2E6A">
        <w:rPr>
          <w:rFonts w:eastAsia="Times New Roman" w:cs="Calibri"/>
          <w:color w:val="000000" w:themeColor="text1"/>
        </w:rPr>
        <w:t xml:space="preserve"> </w:t>
      </w:r>
      <w:r w:rsidR="009A4A11">
        <w:rPr>
          <w:rFonts w:eastAsia="Times New Roman" w:cs="Calibri"/>
          <w:color w:val="000000" w:themeColor="text1"/>
        </w:rPr>
        <w:t>In other words</w:t>
      </w:r>
      <w:r w:rsidRPr="00F637E3">
        <w:rPr>
          <w:rFonts w:eastAsia="Times New Roman" w:cs="Calibri"/>
          <w:color w:val="000000" w:themeColor="text1"/>
        </w:rPr>
        <w:t xml:space="preserve">, </w:t>
      </w:r>
      <w:r w:rsidR="00066D6C">
        <w:rPr>
          <w:rFonts w:eastAsia="Times New Roman" w:cs="Calibri"/>
          <w:color w:val="000000" w:themeColor="text1"/>
        </w:rPr>
        <w:t>an</w:t>
      </w:r>
      <w:r w:rsidRPr="00F637E3">
        <w:rPr>
          <w:rFonts w:eastAsia="Times New Roman" w:cs="Calibri"/>
          <w:color w:val="000000" w:themeColor="text1"/>
        </w:rPr>
        <w:t xml:space="preserve"> LSE would submit RA plans for </w:t>
      </w:r>
      <w:r w:rsidR="00506189">
        <w:rPr>
          <w:rFonts w:eastAsia="Times New Roman" w:cs="Calibri"/>
          <w:color w:val="000000" w:themeColor="text1"/>
        </w:rPr>
        <w:t>six</w:t>
      </w:r>
      <w:r w:rsidRPr="00F637E3">
        <w:rPr>
          <w:rFonts w:eastAsia="Times New Roman" w:cs="Calibri"/>
          <w:color w:val="000000" w:themeColor="text1"/>
        </w:rPr>
        <w:t xml:space="preserve"> slices and </w:t>
      </w:r>
      <w:r w:rsidR="00506189">
        <w:rPr>
          <w:rFonts w:eastAsia="Times New Roman" w:cs="Calibri"/>
          <w:color w:val="000000" w:themeColor="text1"/>
        </w:rPr>
        <w:t>three</w:t>
      </w:r>
      <w:r w:rsidRPr="00F637E3">
        <w:rPr>
          <w:rFonts w:eastAsia="Times New Roman" w:cs="Calibri"/>
          <w:color w:val="000000" w:themeColor="text1"/>
        </w:rPr>
        <w:t xml:space="preserve"> seasons</w:t>
      </w:r>
      <w:r w:rsidR="00506189">
        <w:rPr>
          <w:rFonts w:eastAsia="Times New Roman" w:cs="Calibri"/>
          <w:color w:val="000000" w:themeColor="text1"/>
        </w:rPr>
        <w:t>,</w:t>
      </w:r>
      <w:r w:rsidRPr="00F637E3">
        <w:rPr>
          <w:rFonts w:eastAsia="Times New Roman" w:cs="Calibri"/>
          <w:color w:val="000000" w:themeColor="text1"/>
        </w:rPr>
        <w:t xml:space="preserve"> resulting in 18 </w:t>
      </w:r>
      <w:r w:rsidR="006966C5">
        <w:rPr>
          <w:rFonts w:eastAsia="Times New Roman" w:cs="Calibri"/>
          <w:color w:val="000000" w:themeColor="text1"/>
        </w:rPr>
        <w:t>compliance showings</w:t>
      </w:r>
      <w:r w:rsidRPr="00F637E3">
        <w:rPr>
          <w:rFonts w:eastAsia="Times New Roman" w:cs="Calibri"/>
          <w:color w:val="000000" w:themeColor="text1"/>
        </w:rPr>
        <w:t xml:space="preserve"> </w:t>
      </w:r>
      <w:r w:rsidR="00790512">
        <w:rPr>
          <w:rFonts w:eastAsia="Times New Roman" w:cs="Calibri"/>
          <w:color w:val="000000" w:themeColor="text1"/>
        </w:rPr>
        <w:t>as compared</w:t>
      </w:r>
      <w:r w:rsidRPr="00F637E3">
        <w:rPr>
          <w:rFonts w:eastAsia="Times New Roman" w:cs="Calibri"/>
          <w:color w:val="000000" w:themeColor="text1"/>
        </w:rPr>
        <w:t xml:space="preserve"> to the current 12 </w:t>
      </w:r>
      <w:r w:rsidR="006966C5">
        <w:rPr>
          <w:rFonts w:eastAsia="Times New Roman" w:cs="Calibri"/>
          <w:color w:val="000000" w:themeColor="text1"/>
        </w:rPr>
        <w:t>compliance showings</w:t>
      </w:r>
      <w:r w:rsidRPr="00F637E3">
        <w:rPr>
          <w:rFonts w:eastAsia="Times New Roman" w:cs="Calibri"/>
          <w:color w:val="000000" w:themeColor="text1"/>
        </w:rPr>
        <w:t>.</w:t>
      </w:r>
      <w:r w:rsidR="009A4A11">
        <w:rPr>
          <w:rFonts w:eastAsia="Times New Roman" w:cs="Calibri"/>
          <w:color w:val="000000" w:themeColor="text1"/>
        </w:rPr>
        <w:t xml:space="preserve">  </w:t>
      </w:r>
    </w:p>
    <w:p w:rsidRPr="00F637E3" w:rsidR="00B7574C" w:rsidP="00B7574C" w:rsidRDefault="00B7574C" w14:paraId="6E2A6443" w14:textId="35DE47E1">
      <w:pPr>
        <w:rPr>
          <w:rFonts w:eastAsia="Times New Roman" w:cs="Calibri"/>
          <w:color w:val="000000"/>
        </w:rPr>
      </w:pPr>
      <w:r w:rsidRPr="00F637E3">
        <w:rPr>
          <w:rFonts w:eastAsia="Times New Roman" w:cs="Calibri"/>
          <w:color w:val="000000" w:themeColor="text1"/>
        </w:rPr>
        <w:t>SDG&amp;E</w:t>
      </w:r>
      <w:r w:rsidR="009A4A11">
        <w:rPr>
          <w:rFonts w:eastAsia="Times New Roman" w:cs="Calibri"/>
          <w:color w:val="000000" w:themeColor="text1"/>
        </w:rPr>
        <w:t xml:space="preserve">’s </w:t>
      </w:r>
      <w:r w:rsidRPr="00F637E3">
        <w:rPr>
          <w:rFonts w:eastAsia="Times New Roman" w:cs="Calibri"/>
          <w:color w:val="000000" w:themeColor="text1"/>
        </w:rPr>
        <w:t>slice-of-day aggregat</w:t>
      </w:r>
      <w:r w:rsidR="009A4A11">
        <w:rPr>
          <w:rFonts w:eastAsia="Times New Roman" w:cs="Calibri"/>
          <w:color w:val="000000" w:themeColor="text1"/>
        </w:rPr>
        <w:t>es</w:t>
      </w:r>
      <w:r w:rsidRPr="00F637E3">
        <w:rPr>
          <w:rFonts w:eastAsia="Times New Roman" w:cs="Calibri"/>
          <w:color w:val="000000" w:themeColor="text1"/>
        </w:rPr>
        <w:t xml:space="preserve"> the slices of the dynamic load requirement into one requirement for each compliance period</w:t>
      </w:r>
      <w:r w:rsidR="009A4A11">
        <w:rPr>
          <w:rFonts w:eastAsia="Times New Roman" w:cs="Calibri"/>
          <w:color w:val="000000" w:themeColor="text1"/>
        </w:rPr>
        <w:t>,</w:t>
      </w:r>
      <w:r w:rsidRPr="00F637E3">
        <w:rPr>
          <w:rFonts w:eastAsia="Times New Roman" w:cs="Calibri"/>
          <w:color w:val="000000" w:themeColor="text1"/>
        </w:rPr>
        <w:t xml:space="preserve"> which reduce</w:t>
      </w:r>
      <w:r w:rsidR="004C3F68">
        <w:rPr>
          <w:rFonts w:eastAsia="Times New Roman" w:cs="Calibri"/>
          <w:color w:val="000000" w:themeColor="text1"/>
        </w:rPr>
        <w:t>s</w:t>
      </w:r>
      <w:r w:rsidRPr="00F637E3">
        <w:rPr>
          <w:rFonts w:eastAsia="Times New Roman" w:cs="Calibri"/>
          <w:color w:val="000000" w:themeColor="text1"/>
        </w:rPr>
        <w:t xml:space="preserve"> the complexity associated with multiple slices</w:t>
      </w:r>
      <w:r w:rsidR="009A4A11">
        <w:rPr>
          <w:rFonts w:eastAsia="Times New Roman" w:cs="Calibri"/>
          <w:color w:val="000000" w:themeColor="text1"/>
        </w:rPr>
        <w:t>-</w:t>
      </w:r>
      <w:r w:rsidRPr="00F637E3">
        <w:rPr>
          <w:rFonts w:eastAsia="Times New Roman" w:cs="Calibri"/>
          <w:color w:val="000000" w:themeColor="text1"/>
        </w:rPr>
        <w:t>of</w:t>
      </w:r>
      <w:r w:rsidR="009A4A11">
        <w:rPr>
          <w:rFonts w:eastAsia="Times New Roman" w:cs="Calibri"/>
          <w:color w:val="000000" w:themeColor="text1"/>
        </w:rPr>
        <w:t>-</w:t>
      </w:r>
      <w:r w:rsidRPr="00F637E3">
        <w:rPr>
          <w:rFonts w:eastAsia="Times New Roman" w:cs="Calibri"/>
          <w:color w:val="000000" w:themeColor="text1"/>
        </w:rPr>
        <w:t xml:space="preserve">day.  SDG&amp;E does not propose a specific compliance period but </w:t>
      </w:r>
      <w:r w:rsidR="00CF1616">
        <w:rPr>
          <w:rFonts w:eastAsia="Times New Roman" w:cs="Calibri"/>
          <w:color w:val="000000" w:themeColor="text1"/>
        </w:rPr>
        <w:t>states</w:t>
      </w:r>
      <w:r w:rsidRPr="00F637E3">
        <w:rPr>
          <w:rFonts w:eastAsia="Times New Roman" w:cs="Calibri"/>
          <w:color w:val="000000" w:themeColor="text1"/>
        </w:rPr>
        <w:t xml:space="preserve"> that the requirements could be set either by month, quarter</w:t>
      </w:r>
      <w:r w:rsidR="00CF1616">
        <w:rPr>
          <w:rFonts w:eastAsia="Times New Roman" w:cs="Calibri"/>
          <w:color w:val="000000" w:themeColor="text1"/>
        </w:rPr>
        <w:t>,</w:t>
      </w:r>
      <w:r w:rsidRPr="00F637E3">
        <w:rPr>
          <w:rFonts w:eastAsia="Times New Roman" w:cs="Calibri"/>
          <w:color w:val="000000" w:themeColor="text1"/>
        </w:rPr>
        <w:t xml:space="preserve"> or season. </w:t>
      </w:r>
    </w:p>
    <w:p w:rsidRPr="00F637E3" w:rsidR="00B7574C" w:rsidP="00B7574C" w:rsidRDefault="00B7574C" w14:paraId="6B5561FD" w14:textId="31BD0C67">
      <w:pPr>
        <w:rPr>
          <w:rFonts w:eastAsia="Times New Roman" w:cs="Calibri"/>
          <w:color w:val="000000"/>
        </w:rPr>
      </w:pPr>
      <w:r w:rsidRPr="00F637E3">
        <w:rPr>
          <w:rFonts w:eastAsia="Times New Roman" w:cs="Calibri"/>
          <w:color w:val="000000" w:themeColor="text1"/>
        </w:rPr>
        <w:t xml:space="preserve">The SFPFC </w:t>
      </w:r>
      <w:r w:rsidR="007C6CB0">
        <w:rPr>
          <w:rFonts w:eastAsia="Times New Roman" w:cs="Calibri"/>
          <w:color w:val="000000" w:themeColor="text1"/>
        </w:rPr>
        <w:t>proposal</w:t>
      </w:r>
      <w:r w:rsidRPr="00F637E3">
        <w:rPr>
          <w:rFonts w:eastAsia="Times New Roman" w:cs="Calibri"/>
          <w:color w:val="000000" w:themeColor="text1"/>
        </w:rPr>
        <w:t xml:space="preserve"> would require quarterly compliance auctions and true</w:t>
      </w:r>
      <w:r w:rsidR="00C850B7">
        <w:rPr>
          <w:rFonts w:eastAsia="Times New Roman" w:cs="Calibri"/>
          <w:color w:val="000000" w:themeColor="text1"/>
        </w:rPr>
        <w:t>-</w:t>
      </w:r>
      <w:r w:rsidRPr="00F637E3">
        <w:rPr>
          <w:rFonts w:eastAsia="Times New Roman" w:cs="Calibri"/>
          <w:color w:val="000000" w:themeColor="text1"/>
        </w:rPr>
        <w:t xml:space="preserve">up auctions to be facilitated by a central procurement entity and central financial clearinghouse. </w:t>
      </w:r>
      <w:r w:rsidR="009A4A11">
        <w:rPr>
          <w:rFonts w:eastAsia="Times New Roman" w:cs="Calibri"/>
          <w:color w:val="000000" w:themeColor="text1"/>
        </w:rPr>
        <w:t xml:space="preserve"> </w:t>
      </w:r>
      <w:r w:rsidRPr="00F637E3">
        <w:rPr>
          <w:rFonts w:eastAsia="Times New Roman" w:cs="Calibri"/>
          <w:color w:val="000000" w:themeColor="text1"/>
        </w:rPr>
        <w:t>It also require</w:t>
      </w:r>
      <w:r w:rsidR="003F6C2C">
        <w:rPr>
          <w:rFonts w:eastAsia="Times New Roman" w:cs="Calibri"/>
          <w:color w:val="000000" w:themeColor="text1"/>
        </w:rPr>
        <w:t>s</w:t>
      </w:r>
      <w:r w:rsidRPr="00F637E3">
        <w:rPr>
          <w:rFonts w:eastAsia="Times New Roman" w:cs="Calibri"/>
          <w:color w:val="000000" w:themeColor="text1"/>
        </w:rPr>
        <w:t xml:space="preserve"> existing contracts to be converted from</w:t>
      </w:r>
      <w:r w:rsidR="00133ABC">
        <w:rPr>
          <w:rFonts w:eastAsia="Times New Roman" w:cs="Calibri"/>
          <w:color w:val="000000" w:themeColor="text1"/>
        </w:rPr>
        <w:t xml:space="preserve"> the</w:t>
      </w:r>
      <w:r w:rsidRPr="00F637E3">
        <w:rPr>
          <w:rFonts w:eastAsia="Times New Roman" w:cs="Calibri"/>
          <w:color w:val="000000" w:themeColor="text1"/>
        </w:rPr>
        <w:t xml:space="preserve"> current capacity revenue stream to a forward energy revenue stream.  Like other proposals, energy values would </w:t>
      </w:r>
      <w:r w:rsidR="00983E5B">
        <w:rPr>
          <w:rFonts w:eastAsia="Times New Roman" w:cs="Calibri"/>
          <w:color w:val="000000" w:themeColor="text1"/>
        </w:rPr>
        <w:t>need</w:t>
      </w:r>
      <w:r w:rsidRPr="00F637E3">
        <w:rPr>
          <w:rFonts w:eastAsia="Times New Roman" w:cs="Calibri"/>
          <w:color w:val="000000" w:themeColor="text1"/>
        </w:rPr>
        <w:t xml:space="preserve"> to be established for all resources for each compliance period.  </w:t>
      </w:r>
    </w:p>
    <w:p w:rsidR="008D171B" w:rsidP="008B5A67" w:rsidRDefault="00B7574C" w14:paraId="2CC74016" w14:textId="77777777">
      <w:pPr>
        <w:rPr>
          <w:rFonts w:eastAsia="Times New Roman" w:cs="Calibri"/>
          <w:color w:val="000000" w:themeColor="text1"/>
        </w:rPr>
      </w:pPr>
      <w:r w:rsidRPr="00F637E3">
        <w:rPr>
          <w:rFonts w:eastAsia="Times New Roman" w:cs="Calibri"/>
          <w:color w:val="000000" w:themeColor="text1"/>
        </w:rPr>
        <w:lastRenderedPageBreak/>
        <w:t xml:space="preserve">While </w:t>
      </w:r>
      <w:proofErr w:type="gramStart"/>
      <w:r w:rsidR="00D16BD8">
        <w:rPr>
          <w:rFonts w:eastAsia="Times New Roman" w:cs="Calibri"/>
          <w:color w:val="000000" w:themeColor="text1"/>
        </w:rPr>
        <w:t>all of</w:t>
      </w:r>
      <w:proofErr w:type="gramEnd"/>
      <w:r w:rsidRPr="00F637E3">
        <w:rPr>
          <w:rFonts w:eastAsia="Times New Roman" w:cs="Calibri"/>
          <w:color w:val="000000" w:themeColor="text1"/>
        </w:rPr>
        <w:t xml:space="preserve"> the </w:t>
      </w:r>
      <w:r w:rsidR="00D16BD8">
        <w:rPr>
          <w:rFonts w:eastAsia="Times New Roman" w:cs="Calibri"/>
          <w:color w:val="000000" w:themeColor="text1"/>
        </w:rPr>
        <w:t>restructur</w:t>
      </w:r>
      <w:r w:rsidR="00B755CB">
        <w:rPr>
          <w:rFonts w:eastAsia="Times New Roman" w:cs="Calibri"/>
          <w:color w:val="000000" w:themeColor="text1"/>
        </w:rPr>
        <w:t>ing</w:t>
      </w:r>
      <w:r w:rsidR="00D16BD8">
        <w:rPr>
          <w:rFonts w:eastAsia="Times New Roman" w:cs="Calibri"/>
          <w:color w:val="000000" w:themeColor="text1"/>
        </w:rPr>
        <w:t xml:space="preserve"> </w:t>
      </w:r>
      <w:r w:rsidRPr="00F637E3">
        <w:rPr>
          <w:rFonts w:eastAsia="Times New Roman" w:cs="Calibri"/>
          <w:color w:val="000000" w:themeColor="text1"/>
        </w:rPr>
        <w:t>proposals add some complexity</w:t>
      </w:r>
      <w:r w:rsidR="006966C5">
        <w:rPr>
          <w:rFonts w:eastAsia="Times New Roman" w:cs="Calibri"/>
          <w:color w:val="000000" w:themeColor="text1"/>
        </w:rPr>
        <w:t xml:space="preserve"> to the current RA framework</w:t>
      </w:r>
      <w:r w:rsidRPr="00F637E3">
        <w:rPr>
          <w:rFonts w:eastAsia="Times New Roman" w:cs="Calibri"/>
          <w:color w:val="000000" w:themeColor="text1"/>
        </w:rPr>
        <w:t>, the SFPFC approach appears to add the most complexity</w:t>
      </w:r>
      <w:r w:rsidR="00BE48F5">
        <w:rPr>
          <w:rFonts w:eastAsia="Times New Roman" w:cs="Calibri"/>
          <w:color w:val="000000" w:themeColor="text1"/>
        </w:rPr>
        <w:t xml:space="preserve"> in that it requires overhauling the RA program to establish</w:t>
      </w:r>
      <w:r w:rsidR="00F43D49">
        <w:rPr>
          <w:rFonts w:eastAsia="Times New Roman" w:cs="Calibri"/>
          <w:color w:val="000000" w:themeColor="text1"/>
        </w:rPr>
        <w:t>, among other things,</w:t>
      </w:r>
      <w:r w:rsidR="00BE48F5">
        <w:rPr>
          <w:rFonts w:eastAsia="Times New Roman" w:cs="Calibri"/>
          <w:color w:val="000000" w:themeColor="text1"/>
        </w:rPr>
        <w:t xml:space="preserve"> a central procurement entity, centralized clearinghouse, and a financial hedging product</w:t>
      </w:r>
      <w:r w:rsidRPr="00F637E3">
        <w:rPr>
          <w:rFonts w:eastAsia="Times New Roman" w:cs="Calibri"/>
          <w:color w:val="000000" w:themeColor="text1"/>
        </w:rPr>
        <w:t xml:space="preserve">. </w:t>
      </w:r>
      <w:r w:rsidR="0085286C">
        <w:rPr>
          <w:rFonts w:eastAsia="Times New Roman" w:cs="Calibri"/>
          <w:color w:val="000000" w:themeColor="text1"/>
        </w:rPr>
        <w:t xml:space="preserve"> </w:t>
      </w:r>
      <w:r w:rsidR="008B5A67">
        <w:rPr>
          <w:rFonts w:eastAsia="Times New Roman" w:cs="Calibri"/>
          <w:color w:val="000000" w:themeColor="text1"/>
        </w:rPr>
        <w:t xml:space="preserve">The SFPFC contracts would also require changes from a monthly capacity product to a forward hourly energy product.  </w:t>
      </w:r>
    </w:p>
    <w:p w:rsidR="00D71BCE" w:rsidP="008D171B" w:rsidRDefault="00B7574C" w14:paraId="0A0489F3" w14:textId="794A4CA1">
      <w:pPr>
        <w:rPr>
          <w:rFonts w:eastAsia="Times New Roman" w:cs="Calibri"/>
          <w:color w:val="000000" w:themeColor="text1"/>
        </w:rPr>
      </w:pPr>
      <w:r w:rsidRPr="00F637E3">
        <w:rPr>
          <w:rFonts w:eastAsia="Times New Roman" w:cs="Calibri"/>
          <w:color w:val="000000" w:themeColor="text1"/>
        </w:rPr>
        <w:t>PG&amp;E’s slice</w:t>
      </w:r>
      <w:r w:rsidR="00820A47">
        <w:rPr>
          <w:rFonts w:eastAsia="Times New Roman" w:cs="Calibri"/>
          <w:color w:val="000000" w:themeColor="text1"/>
        </w:rPr>
        <w:t>-</w:t>
      </w:r>
      <w:r w:rsidRPr="00F637E3">
        <w:rPr>
          <w:rFonts w:eastAsia="Times New Roman" w:cs="Calibri"/>
          <w:color w:val="000000" w:themeColor="text1"/>
        </w:rPr>
        <w:t>of</w:t>
      </w:r>
      <w:r w:rsidR="00820A47">
        <w:rPr>
          <w:rFonts w:eastAsia="Times New Roman" w:cs="Calibri"/>
          <w:color w:val="000000" w:themeColor="text1"/>
        </w:rPr>
        <w:t>-</w:t>
      </w:r>
      <w:r w:rsidRPr="00F637E3">
        <w:rPr>
          <w:rFonts w:eastAsia="Times New Roman" w:cs="Calibri"/>
          <w:color w:val="000000" w:themeColor="text1"/>
        </w:rPr>
        <w:t>day require</w:t>
      </w:r>
      <w:r w:rsidR="00AE4C3B">
        <w:rPr>
          <w:rFonts w:eastAsia="Times New Roman" w:cs="Calibri"/>
          <w:color w:val="000000" w:themeColor="text1"/>
        </w:rPr>
        <w:t>s</w:t>
      </w:r>
      <w:r w:rsidRPr="00F637E3">
        <w:rPr>
          <w:rFonts w:eastAsia="Times New Roman" w:cs="Calibri"/>
          <w:color w:val="000000" w:themeColor="text1"/>
        </w:rPr>
        <w:t xml:space="preserve"> additional showings for each compliance period but reduces the number of compliance periods from 12 monthly filings to three seasonal filings. </w:t>
      </w:r>
      <w:r w:rsidR="00820A47">
        <w:rPr>
          <w:rFonts w:eastAsia="Times New Roman" w:cs="Calibri"/>
          <w:color w:val="000000" w:themeColor="text1"/>
        </w:rPr>
        <w:t xml:space="preserve"> </w:t>
      </w:r>
      <w:r w:rsidR="008B5A67">
        <w:rPr>
          <w:rFonts w:eastAsia="Times New Roman" w:cs="Calibri"/>
          <w:color w:val="000000" w:themeColor="text1"/>
        </w:rPr>
        <w:t xml:space="preserve">The proposal may also require terms that specify specific slices-of-day and seasons covered by the contract.  </w:t>
      </w:r>
      <w:r w:rsidR="004D0046">
        <w:rPr>
          <w:rFonts w:eastAsia="Times New Roman" w:cs="Calibri"/>
          <w:color w:val="000000" w:themeColor="text1"/>
        </w:rPr>
        <w:t>SCE/</w:t>
      </w:r>
      <w:proofErr w:type="spellStart"/>
      <w:r w:rsidR="004D0046">
        <w:rPr>
          <w:rFonts w:eastAsia="Times New Roman" w:cs="Calibri"/>
          <w:color w:val="000000" w:themeColor="text1"/>
        </w:rPr>
        <w:t>CalCCA’s</w:t>
      </w:r>
      <w:proofErr w:type="spellEnd"/>
      <w:r w:rsidRPr="00F637E3">
        <w:rPr>
          <w:rFonts w:eastAsia="Times New Roman" w:cs="Calibri"/>
          <w:color w:val="000000" w:themeColor="text1"/>
        </w:rPr>
        <w:t xml:space="preserve"> proposal would continue with the existing monthly filing</w:t>
      </w:r>
      <w:r w:rsidR="0088329D">
        <w:rPr>
          <w:rFonts w:eastAsia="Times New Roman" w:cs="Calibri"/>
          <w:color w:val="000000" w:themeColor="text1"/>
        </w:rPr>
        <w:t xml:space="preserve">s </w:t>
      </w:r>
      <w:r w:rsidRPr="00F637E3">
        <w:rPr>
          <w:rFonts w:eastAsia="Times New Roman" w:cs="Calibri"/>
          <w:color w:val="000000" w:themeColor="text1"/>
        </w:rPr>
        <w:t xml:space="preserve">and, if NQE remains bundled with NQC, it appears that this proposal could be simply layered </w:t>
      </w:r>
      <w:r w:rsidR="005C4090">
        <w:rPr>
          <w:rFonts w:eastAsia="Times New Roman" w:cs="Calibri"/>
          <w:color w:val="000000" w:themeColor="text1"/>
        </w:rPr>
        <w:t>onto</w:t>
      </w:r>
      <w:r w:rsidRPr="00F637E3">
        <w:rPr>
          <w:rFonts w:eastAsia="Times New Roman" w:cs="Calibri"/>
          <w:color w:val="000000" w:themeColor="text1"/>
        </w:rPr>
        <w:t xml:space="preserve"> the current RA framework.  However, the </w:t>
      </w:r>
      <w:r w:rsidR="004D0046">
        <w:rPr>
          <w:rFonts w:eastAsia="Times New Roman" w:cs="Calibri"/>
          <w:color w:val="000000" w:themeColor="text1"/>
        </w:rPr>
        <w:t>SCE/</w:t>
      </w:r>
      <w:proofErr w:type="spellStart"/>
      <w:r w:rsidR="004D0046">
        <w:rPr>
          <w:rFonts w:eastAsia="Times New Roman" w:cs="Calibri"/>
          <w:color w:val="000000" w:themeColor="text1"/>
        </w:rPr>
        <w:t>CalCCA</w:t>
      </w:r>
      <w:proofErr w:type="spellEnd"/>
      <w:r w:rsidRPr="00F637E3">
        <w:rPr>
          <w:rFonts w:eastAsia="Times New Roman" w:cs="Calibri"/>
          <w:color w:val="000000" w:themeColor="text1"/>
        </w:rPr>
        <w:t xml:space="preserve"> proposal does not yet address </w:t>
      </w:r>
      <w:r w:rsidR="004D0046">
        <w:rPr>
          <w:rFonts w:eastAsia="Times New Roman" w:cs="Calibri"/>
          <w:color w:val="000000" w:themeColor="text1"/>
        </w:rPr>
        <w:t>hourly resource sufficiency –</w:t>
      </w:r>
      <w:r w:rsidRPr="00F637E3">
        <w:rPr>
          <w:rFonts w:eastAsia="Times New Roman" w:cs="Calibri"/>
          <w:color w:val="000000" w:themeColor="text1"/>
        </w:rPr>
        <w:t xml:space="preserve"> </w:t>
      </w:r>
      <w:r w:rsidR="004D0046">
        <w:rPr>
          <w:rFonts w:eastAsia="Times New Roman" w:cs="Calibri"/>
          <w:color w:val="000000" w:themeColor="text1"/>
        </w:rPr>
        <w:t xml:space="preserve">the </w:t>
      </w:r>
      <w:r w:rsidR="006D3677">
        <w:rPr>
          <w:rFonts w:eastAsia="Times New Roman" w:cs="Calibri"/>
          <w:color w:val="000000" w:themeColor="text1"/>
        </w:rPr>
        <w:t xml:space="preserve">critical </w:t>
      </w:r>
      <w:r w:rsidRPr="00F637E3">
        <w:rPr>
          <w:rFonts w:eastAsia="Times New Roman" w:cs="Calibri"/>
          <w:color w:val="000000" w:themeColor="text1"/>
        </w:rPr>
        <w:t xml:space="preserve">temporal issue </w:t>
      </w:r>
      <w:r w:rsidR="004D0046">
        <w:rPr>
          <w:rFonts w:eastAsia="Times New Roman" w:cs="Calibri"/>
          <w:color w:val="000000" w:themeColor="text1"/>
        </w:rPr>
        <w:t xml:space="preserve">– and </w:t>
      </w:r>
      <w:r w:rsidR="006D3677">
        <w:rPr>
          <w:rFonts w:eastAsia="Times New Roman" w:cs="Calibri"/>
          <w:color w:val="000000" w:themeColor="text1"/>
        </w:rPr>
        <w:t>when</w:t>
      </w:r>
      <w:r w:rsidRPr="00F637E3">
        <w:rPr>
          <w:rFonts w:eastAsia="Times New Roman" w:cs="Calibri"/>
          <w:color w:val="000000" w:themeColor="text1"/>
        </w:rPr>
        <w:t xml:space="preserve"> modified to address </w:t>
      </w:r>
      <w:r w:rsidR="00EB03BB">
        <w:rPr>
          <w:rFonts w:eastAsia="Times New Roman" w:cs="Calibri"/>
          <w:color w:val="000000" w:themeColor="text1"/>
        </w:rPr>
        <w:t>this</w:t>
      </w:r>
      <w:r w:rsidRPr="00F637E3">
        <w:rPr>
          <w:rFonts w:eastAsia="Times New Roman" w:cs="Calibri"/>
          <w:color w:val="000000" w:themeColor="text1"/>
        </w:rPr>
        <w:t xml:space="preserve">, additional complexity </w:t>
      </w:r>
      <w:r w:rsidR="000E573E">
        <w:rPr>
          <w:rFonts w:eastAsia="Times New Roman" w:cs="Calibri"/>
          <w:color w:val="000000" w:themeColor="text1"/>
        </w:rPr>
        <w:t>would</w:t>
      </w:r>
      <w:r w:rsidR="00A5243A">
        <w:rPr>
          <w:rFonts w:eastAsia="Times New Roman" w:cs="Calibri"/>
          <w:color w:val="000000" w:themeColor="text1"/>
        </w:rPr>
        <w:t xml:space="preserve"> be added to</w:t>
      </w:r>
      <w:r w:rsidRPr="00F637E3">
        <w:rPr>
          <w:rFonts w:eastAsia="Times New Roman" w:cs="Calibri"/>
          <w:color w:val="000000" w:themeColor="text1"/>
        </w:rPr>
        <w:t xml:space="preserve"> the proposal.  </w:t>
      </w:r>
      <w:r w:rsidR="008B5A67">
        <w:rPr>
          <w:rFonts w:eastAsia="Times New Roman" w:cs="Calibri"/>
          <w:color w:val="000000" w:themeColor="text1"/>
        </w:rPr>
        <w:t>Further, additional cont</w:t>
      </w:r>
      <w:r w:rsidR="008D171B">
        <w:rPr>
          <w:rFonts w:eastAsia="Times New Roman" w:cs="Calibri"/>
          <w:color w:val="000000" w:themeColor="text1"/>
        </w:rPr>
        <w:t>r</w:t>
      </w:r>
      <w:r w:rsidR="008B5A67">
        <w:rPr>
          <w:rFonts w:eastAsia="Times New Roman" w:cs="Calibri"/>
          <w:color w:val="000000" w:themeColor="text1"/>
        </w:rPr>
        <w:t xml:space="preserve">act terms may be needed to identify the amount of NQE covered by the contract.  </w:t>
      </w:r>
      <w:r w:rsidRPr="00F637E3">
        <w:rPr>
          <w:rFonts w:eastAsia="Times New Roman" w:cs="Calibri"/>
          <w:color w:val="000000" w:themeColor="text1"/>
        </w:rPr>
        <w:t xml:space="preserve">Similar </w:t>
      </w:r>
      <w:r w:rsidR="006D3677">
        <w:rPr>
          <w:rFonts w:eastAsia="Times New Roman" w:cs="Calibri"/>
          <w:color w:val="000000" w:themeColor="text1"/>
        </w:rPr>
        <w:t>concerns</w:t>
      </w:r>
      <w:r w:rsidRPr="00F637E3">
        <w:rPr>
          <w:rFonts w:eastAsia="Times New Roman" w:cs="Calibri"/>
          <w:color w:val="000000" w:themeColor="text1"/>
        </w:rPr>
        <w:t xml:space="preserve"> apply to SDG&amp;E’s proposal</w:t>
      </w:r>
      <w:r w:rsidR="006D3677">
        <w:rPr>
          <w:rFonts w:eastAsia="Times New Roman" w:cs="Calibri"/>
          <w:color w:val="000000" w:themeColor="text1"/>
        </w:rPr>
        <w:t xml:space="preserve">, as it </w:t>
      </w:r>
      <w:r w:rsidRPr="00F637E3">
        <w:rPr>
          <w:rFonts w:eastAsia="Times New Roman" w:cs="Calibri"/>
          <w:color w:val="000000" w:themeColor="text1"/>
        </w:rPr>
        <w:t>attempts to simplify PG&amp;E</w:t>
      </w:r>
      <w:r w:rsidR="006D3677">
        <w:rPr>
          <w:rFonts w:eastAsia="Times New Roman" w:cs="Calibri"/>
          <w:color w:val="000000" w:themeColor="text1"/>
        </w:rPr>
        <w:t>’s</w:t>
      </w:r>
      <w:r w:rsidRPr="00F637E3">
        <w:rPr>
          <w:rFonts w:eastAsia="Times New Roman" w:cs="Calibri"/>
          <w:color w:val="000000" w:themeColor="text1"/>
        </w:rPr>
        <w:t xml:space="preserve"> </w:t>
      </w:r>
      <w:r w:rsidR="006A5F7A">
        <w:rPr>
          <w:rFonts w:eastAsia="Times New Roman" w:cs="Calibri"/>
          <w:color w:val="000000" w:themeColor="text1"/>
        </w:rPr>
        <w:t xml:space="preserve">slice-of-day </w:t>
      </w:r>
      <w:r w:rsidRPr="00F637E3">
        <w:rPr>
          <w:rFonts w:eastAsia="Times New Roman" w:cs="Calibri"/>
          <w:color w:val="000000" w:themeColor="text1"/>
        </w:rPr>
        <w:t xml:space="preserve">proposal but erodes the </w:t>
      </w:r>
      <w:r w:rsidR="00BA08D0">
        <w:rPr>
          <w:rFonts w:eastAsia="Times New Roman" w:cs="Calibri"/>
          <w:color w:val="000000" w:themeColor="text1"/>
        </w:rPr>
        <w:t>hourly resource sufficiency (temporal)</w:t>
      </w:r>
      <w:r w:rsidRPr="00F637E3">
        <w:rPr>
          <w:rFonts w:eastAsia="Times New Roman" w:cs="Calibri"/>
          <w:color w:val="000000" w:themeColor="text1"/>
        </w:rPr>
        <w:t xml:space="preserve"> benefits provided by </w:t>
      </w:r>
      <w:r w:rsidR="00BA08D0">
        <w:rPr>
          <w:rFonts w:eastAsia="Times New Roman" w:cs="Calibri"/>
          <w:color w:val="000000" w:themeColor="text1"/>
        </w:rPr>
        <w:t>PG&amp;E’s</w:t>
      </w:r>
      <w:r w:rsidRPr="00F637E3">
        <w:rPr>
          <w:rFonts w:eastAsia="Times New Roman" w:cs="Calibri"/>
          <w:color w:val="000000" w:themeColor="text1"/>
        </w:rPr>
        <w:t xml:space="preserve"> proposal. </w:t>
      </w:r>
    </w:p>
    <w:p w:rsidR="00A61B37" w:rsidP="00624CDF" w:rsidRDefault="00624CDF" w14:paraId="0FA07651" w14:textId="25FD9266">
      <w:pPr>
        <w:pStyle w:val="Heading2"/>
      </w:pPr>
      <w:bookmarkStart w:name="_Toc74206126" w:id="34"/>
      <w:r>
        <w:t>Principle 4</w:t>
      </w:r>
      <w:r w:rsidR="000E295A">
        <w:t>:</w:t>
      </w:r>
      <w:r>
        <w:t xml:space="preserve"> I</w:t>
      </w:r>
      <w:r w:rsidRPr="000F2AE2">
        <w:t xml:space="preserve">mplementable in the </w:t>
      </w:r>
      <w:r>
        <w:t>N</w:t>
      </w:r>
      <w:r w:rsidRPr="000F2AE2">
        <w:t>ear</w:t>
      </w:r>
      <w:r>
        <w:t>-Term</w:t>
      </w:r>
      <w:bookmarkEnd w:id="34"/>
    </w:p>
    <w:p w:rsidR="001612AB" w:rsidP="001612AB" w:rsidRDefault="00B5078D" w14:paraId="77FC2B8A" w14:textId="5D86129C">
      <w:pPr>
        <w:rPr>
          <w:rFonts w:eastAsia="Times New Roman" w:cs="Calibri"/>
          <w:color w:val="000000" w:themeColor="text1"/>
        </w:rPr>
      </w:pPr>
      <w:r>
        <w:rPr>
          <w:rFonts w:eastAsia="Times New Roman" w:cs="Calibri"/>
          <w:color w:val="000000" w:themeColor="text1"/>
        </w:rPr>
        <w:t>SCE/</w:t>
      </w:r>
      <w:proofErr w:type="spellStart"/>
      <w:r>
        <w:rPr>
          <w:rFonts w:eastAsia="Times New Roman" w:cs="Calibri"/>
          <w:color w:val="000000" w:themeColor="text1"/>
        </w:rPr>
        <w:t>CalCCA</w:t>
      </w:r>
      <w:proofErr w:type="spellEnd"/>
      <w:r w:rsidR="00624CDF">
        <w:rPr>
          <w:rFonts w:eastAsia="Times New Roman" w:cs="Calibri"/>
          <w:color w:val="000000" w:themeColor="text1"/>
        </w:rPr>
        <w:t xml:space="preserve"> </w:t>
      </w:r>
      <w:r w:rsidRPr="00624CDF" w:rsidR="00B7574C">
        <w:rPr>
          <w:rFonts w:eastAsia="Times New Roman" w:cs="Calibri"/>
          <w:color w:val="000000" w:themeColor="text1"/>
        </w:rPr>
        <w:t xml:space="preserve">provide an illustrative schedule </w:t>
      </w:r>
      <w:r w:rsidR="00132921">
        <w:rPr>
          <w:rFonts w:eastAsia="Times New Roman" w:cs="Calibri"/>
          <w:color w:val="000000" w:themeColor="text1"/>
        </w:rPr>
        <w:t>of</w:t>
      </w:r>
      <w:r w:rsidRPr="00624CDF" w:rsidR="00B7574C">
        <w:rPr>
          <w:rFonts w:eastAsia="Times New Roman" w:cs="Calibri"/>
          <w:color w:val="000000" w:themeColor="text1"/>
        </w:rPr>
        <w:t xml:space="preserve"> seven workshops over the next year (Q3 2021 to Q2 2022) to </w:t>
      </w:r>
      <w:r w:rsidR="00624CDF">
        <w:rPr>
          <w:rFonts w:eastAsia="Times New Roman" w:cs="Calibri"/>
          <w:color w:val="000000" w:themeColor="text1"/>
        </w:rPr>
        <w:t>address outstanding details, summarized as: (1) structural elements (accounting framework, contract terms for NQE, uncertainty considerations); (2) LSE compliance obligations (load forecast variability, load modifiers); (3) NQE counting (by resource, must-offer obligations, contracting/trading); (4) variable resource counting (solar and win</w:t>
      </w:r>
      <w:r w:rsidR="001E78F8">
        <w:rPr>
          <w:rFonts w:eastAsia="Times New Roman" w:cs="Calibri"/>
          <w:color w:val="000000" w:themeColor="text1"/>
        </w:rPr>
        <w:t>d</w:t>
      </w:r>
      <w:r w:rsidR="00624CDF">
        <w:rPr>
          <w:rFonts w:eastAsia="Times New Roman" w:cs="Calibri"/>
          <w:color w:val="000000" w:themeColor="text1"/>
        </w:rPr>
        <w:t xml:space="preserve">, </w:t>
      </w:r>
      <w:r w:rsidR="00624CDF">
        <w:rPr>
          <w:rFonts w:eastAsia="Times New Roman" w:cs="Calibri"/>
          <w:color w:val="000000" w:themeColor="text1"/>
        </w:rPr>
        <w:lastRenderedPageBreak/>
        <w:t xml:space="preserve">deliverability, ownership/tradability); (5) energy storage; (6) miscellaneous (temporal constraints, hybrid and </w:t>
      </w:r>
      <w:r w:rsidR="00147FE1">
        <w:rPr>
          <w:rFonts w:eastAsia="Times New Roman" w:cs="Calibri"/>
          <w:color w:val="000000" w:themeColor="text1"/>
        </w:rPr>
        <w:t>behind-the-meter</w:t>
      </w:r>
      <w:r w:rsidR="00624CDF">
        <w:rPr>
          <w:rFonts w:eastAsia="Times New Roman" w:cs="Calibri"/>
          <w:color w:val="000000" w:themeColor="text1"/>
        </w:rPr>
        <w:t xml:space="preserve"> resources, forced outage rates); and (7) testing and planning reserve margin.</w:t>
      </w:r>
      <w:r w:rsidR="00624CDF">
        <w:rPr>
          <w:rStyle w:val="FootnoteReference"/>
          <w:rFonts w:eastAsia="Times New Roman" w:cs="Calibri"/>
          <w:color w:val="000000" w:themeColor="text1"/>
        </w:rPr>
        <w:footnoteReference w:id="44"/>
      </w:r>
      <w:r w:rsidR="00624CDF">
        <w:rPr>
          <w:rFonts w:eastAsia="Times New Roman" w:cs="Calibri"/>
          <w:color w:val="000000" w:themeColor="text1"/>
        </w:rPr>
        <w:t xml:space="preserve">  </w:t>
      </w:r>
    </w:p>
    <w:p w:rsidRPr="00F7193F" w:rsidR="00B7574C" w:rsidP="00437AB8" w:rsidRDefault="00B7574C" w14:paraId="381C4BFC" w14:textId="71D2FFE4">
      <w:pPr>
        <w:autoSpaceDE w:val="0"/>
        <w:autoSpaceDN w:val="0"/>
        <w:adjustRightInd w:val="0"/>
        <w:rPr>
          <w:rFonts w:eastAsia="Times New Roman" w:cs="Calibri"/>
          <w:color w:val="000000"/>
        </w:rPr>
      </w:pPr>
      <w:r w:rsidRPr="00624CDF">
        <w:rPr>
          <w:rFonts w:eastAsia="Times New Roman" w:cs="Calibri"/>
          <w:szCs w:val="26"/>
        </w:rPr>
        <w:t xml:space="preserve">PG&amp;E </w:t>
      </w:r>
      <w:r w:rsidR="00E21E82">
        <w:rPr>
          <w:rFonts w:eastAsia="Times New Roman" w:cs="Calibri"/>
          <w:szCs w:val="26"/>
        </w:rPr>
        <w:t>does</w:t>
      </w:r>
      <w:r w:rsidRPr="00624CDF">
        <w:rPr>
          <w:rFonts w:eastAsia="Times New Roman" w:cs="Calibri"/>
          <w:szCs w:val="26"/>
        </w:rPr>
        <w:t xml:space="preserve"> not </w:t>
      </w:r>
      <w:r w:rsidR="00391D98">
        <w:rPr>
          <w:rFonts w:eastAsia="Times New Roman" w:cs="Calibri"/>
          <w:szCs w:val="26"/>
        </w:rPr>
        <w:t>offer</w:t>
      </w:r>
      <w:r w:rsidRPr="00624CDF">
        <w:rPr>
          <w:rFonts w:eastAsia="Times New Roman" w:cs="Calibri"/>
          <w:szCs w:val="26"/>
        </w:rPr>
        <w:t xml:space="preserve"> a schedule </w:t>
      </w:r>
      <w:r w:rsidR="001612AB">
        <w:rPr>
          <w:rFonts w:eastAsia="Times New Roman" w:cs="Calibri"/>
          <w:szCs w:val="26"/>
        </w:rPr>
        <w:t xml:space="preserve">but </w:t>
      </w:r>
      <w:r w:rsidR="00B57880">
        <w:rPr>
          <w:rFonts w:eastAsia="Times New Roman" w:cs="Calibri"/>
          <w:szCs w:val="26"/>
        </w:rPr>
        <w:t>notes</w:t>
      </w:r>
      <w:r w:rsidRPr="00624CDF">
        <w:rPr>
          <w:rFonts w:eastAsia="Times New Roman" w:cs="Calibri"/>
          <w:szCs w:val="26"/>
        </w:rPr>
        <w:t xml:space="preserve"> five elements </w:t>
      </w:r>
      <w:r w:rsidR="001612AB">
        <w:rPr>
          <w:rFonts w:eastAsia="Times New Roman" w:cs="Calibri"/>
          <w:szCs w:val="26"/>
        </w:rPr>
        <w:t xml:space="preserve">for </w:t>
      </w:r>
      <w:r w:rsidR="00762D6E">
        <w:rPr>
          <w:rFonts w:eastAsia="Times New Roman" w:cs="Calibri"/>
          <w:szCs w:val="26"/>
        </w:rPr>
        <w:t xml:space="preserve">further </w:t>
      </w:r>
      <w:r w:rsidR="001612AB">
        <w:rPr>
          <w:rFonts w:eastAsia="Times New Roman" w:cs="Calibri"/>
          <w:szCs w:val="26"/>
        </w:rPr>
        <w:t>consideration:</w:t>
      </w:r>
      <w:r w:rsidRPr="00624CDF">
        <w:rPr>
          <w:rFonts w:eastAsia="Times New Roman" w:cs="Calibri"/>
          <w:szCs w:val="26"/>
        </w:rPr>
        <w:t xml:space="preserve"> </w:t>
      </w:r>
      <w:r w:rsidR="001612AB">
        <w:rPr>
          <w:rFonts w:eastAsia="Times New Roman" w:cs="Calibri"/>
          <w:szCs w:val="26"/>
        </w:rPr>
        <w:t>(</w:t>
      </w:r>
      <w:r w:rsidRPr="00624CDF">
        <w:rPr>
          <w:rFonts w:eastAsia="Times New Roman" w:cs="Calibri"/>
          <w:szCs w:val="26"/>
        </w:rPr>
        <w:t xml:space="preserve">1) </w:t>
      </w:r>
      <w:r w:rsidR="001612AB">
        <w:rPr>
          <w:rFonts w:eastAsia="Times New Roman" w:cs="Calibri"/>
          <w:szCs w:val="26"/>
        </w:rPr>
        <w:t>d</w:t>
      </w:r>
      <w:r w:rsidRPr="00624CDF">
        <w:rPr>
          <w:rFonts w:eastAsia="Times New Roman" w:cs="Calibri"/>
          <w:szCs w:val="26"/>
        </w:rPr>
        <w:t xml:space="preserve">etermining </w:t>
      </w:r>
      <w:r w:rsidR="001612AB">
        <w:rPr>
          <w:rFonts w:eastAsia="Times New Roman" w:cs="Calibri"/>
          <w:szCs w:val="26"/>
        </w:rPr>
        <w:t>s</w:t>
      </w:r>
      <w:r w:rsidRPr="00624CDF">
        <w:rPr>
          <w:rFonts w:eastAsia="Times New Roman" w:cs="Calibri"/>
          <w:szCs w:val="26"/>
        </w:rPr>
        <w:t xml:space="preserve">easons and </w:t>
      </w:r>
      <w:r w:rsidR="001612AB">
        <w:rPr>
          <w:rFonts w:eastAsia="Times New Roman" w:cs="Calibri"/>
          <w:szCs w:val="26"/>
        </w:rPr>
        <w:t>s</w:t>
      </w:r>
      <w:r w:rsidRPr="00624CDF">
        <w:rPr>
          <w:rFonts w:eastAsia="Times New Roman" w:cs="Calibri"/>
          <w:szCs w:val="26"/>
        </w:rPr>
        <w:t>lices</w:t>
      </w:r>
      <w:r w:rsidR="001612AB">
        <w:rPr>
          <w:rFonts w:eastAsia="Times New Roman" w:cs="Calibri"/>
          <w:szCs w:val="26"/>
        </w:rPr>
        <w:t>; (2)</w:t>
      </w:r>
      <w:r w:rsidRPr="00624CDF">
        <w:rPr>
          <w:rFonts w:eastAsia="Times New Roman" w:cs="Calibri"/>
          <w:szCs w:val="26"/>
        </w:rPr>
        <w:t xml:space="preserve"> </w:t>
      </w:r>
      <w:r w:rsidR="001612AB">
        <w:rPr>
          <w:rFonts w:eastAsia="Times New Roman" w:cs="Calibri"/>
          <w:szCs w:val="26"/>
        </w:rPr>
        <w:t>resource counting; (3)</w:t>
      </w:r>
      <w:r w:rsidR="007E1624">
        <w:rPr>
          <w:rFonts w:eastAsia="Times New Roman" w:cs="Calibri"/>
          <w:szCs w:val="26"/>
        </w:rPr>
        <w:t> </w:t>
      </w:r>
      <w:r w:rsidR="001612AB">
        <w:rPr>
          <w:rFonts w:eastAsia="Times New Roman" w:cs="Calibri"/>
          <w:szCs w:val="26"/>
        </w:rPr>
        <w:t>r</w:t>
      </w:r>
      <w:r w:rsidRPr="00624CDF">
        <w:rPr>
          <w:rFonts w:eastAsia="Times New Roman" w:cs="Calibri"/>
          <w:szCs w:val="26"/>
        </w:rPr>
        <w:t xml:space="preserve">equirements and </w:t>
      </w:r>
      <w:r w:rsidR="001612AB">
        <w:rPr>
          <w:rFonts w:eastAsia="Times New Roman" w:cs="Calibri"/>
          <w:szCs w:val="26"/>
        </w:rPr>
        <w:t>r</w:t>
      </w:r>
      <w:r w:rsidRPr="00624CDF">
        <w:rPr>
          <w:rFonts w:eastAsia="Times New Roman" w:cs="Calibri"/>
          <w:szCs w:val="26"/>
        </w:rPr>
        <w:t xml:space="preserve">esource </w:t>
      </w:r>
      <w:r w:rsidR="001612AB">
        <w:rPr>
          <w:rFonts w:eastAsia="Times New Roman" w:cs="Calibri"/>
          <w:szCs w:val="26"/>
        </w:rPr>
        <w:t>s</w:t>
      </w:r>
      <w:r w:rsidRPr="00624CDF">
        <w:rPr>
          <w:rFonts w:eastAsia="Times New Roman" w:cs="Calibri"/>
          <w:szCs w:val="26"/>
        </w:rPr>
        <w:t>tacks</w:t>
      </w:r>
      <w:r w:rsidR="001612AB">
        <w:rPr>
          <w:rFonts w:eastAsia="Times New Roman" w:cs="Calibri"/>
          <w:szCs w:val="26"/>
        </w:rPr>
        <w:t>; (</w:t>
      </w:r>
      <w:r w:rsidRPr="00624CDF">
        <w:rPr>
          <w:rFonts w:eastAsia="Times New Roman" w:cs="Calibri"/>
          <w:szCs w:val="26"/>
        </w:rPr>
        <w:t xml:space="preserve">4) </w:t>
      </w:r>
      <w:r w:rsidR="001612AB">
        <w:rPr>
          <w:rFonts w:eastAsia="Times New Roman" w:cs="Calibri"/>
          <w:szCs w:val="26"/>
        </w:rPr>
        <w:t>n</w:t>
      </w:r>
      <w:r w:rsidRPr="00624CDF">
        <w:rPr>
          <w:rFonts w:eastAsia="Times New Roman" w:cs="Calibri"/>
          <w:szCs w:val="26"/>
        </w:rPr>
        <w:t xml:space="preserve">eed determination and </w:t>
      </w:r>
      <w:r w:rsidR="001612AB">
        <w:rPr>
          <w:rFonts w:eastAsia="Times New Roman" w:cs="Calibri"/>
          <w:szCs w:val="26"/>
        </w:rPr>
        <w:t>a</w:t>
      </w:r>
      <w:r w:rsidRPr="00624CDF">
        <w:rPr>
          <w:rFonts w:eastAsia="Times New Roman" w:cs="Calibri"/>
          <w:szCs w:val="26"/>
        </w:rPr>
        <w:t>llocation</w:t>
      </w:r>
      <w:r w:rsidR="001612AB">
        <w:rPr>
          <w:rFonts w:eastAsia="Times New Roman" w:cs="Calibri"/>
          <w:szCs w:val="26"/>
        </w:rPr>
        <w:t>; and (</w:t>
      </w:r>
      <w:r w:rsidRPr="00624CDF">
        <w:rPr>
          <w:rFonts w:eastAsia="Times New Roman" w:cs="Calibri"/>
          <w:szCs w:val="26"/>
        </w:rPr>
        <w:t>5)</w:t>
      </w:r>
      <w:r w:rsidR="007E1624">
        <w:rPr>
          <w:rFonts w:eastAsia="Times New Roman" w:cs="Calibri"/>
          <w:szCs w:val="26"/>
        </w:rPr>
        <w:t> </w:t>
      </w:r>
      <w:r w:rsidR="001612AB">
        <w:rPr>
          <w:rFonts w:eastAsia="Times New Roman" w:cs="Calibri"/>
          <w:szCs w:val="26"/>
        </w:rPr>
        <w:t>m</w:t>
      </w:r>
      <w:r w:rsidRPr="00624CDF">
        <w:rPr>
          <w:rFonts w:eastAsia="Times New Roman" w:cs="Calibri"/>
          <w:szCs w:val="26"/>
        </w:rPr>
        <w:t>ust-</w:t>
      </w:r>
      <w:r w:rsidR="001612AB">
        <w:rPr>
          <w:rFonts w:eastAsia="Times New Roman" w:cs="Calibri"/>
          <w:szCs w:val="26"/>
        </w:rPr>
        <w:t>o</w:t>
      </w:r>
      <w:r w:rsidRPr="00624CDF">
        <w:rPr>
          <w:rFonts w:eastAsia="Times New Roman" w:cs="Calibri"/>
          <w:szCs w:val="26"/>
        </w:rPr>
        <w:t>ffe</w:t>
      </w:r>
      <w:r w:rsidR="001612AB">
        <w:rPr>
          <w:rFonts w:eastAsia="Times New Roman" w:cs="Calibri"/>
          <w:szCs w:val="26"/>
        </w:rPr>
        <w:t>r o</w:t>
      </w:r>
      <w:r w:rsidRPr="00624CDF">
        <w:rPr>
          <w:rFonts w:eastAsia="Times New Roman" w:cs="Calibri"/>
          <w:szCs w:val="26"/>
        </w:rPr>
        <w:t>bligation.</w:t>
      </w:r>
      <w:r w:rsidR="001612AB">
        <w:rPr>
          <w:rStyle w:val="FootnoteReference"/>
          <w:rFonts w:eastAsia="Times New Roman" w:cs="Calibri"/>
          <w:szCs w:val="26"/>
        </w:rPr>
        <w:footnoteReference w:id="45"/>
      </w:r>
      <w:r w:rsidRPr="00624CDF">
        <w:rPr>
          <w:rFonts w:eastAsia="Times New Roman" w:cs="Calibri"/>
          <w:szCs w:val="26"/>
        </w:rPr>
        <w:t xml:space="preserve"> </w:t>
      </w:r>
      <w:r w:rsidR="00437AB8">
        <w:rPr>
          <w:rFonts w:eastAsia="Times New Roman" w:cs="Calibri"/>
          <w:szCs w:val="26"/>
        </w:rPr>
        <w:t xml:space="preserve"> </w:t>
      </w:r>
      <w:r w:rsidRPr="00624CDF" w:rsidR="00437AB8">
        <w:rPr>
          <w:rFonts w:eastAsia="Times New Roman" w:cs="Calibri"/>
          <w:color w:val="000000"/>
        </w:rPr>
        <w:t xml:space="preserve">SDG&amp;E </w:t>
      </w:r>
      <w:r w:rsidR="00437AB8">
        <w:rPr>
          <w:rFonts w:eastAsia="Times New Roman" w:cs="Calibri"/>
          <w:color w:val="000000"/>
        </w:rPr>
        <w:t>states</w:t>
      </w:r>
      <w:r w:rsidRPr="00624CDF" w:rsidR="00437AB8">
        <w:rPr>
          <w:rFonts w:eastAsia="Times New Roman" w:cs="Calibri"/>
          <w:color w:val="000000"/>
        </w:rPr>
        <w:t xml:space="preserve"> that RA counting methodologies and compliance obligations associated with storage charging should be further discussed in implementation workshops. </w:t>
      </w:r>
    </w:p>
    <w:p w:rsidRPr="007161CC" w:rsidR="00B7574C" w:rsidP="007161CC" w:rsidRDefault="00B7574C" w14:paraId="7EA3380D" w14:textId="3A25B78C">
      <w:pPr>
        <w:rPr>
          <w:rFonts w:eastAsia="Times New Roman" w:cs="Calibri"/>
          <w:color w:val="000000"/>
          <w:szCs w:val="26"/>
        </w:rPr>
      </w:pPr>
      <w:r w:rsidRPr="00624CDF">
        <w:rPr>
          <w:rFonts w:eastAsia="Times New Roman" w:cs="Calibri"/>
          <w:color w:val="000000" w:themeColor="text1"/>
          <w:szCs w:val="26"/>
        </w:rPr>
        <w:t xml:space="preserve">Energy Division </w:t>
      </w:r>
      <w:r w:rsidR="00ED65F0">
        <w:rPr>
          <w:rFonts w:eastAsia="Times New Roman" w:cs="Calibri"/>
          <w:color w:val="000000" w:themeColor="text1"/>
          <w:szCs w:val="26"/>
        </w:rPr>
        <w:t xml:space="preserve">does </w:t>
      </w:r>
      <w:r w:rsidRPr="00624CDF">
        <w:rPr>
          <w:rFonts w:eastAsia="Times New Roman" w:cs="Calibri"/>
          <w:color w:val="000000" w:themeColor="text1"/>
          <w:szCs w:val="26"/>
        </w:rPr>
        <w:t xml:space="preserve">not </w:t>
      </w:r>
      <w:r w:rsidR="00335C61">
        <w:rPr>
          <w:rFonts w:eastAsia="Times New Roman" w:cs="Calibri"/>
          <w:color w:val="000000" w:themeColor="text1"/>
          <w:szCs w:val="26"/>
        </w:rPr>
        <w:t>offer</w:t>
      </w:r>
      <w:r w:rsidRPr="00624CDF">
        <w:rPr>
          <w:rFonts w:eastAsia="Times New Roman" w:cs="Calibri"/>
          <w:color w:val="000000" w:themeColor="text1"/>
          <w:szCs w:val="26"/>
        </w:rPr>
        <w:t xml:space="preserve"> a schedule for </w:t>
      </w:r>
      <w:r w:rsidR="00F7193F">
        <w:rPr>
          <w:rFonts w:eastAsia="Times New Roman" w:cs="Calibri"/>
          <w:color w:val="000000" w:themeColor="text1"/>
          <w:szCs w:val="26"/>
        </w:rPr>
        <w:t>developing its</w:t>
      </w:r>
      <w:r w:rsidRPr="00624CDF">
        <w:rPr>
          <w:rFonts w:eastAsia="Times New Roman" w:cs="Calibri"/>
          <w:color w:val="000000" w:themeColor="text1"/>
          <w:szCs w:val="26"/>
        </w:rPr>
        <w:t xml:space="preserve"> proposa</w:t>
      </w:r>
      <w:r w:rsidR="00F7193F">
        <w:rPr>
          <w:rFonts w:eastAsia="Times New Roman" w:cs="Calibri"/>
          <w:color w:val="000000" w:themeColor="text1"/>
          <w:szCs w:val="26"/>
        </w:rPr>
        <w:t xml:space="preserve">l but </w:t>
      </w:r>
      <w:r w:rsidR="00193B81">
        <w:rPr>
          <w:rFonts w:eastAsia="Times New Roman" w:cs="Calibri"/>
          <w:color w:val="000000" w:themeColor="text1"/>
          <w:szCs w:val="26"/>
        </w:rPr>
        <w:t>highlights</w:t>
      </w:r>
      <w:r w:rsidR="00F7193F">
        <w:rPr>
          <w:rFonts w:eastAsia="Times New Roman" w:cs="Calibri"/>
          <w:color w:val="000000" w:themeColor="text1"/>
          <w:szCs w:val="26"/>
        </w:rPr>
        <w:t xml:space="preserve"> the following </w:t>
      </w:r>
      <w:r w:rsidR="00FD20F4">
        <w:rPr>
          <w:rFonts w:eastAsia="Times New Roman" w:cs="Calibri"/>
          <w:color w:val="000000" w:themeColor="text1"/>
          <w:szCs w:val="26"/>
        </w:rPr>
        <w:t xml:space="preserve">to </w:t>
      </w:r>
      <w:r w:rsidRPr="00624CDF">
        <w:rPr>
          <w:rFonts w:eastAsia="Times New Roman" w:cs="Calibri"/>
          <w:color w:val="000000" w:themeColor="text1"/>
          <w:szCs w:val="26"/>
        </w:rPr>
        <w:t>be developed</w:t>
      </w:r>
      <w:r w:rsidR="00F7193F">
        <w:rPr>
          <w:rFonts w:eastAsia="Times New Roman" w:cs="Calibri"/>
          <w:color w:val="000000" w:themeColor="text1"/>
          <w:szCs w:val="26"/>
        </w:rPr>
        <w:t>:</w:t>
      </w:r>
      <w:r w:rsidR="00F7193F">
        <w:rPr>
          <w:rFonts w:eastAsia="Times New Roman" w:cs="Calibri"/>
          <w:color w:val="000000"/>
          <w:szCs w:val="26"/>
        </w:rPr>
        <w:t xml:space="preserve"> (1) </w:t>
      </w:r>
      <w:r w:rsidR="00F7193F">
        <w:rPr>
          <w:rFonts w:eastAsia="Times New Roman" w:cs="Calibri"/>
          <w:color w:val="000000"/>
        </w:rPr>
        <w:t>e</w:t>
      </w:r>
      <w:r w:rsidRPr="00F7193F">
        <w:rPr>
          <w:rFonts w:eastAsia="Times New Roman" w:cs="Calibri"/>
          <w:color w:val="000000"/>
        </w:rPr>
        <w:t xml:space="preserve">stablishment of </w:t>
      </w:r>
      <w:r w:rsidR="00AE1FF3">
        <w:rPr>
          <w:rFonts w:eastAsia="Times New Roman" w:cs="Calibri"/>
          <w:color w:val="000000"/>
        </w:rPr>
        <w:t xml:space="preserve">a </w:t>
      </w:r>
      <w:r w:rsidRPr="00F7193F">
        <w:rPr>
          <w:rFonts w:eastAsia="Times New Roman" w:cs="Calibri"/>
          <w:color w:val="000000"/>
        </w:rPr>
        <w:t>central clearinghouse and elements under a centralized or bilateral approach</w:t>
      </w:r>
      <w:r w:rsidR="00F7193F">
        <w:rPr>
          <w:rFonts w:eastAsia="Times New Roman" w:cs="Calibri"/>
          <w:color w:val="000000"/>
        </w:rPr>
        <w:t>; (2)</w:t>
      </w:r>
      <w:r w:rsidR="007E1624">
        <w:rPr>
          <w:rFonts w:eastAsia="Times New Roman" w:cs="Calibri"/>
          <w:color w:val="000000"/>
        </w:rPr>
        <w:t> </w:t>
      </w:r>
      <w:r w:rsidR="00F7193F">
        <w:rPr>
          <w:rFonts w:eastAsia="Times New Roman" w:cs="Calibri"/>
          <w:color w:val="000000"/>
          <w:szCs w:val="26"/>
        </w:rPr>
        <w:t>d</w:t>
      </w:r>
      <w:r w:rsidRPr="00F7193F">
        <w:rPr>
          <w:rFonts w:eastAsia="Times New Roman" w:cs="Calibri"/>
          <w:color w:val="000000"/>
        </w:rPr>
        <w:t>evelopment of firm SFPFC energy quantities by resource type</w:t>
      </w:r>
      <w:r w:rsidR="00F7193F">
        <w:rPr>
          <w:rFonts w:eastAsia="Times New Roman" w:cs="Calibri"/>
          <w:color w:val="000000"/>
        </w:rPr>
        <w:t xml:space="preserve">; </w:t>
      </w:r>
      <w:r w:rsidR="00F7193F">
        <w:rPr>
          <w:rFonts w:eastAsia="Times New Roman" w:cs="Calibri"/>
          <w:color w:val="000000"/>
          <w:szCs w:val="26"/>
        </w:rPr>
        <w:t>(3)</w:t>
      </w:r>
      <w:r w:rsidR="007E1624">
        <w:rPr>
          <w:rFonts w:eastAsia="Times New Roman" w:cs="Calibri"/>
          <w:color w:val="000000"/>
          <w:szCs w:val="26"/>
        </w:rPr>
        <w:t> </w:t>
      </w:r>
      <w:r w:rsidRPr="00F7193F">
        <w:rPr>
          <w:rFonts w:eastAsia="Times New Roman" w:cs="Calibri"/>
          <w:color w:val="000000"/>
        </w:rPr>
        <w:t>development of SFPFC quantities to be purchased in auctions</w:t>
      </w:r>
      <w:r w:rsidR="00F7193F">
        <w:rPr>
          <w:rFonts w:eastAsia="Times New Roman" w:cs="Calibri"/>
          <w:color w:val="000000"/>
        </w:rPr>
        <w:t xml:space="preserve">; (4) </w:t>
      </w:r>
      <w:r w:rsidRPr="00F7193F">
        <w:rPr>
          <w:rFonts w:eastAsia="Times New Roman" w:cs="Calibri"/>
          <w:color w:val="000000"/>
        </w:rPr>
        <w:t xml:space="preserve">penalties for failing to </w:t>
      </w:r>
      <w:r w:rsidR="003A7A98">
        <w:rPr>
          <w:rFonts w:eastAsia="Times New Roman" w:cs="Calibri"/>
          <w:color w:val="000000"/>
        </w:rPr>
        <w:t>comply</w:t>
      </w:r>
      <w:r w:rsidRPr="00F7193F">
        <w:rPr>
          <w:rFonts w:eastAsia="Times New Roman" w:cs="Calibri"/>
          <w:color w:val="000000"/>
        </w:rPr>
        <w:t xml:space="preserve"> and true</w:t>
      </w:r>
      <w:r w:rsidR="003A7A98">
        <w:rPr>
          <w:rFonts w:eastAsia="Times New Roman" w:cs="Calibri"/>
          <w:color w:val="000000"/>
        </w:rPr>
        <w:t>-</w:t>
      </w:r>
      <w:r w:rsidRPr="00F7193F">
        <w:rPr>
          <w:rFonts w:eastAsia="Times New Roman" w:cs="Calibri"/>
          <w:color w:val="000000"/>
        </w:rPr>
        <w:t>up obligations</w:t>
      </w:r>
      <w:r w:rsidR="00F7193F">
        <w:rPr>
          <w:rFonts w:eastAsia="Times New Roman" w:cs="Calibri"/>
          <w:color w:val="000000"/>
        </w:rPr>
        <w:t>; and (5) t</w:t>
      </w:r>
      <w:r w:rsidRPr="00F7193F">
        <w:rPr>
          <w:rFonts w:eastAsia="Times New Roman" w:cs="Calibri"/>
          <w:color w:val="000000"/>
        </w:rPr>
        <w:t>ransitioning existing contracts to the SFPFC framework</w:t>
      </w:r>
      <w:r w:rsidR="00140D24">
        <w:rPr>
          <w:rFonts w:eastAsia="Times New Roman" w:cs="Calibri"/>
          <w:color w:val="000000" w:themeColor="text1"/>
        </w:rPr>
        <w:t xml:space="preserve"> (including</w:t>
      </w:r>
      <w:r w:rsidR="00DA24EC">
        <w:rPr>
          <w:rFonts w:eastAsia="Times New Roman" w:cs="Calibri"/>
          <w:color w:val="000000" w:themeColor="text1"/>
        </w:rPr>
        <w:t xml:space="preserve"> a</w:t>
      </w:r>
      <w:r w:rsidRPr="00624CDF" w:rsidR="00140D24">
        <w:rPr>
          <w:rFonts w:eastAsia="Times New Roman" w:cs="Calibri"/>
          <w:color w:val="000000" w:themeColor="text1"/>
        </w:rPr>
        <w:t xml:space="preserve"> calculation to convert </w:t>
      </w:r>
      <w:r w:rsidR="00140D24">
        <w:rPr>
          <w:rFonts w:eastAsia="Times New Roman" w:cs="Calibri"/>
          <w:color w:val="000000" w:themeColor="text1"/>
        </w:rPr>
        <w:t>existing</w:t>
      </w:r>
      <w:r w:rsidRPr="00624CDF" w:rsidR="00140D24">
        <w:rPr>
          <w:rFonts w:eastAsia="Times New Roman" w:cs="Calibri"/>
          <w:color w:val="000000" w:themeColor="text1"/>
        </w:rPr>
        <w:t xml:space="preserve"> contracts to the SFPFC value stream</w:t>
      </w:r>
      <w:r w:rsidR="00140D24">
        <w:rPr>
          <w:rFonts w:eastAsia="Times New Roman" w:cs="Calibri"/>
          <w:color w:val="000000" w:themeColor="text1"/>
        </w:rPr>
        <w:t>)</w:t>
      </w:r>
      <w:r w:rsidR="00F7193F">
        <w:rPr>
          <w:rFonts w:eastAsia="Times New Roman" w:cs="Calibri"/>
          <w:color w:val="000000"/>
        </w:rPr>
        <w:t>.</w:t>
      </w:r>
      <w:r w:rsidR="007161CC">
        <w:rPr>
          <w:rStyle w:val="FootnoteReference"/>
          <w:rFonts w:eastAsia="Times New Roman" w:cs="Calibri"/>
          <w:color w:val="000000"/>
        </w:rPr>
        <w:footnoteReference w:id="46"/>
      </w:r>
      <w:r w:rsidR="007161CC">
        <w:rPr>
          <w:rFonts w:eastAsia="Times New Roman" w:cs="Calibri"/>
          <w:color w:val="000000"/>
          <w:szCs w:val="26"/>
        </w:rPr>
        <w:t xml:space="preserve">  </w:t>
      </w:r>
    </w:p>
    <w:p w:rsidRPr="00624CDF" w:rsidR="00B7574C" w:rsidP="007161CC" w:rsidRDefault="00FF384C" w14:paraId="12DAA7EA" w14:textId="39AE7067">
      <w:pPr>
        <w:autoSpaceDE w:val="0"/>
        <w:autoSpaceDN w:val="0"/>
        <w:adjustRightInd w:val="0"/>
        <w:rPr>
          <w:rFonts w:eastAsia="Times New Roman" w:cs="Calibri"/>
          <w:color w:val="000000"/>
        </w:rPr>
      </w:pPr>
      <w:r>
        <w:rPr>
          <w:rFonts w:eastAsia="Times New Roman" w:cs="Calibri"/>
          <w:color w:val="000000" w:themeColor="text1"/>
        </w:rPr>
        <w:t>We</w:t>
      </w:r>
      <w:r w:rsidRPr="00624CDF" w:rsidR="00B7574C">
        <w:rPr>
          <w:rFonts w:eastAsia="Times New Roman" w:cs="Calibri"/>
          <w:color w:val="000000" w:themeColor="text1"/>
        </w:rPr>
        <w:t xml:space="preserve"> acknowledge that under </w:t>
      </w:r>
      <w:r w:rsidR="007161CC">
        <w:rPr>
          <w:rFonts w:eastAsia="Times New Roman" w:cs="Calibri"/>
          <w:color w:val="000000" w:themeColor="text1"/>
        </w:rPr>
        <w:t xml:space="preserve">any of </w:t>
      </w:r>
      <w:r w:rsidR="0015097D">
        <w:rPr>
          <w:rFonts w:eastAsia="Times New Roman" w:cs="Calibri"/>
          <w:color w:val="000000" w:themeColor="text1"/>
        </w:rPr>
        <w:t>the restructur</w:t>
      </w:r>
      <w:r w:rsidR="003874FB">
        <w:rPr>
          <w:rFonts w:eastAsia="Times New Roman" w:cs="Calibri"/>
          <w:color w:val="000000" w:themeColor="text1"/>
        </w:rPr>
        <w:t>ing</w:t>
      </w:r>
      <w:r w:rsidRPr="00624CDF" w:rsidR="00B7574C">
        <w:rPr>
          <w:rFonts w:eastAsia="Times New Roman" w:cs="Calibri"/>
          <w:color w:val="000000" w:themeColor="text1"/>
        </w:rPr>
        <w:t xml:space="preserve"> proposal</w:t>
      </w:r>
      <w:r w:rsidR="007161CC">
        <w:rPr>
          <w:rFonts w:eastAsia="Times New Roman" w:cs="Calibri"/>
          <w:color w:val="000000" w:themeColor="text1"/>
        </w:rPr>
        <w:t xml:space="preserve">s, </w:t>
      </w:r>
      <w:r w:rsidR="0015097D">
        <w:rPr>
          <w:rFonts w:eastAsia="Times New Roman" w:cs="Calibri"/>
          <w:color w:val="000000" w:themeColor="text1"/>
        </w:rPr>
        <w:t xml:space="preserve">several key </w:t>
      </w:r>
      <w:r w:rsidRPr="00624CDF" w:rsidR="00B7574C">
        <w:rPr>
          <w:rFonts w:eastAsia="Times New Roman" w:cs="Calibri"/>
          <w:color w:val="000000" w:themeColor="text1"/>
        </w:rPr>
        <w:t xml:space="preserve">implementation details </w:t>
      </w:r>
      <w:r w:rsidR="00EA4296">
        <w:rPr>
          <w:rFonts w:eastAsia="Times New Roman" w:cs="Calibri"/>
          <w:color w:val="000000" w:themeColor="text1"/>
        </w:rPr>
        <w:t>must</w:t>
      </w:r>
      <w:r w:rsidRPr="00624CDF" w:rsidR="00B7574C">
        <w:rPr>
          <w:rFonts w:eastAsia="Times New Roman" w:cs="Calibri"/>
          <w:color w:val="000000" w:themeColor="text1"/>
        </w:rPr>
        <w:t xml:space="preserve"> be developed.  Some common areas across </w:t>
      </w:r>
      <w:r w:rsidR="007161CC">
        <w:rPr>
          <w:rFonts w:eastAsia="Times New Roman" w:cs="Calibri"/>
          <w:color w:val="000000" w:themeColor="text1"/>
        </w:rPr>
        <w:t xml:space="preserve">all </w:t>
      </w:r>
      <w:r w:rsidRPr="00624CDF" w:rsidR="00B7574C">
        <w:rPr>
          <w:rFonts w:eastAsia="Times New Roman" w:cs="Calibri"/>
          <w:color w:val="000000" w:themeColor="text1"/>
        </w:rPr>
        <w:t xml:space="preserve">proposals that will require development </w:t>
      </w:r>
      <w:proofErr w:type="gramStart"/>
      <w:r w:rsidRPr="00624CDF" w:rsidR="00B7574C">
        <w:rPr>
          <w:rFonts w:eastAsia="Times New Roman" w:cs="Calibri"/>
          <w:color w:val="000000" w:themeColor="text1"/>
        </w:rPr>
        <w:t>include:</w:t>
      </w:r>
      <w:proofErr w:type="gramEnd"/>
      <w:r w:rsidRPr="00624CDF" w:rsidR="00B7574C">
        <w:rPr>
          <w:rFonts w:eastAsia="Times New Roman" w:cs="Calibri"/>
          <w:color w:val="000000" w:themeColor="text1"/>
        </w:rPr>
        <w:t xml:space="preserve"> resource counting methodologies, need determination and allocation, and structural components. </w:t>
      </w:r>
      <w:r w:rsidR="007161CC">
        <w:rPr>
          <w:rFonts w:eastAsia="Times New Roman" w:cs="Calibri"/>
          <w:color w:val="000000" w:themeColor="text1"/>
        </w:rPr>
        <w:t>The</w:t>
      </w:r>
      <w:r w:rsidRPr="00624CDF" w:rsidR="00B7574C">
        <w:rPr>
          <w:rFonts w:eastAsia="Times New Roman" w:cs="Calibri"/>
          <w:color w:val="000000" w:themeColor="text1"/>
        </w:rPr>
        <w:t xml:space="preserve"> SFPFC </w:t>
      </w:r>
      <w:r w:rsidR="007161CC">
        <w:rPr>
          <w:rFonts w:eastAsia="Times New Roman" w:cs="Calibri"/>
          <w:color w:val="000000" w:themeColor="text1"/>
        </w:rPr>
        <w:t xml:space="preserve">proposal </w:t>
      </w:r>
      <w:r w:rsidR="00902DED">
        <w:rPr>
          <w:rFonts w:eastAsia="Times New Roman" w:cs="Calibri"/>
          <w:color w:val="000000" w:themeColor="text1"/>
        </w:rPr>
        <w:t>would</w:t>
      </w:r>
      <w:r w:rsidR="007161CC">
        <w:rPr>
          <w:rFonts w:eastAsia="Times New Roman" w:cs="Calibri"/>
          <w:color w:val="000000" w:themeColor="text1"/>
        </w:rPr>
        <w:t xml:space="preserve"> also require </w:t>
      </w:r>
      <w:r w:rsidRPr="00624CDF" w:rsidR="00B7574C">
        <w:rPr>
          <w:rFonts w:eastAsia="Times New Roman" w:cs="Calibri"/>
          <w:color w:val="000000" w:themeColor="text1"/>
        </w:rPr>
        <w:t>contract conversion</w:t>
      </w:r>
      <w:r w:rsidR="007161CC">
        <w:rPr>
          <w:rFonts w:eastAsia="Times New Roman" w:cs="Calibri"/>
          <w:color w:val="000000" w:themeColor="text1"/>
        </w:rPr>
        <w:t xml:space="preserve"> calculations to convert</w:t>
      </w:r>
      <w:r w:rsidRPr="00624CDF" w:rsidR="00B7574C">
        <w:rPr>
          <w:rFonts w:eastAsia="Times New Roman" w:cs="Calibri"/>
          <w:color w:val="000000" w:themeColor="text1"/>
        </w:rPr>
        <w:t xml:space="preserve"> RA value streams into a financial fixed price energy hedge value stream</w:t>
      </w:r>
      <w:r w:rsidR="0015097D">
        <w:rPr>
          <w:rFonts w:eastAsia="Times New Roman" w:cs="Calibri"/>
          <w:color w:val="000000" w:themeColor="text1"/>
        </w:rPr>
        <w:t xml:space="preserve">, </w:t>
      </w:r>
      <w:r w:rsidR="0015097D">
        <w:rPr>
          <w:rFonts w:eastAsia="Times New Roman" w:cs="Calibri"/>
          <w:color w:val="000000" w:themeColor="text1"/>
        </w:rPr>
        <w:lastRenderedPageBreak/>
        <w:t xml:space="preserve">as well as </w:t>
      </w:r>
      <w:r w:rsidRPr="00624CDF" w:rsidR="00B7574C">
        <w:rPr>
          <w:rFonts w:eastAsia="Times New Roman" w:cs="Calibri"/>
          <w:color w:val="000000" w:themeColor="text1"/>
        </w:rPr>
        <w:t xml:space="preserve">establishment of a financial clearinghouse and central procurement entity.  </w:t>
      </w:r>
      <w:r w:rsidR="001B1DE7">
        <w:rPr>
          <w:rFonts w:eastAsia="Times New Roman" w:cs="Calibri"/>
          <w:color w:val="000000" w:themeColor="text1"/>
        </w:rPr>
        <w:t>Of</w:t>
      </w:r>
      <w:r w:rsidR="001C1CED">
        <w:rPr>
          <w:rFonts w:eastAsia="Times New Roman" w:cs="Calibri"/>
          <w:color w:val="000000" w:themeColor="text1"/>
        </w:rPr>
        <w:t xml:space="preserve"> </w:t>
      </w:r>
      <w:proofErr w:type="gramStart"/>
      <w:r w:rsidR="001C1CED">
        <w:rPr>
          <w:rFonts w:eastAsia="Times New Roman" w:cs="Calibri"/>
          <w:color w:val="000000" w:themeColor="text1"/>
        </w:rPr>
        <w:t>all of</w:t>
      </w:r>
      <w:proofErr w:type="gramEnd"/>
      <w:r w:rsidR="001C1CED">
        <w:rPr>
          <w:rFonts w:eastAsia="Times New Roman" w:cs="Calibri"/>
          <w:color w:val="000000" w:themeColor="text1"/>
        </w:rPr>
        <w:t xml:space="preserve"> the proposals,</w:t>
      </w:r>
      <w:r w:rsidR="00F50B8F">
        <w:rPr>
          <w:rFonts w:eastAsia="Times New Roman" w:cs="Calibri"/>
          <w:color w:val="000000" w:themeColor="text1"/>
        </w:rPr>
        <w:t xml:space="preserve"> the SFPFC proposal </w:t>
      </w:r>
      <w:r w:rsidR="009F35F9">
        <w:rPr>
          <w:rFonts w:eastAsia="Times New Roman" w:cs="Calibri"/>
          <w:color w:val="000000" w:themeColor="text1"/>
        </w:rPr>
        <w:t xml:space="preserve">is </w:t>
      </w:r>
      <w:r w:rsidR="00303BBE">
        <w:rPr>
          <w:rFonts w:eastAsia="Times New Roman" w:cs="Calibri"/>
          <w:color w:val="000000" w:themeColor="text1"/>
        </w:rPr>
        <w:t>unlikely</w:t>
      </w:r>
      <w:r w:rsidRPr="00624CDF" w:rsidR="00B7574C">
        <w:rPr>
          <w:rFonts w:eastAsia="Times New Roman" w:cs="Calibri"/>
          <w:color w:val="000000" w:themeColor="text1"/>
        </w:rPr>
        <w:t xml:space="preserve"> to </w:t>
      </w:r>
      <w:r w:rsidR="001A7F68">
        <w:rPr>
          <w:rFonts w:eastAsia="Times New Roman" w:cs="Calibri"/>
          <w:color w:val="000000" w:themeColor="text1"/>
        </w:rPr>
        <w:t>be timely developed for</w:t>
      </w:r>
      <w:r w:rsidR="00303BBE">
        <w:rPr>
          <w:rFonts w:eastAsia="Times New Roman" w:cs="Calibri"/>
          <w:color w:val="000000" w:themeColor="text1"/>
        </w:rPr>
        <w:t xml:space="preserve"> the 2024 compliance year</w:t>
      </w:r>
      <w:r w:rsidRPr="00624CDF" w:rsidR="00B7574C">
        <w:rPr>
          <w:rFonts w:eastAsia="Times New Roman" w:cs="Calibri"/>
          <w:color w:val="000000" w:themeColor="text1"/>
        </w:rPr>
        <w:t xml:space="preserve">. </w:t>
      </w:r>
    </w:p>
    <w:p w:rsidR="00A61B37" w:rsidP="00900D22" w:rsidRDefault="00900D22" w14:paraId="6B137C91" w14:textId="40A6C73C">
      <w:pPr>
        <w:pStyle w:val="Heading2"/>
      </w:pPr>
      <w:bookmarkStart w:name="_Toc74206127" w:id="35"/>
      <w:r>
        <w:t>Discussion</w:t>
      </w:r>
      <w:r w:rsidR="00791F42">
        <w:t xml:space="preserve"> of Proposals</w:t>
      </w:r>
      <w:bookmarkEnd w:id="35"/>
    </w:p>
    <w:p w:rsidR="0009056E" w:rsidP="005276FE" w:rsidRDefault="00AF775B" w14:paraId="66216317" w14:textId="27E9D111">
      <w:pPr>
        <w:pStyle w:val="Standard"/>
      </w:pPr>
      <w:r>
        <w:t xml:space="preserve">In applying the </w:t>
      </w:r>
      <w:r w:rsidR="00CE0509">
        <w:t xml:space="preserve">identified </w:t>
      </w:r>
      <w:r>
        <w:t xml:space="preserve">principles to the </w:t>
      </w:r>
      <w:r w:rsidR="00910715">
        <w:t>restructur</w:t>
      </w:r>
      <w:r w:rsidR="00C532CD">
        <w:t>ing</w:t>
      </w:r>
      <w:r>
        <w:t xml:space="preserve"> proposals, the Commission </w:t>
      </w:r>
      <w:r w:rsidR="001C0586">
        <w:t>concludes</w:t>
      </w:r>
      <w:r>
        <w:t xml:space="preserve"> that </w:t>
      </w:r>
      <w:r w:rsidR="001C0586">
        <w:t>the</w:t>
      </w:r>
      <w:r>
        <w:t xml:space="preserve"> SFPFC proposal should not be further developed</w:t>
      </w:r>
      <w:r w:rsidR="00CB6DF6">
        <w:t xml:space="preserve"> as a </w:t>
      </w:r>
      <w:r w:rsidR="0044396E">
        <w:t>potential</w:t>
      </w:r>
      <w:r w:rsidR="00CB6DF6">
        <w:t xml:space="preserve"> </w:t>
      </w:r>
      <w:r w:rsidR="00216916">
        <w:t>RA</w:t>
      </w:r>
      <w:r w:rsidR="00CB6DF6">
        <w:t xml:space="preserve"> framework</w:t>
      </w:r>
      <w:r>
        <w:t xml:space="preserve">.  </w:t>
      </w:r>
      <w:r w:rsidR="0089228D">
        <w:t>We</w:t>
      </w:r>
      <w:r>
        <w:t xml:space="preserve"> appreciate the</w:t>
      </w:r>
      <w:r w:rsidR="00177183">
        <w:t xml:space="preserve"> proposal’s innovative </w:t>
      </w:r>
      <w:r w:rsidR="005B57A0">
        <w:t xml:space="preserve">approach </w:t>
      </w:r>
      <w:r w:rsidR="00F62513">
        <w:t xml:space="preserve">to </w:t>
      </w:r>
      <w:r w:rsidR="00177183">
        <w:t>restructur</w:t>
      </w:r>
      <w:r w:rsidR="00F62513">
        <w:t>ing</w:t>
      </w:r>
      <w:r w:rsidR="00177183">
        <w:t xml:space="preserve"> the RA program </w:t>
      </w:r>
      <w:r w:rsidR="00481306">
        <w:t xml:space="preserve">and </w:t>
      </w:r>
      <w:r w:rsidR="00177183">
        <w:t xml:space="preserve">the </w:t>
      </w:r>
      <w:r w:rsidR="00481306">
        <w:t>unique</w:t>
      </w:r>
      <w:r w:rsidR="00CB6DF6">
        <w:t xml:space="preserve"> </w:t>
      </w:r>
      <w:r>
        <w:t xml:space="preserve">potential </w:t>
      </w:r>
      <w:r w:rsidR="00542976">
        <w:t>t</w:t>
      </w:r>
      <w:r>
        <w:t>o link RA</w:t>
      </w:r>
      <w:r w:rsidR="00612B18">
        <w:t xml:space="preserve"> </w:t>
      </w:r>
      <w:r>
        <w:t>with energy bidding</w:t>
      </w:r>
      <w:r w:rsidR="00CB6DF6">
        <w:t xml:space="preserve"> behavior</w:t>
      </w:r>
      <w:r w:rsidR="00EB5D4B">
        <w:t xml:space="preserve"> </w:t>
      </w:r>
      <w:r w:rsidR="006509ED">
        <w:t>that could minimize customer costs</w:t>
      </w:r>
      <w:r w:rsidR="00CB6DF6">
        <w:t xml:space="preserve">, which the Commission deems critical </w:t>
      </w:r>
      <w:r w:rsidR="005F2729">
        <w:t>to any</w:t>
      </w:r>
      <w:r w:rsidR="00CB6DF6">
        <w:t xml:space="preserve"> future RA program.  </w:t>
      </w:r>
      <w:r w:rsidR="0007631C">
        <w:t>A</w:t>
      </w:r>
      <w:r w:rsidR="00CB6DF6">
        <w:t xml:space="preserve">s </w:t>
      </w:r>
      <w:r w:rsidR="0007631C">
        <w:t>presented</w:t>
      </w:r>
      <w:r w:rsidR="00CB6DF6">
        <w:t>,</w:t>
      </w:r>
      <w:r w:rsidR="0007631C">
        <w:t xml:space="preserve"> however,</w:t>
      </w:r>
      <w:r w:rsidR="00CB6DF6">
        <w:t xml:space="preserve"> the SFPFC proposal </w:t>
      </w:r>
      <w:r w:rsidR="00C60872">
        <w:t>requires development of significant details</w:t>
      </w:r>
      <w:r w:rsidR="00857A1C">
        <w:t xml:space="preserve">, such as establishing a central financial clearinghouse and central procurement entity, which </w:t>
      </w:r>
      <w:r w:rsidR="00C60872">
        <w:t>will likely delay implementation past the 2024 compliance year</w:t>
      </w:r>
      <w:r w:rsidR="005276FE">
        <w:t xml:space="preserve">.  </w:t>
      </w:r>
    </w:p>
    <w:p w:rsidR="005F6006" w:rsidP="005276FE" w:rsidRDefault="00156EE2" w14:paraId="61AF9596" w14:textId="45E00665">
      <w:pPr>
        <w:pStyle w:val="Standard"/>
      </w:pPr>
      <w:r>
        <w:t>We</w:t>
      </w:r>
      <w:r w:rsidR="005F6006">
        <w:t xml:space="preserve"> also observe that a broad </w:t>
      </w:r>
      <w:r w:rsidR="0009056E">
        <w:t>range</w:t>
      </w:r>
      <w:r w:rsidR="005F6006">
        <w:t xml:space="preserve"> of parties </w:t>
      </w:r>
      <w:r w:rsidR="006D19FB">
        <w:t>oppose</w:t>
      </w:r>
      <w:r w:rsidR="005F6006">
        <w:t xml:space="preserve"> the SFPFC proposal </w:t>
      </w:r>
      <w:r w:rsidR="001319B7">
        <w:t>because, among other reasons,</w:t>
      </w:r>
      <w:r w:rsidR="005F6006">
        <w:t xml:space="preserve"> it is too complicated to understand</w:t>
      </w:r>
      <w:r w:rsidR="008F5225">
        <w:t xml:space="preserve">, </w:t>
      </w:r>
      <w:r w:rsidR="005F6006">
        <w:t>it may not incentivize new generation and storage</w:t>
      </w:r>
      <w:r w:rsidR="008F5225">
        <w:t xml:space="preserve">, and </w:t>
      </w:r>
      <w:r w:rsidR="00B64E1B">
        <w:t>it</w:t>
      </w:r>
      <w:r w:rsidR="008F5225">
        <w:t xml:space="preserve"> may</w:t>
      </w:r>
      <w:r w:rsidR="005F6006">
        <w:t xml:space="preserve"> result in diminished retail competition.</w:t>
      </w:r>
      <w:r w:rsidR="00E1475B">
        <w:t xml:space="preserve">  For </w:t>
      </w:r>
      <w:r w:rsidR="008802B9">
        <w:t>these</w:t>
      </w:r>
      <w:r w:rsidR="00E1475B">
        <w:t xml:space="preserve"> reasons, we decline to further </w:t>
      </w:r>
      <w:r w:rsidR="00BE1B82">
        <w:t xml:space="preserve">develop </w:t>
      </w:r>
      <w:r w:rsidR="00E1475B">
        <w:t xml:space="preserve">the SFPFC proposal.  As discussed below, however, aspects of the SFPFC </w:t>
      </w:r>
      <w:r w:rsidR="000200BC">
        <w:t>concept</w:t>
      </w:r>
      <w:r w:rsidR="00E1475B">
        <w:t xml:space="preserve"> </w:t>
      </w:r>
      <w:r w:rsidR="00C87C75">
        <w:t>may b</w:t>
      </w:r>
      <w:r w:rsidR="00E1475B">
        <w:t xml:space="preserve">e considered </w:t>
      </w:r>
      <w:r w:rsidR="00DD2BA8">
        <w:t xml:space="preserve">as a hedging component that may be layered onto </w:t>
      </w:r>
      <w:r w:rsidR="00394437">
        <w:t>a</w:t>
      </w:r>
      <w:r w:rsidR="00E1475B">
        <w:t xml:space="preserve"> final proposed RA framework. </w:t>
      </w:r>
      <w:r w:rsidR="005F6006">
        <w:t xml:space="preserve">  </w:t>
      </w:r>
    </w:p>
    <w:p w:rsidR="005F6006" w:rsidP="00900D22" w:rsidRDefault="00A13659" w14:paraId="54267050" w14:textId="396DEC41">
      <w:pPr>
        <w:pStyle w:val="Standard"/>
      </w:pPr>
      <w:r>
        <w:t xml:space="preserve">The Commission </w:t>
      </w:r>
      <w:r w:rsidR="006509ED">
        <w:t xml:space="preserve">also </w:t>
      </w:r>
      <w:r>
        <w:t>finds that SDG&amp;E’s simplified slice-of-day proposal</w:t>
      </w:r>
      <w:r w:rsidR="00612B18">
        <w:t xml:space="preserve">, as </w:t>
      </w:r>
      <w:r w:rsidR="00A040D9">
        <w:t>presented</w:t>
      </w:r>
      <w:r w:rsidR="00612B18">
        <w:t>,</w:t>
      </w:r>
      <w:r>
        <w:t xml:space="preserve"> </w:t>
      </w:r>
      <w:r w:rsidR="006509ED">
        <w:t xml:space="preserve">does not adequately address the </w:t>
      </w:r>
      <w:r w:rsidR="00350080">
        <w:t xml:space="preserve">identified </w:t>
      </w:r>
      <w:r w:rsidR="006509ED">
        <w:t>key principles for a</w:t>
      </w:r>
      <w:r>
        <w:t xml:space="preserve"> future framework.  While </w:t>
      </w:r>
      <w:r w:rsidR="00CD1D11">
        <w:t>the</w:t>
      </w:r>
      <w:r>
        <w:t xml:space="preserve"> proposal </w:t>
      </w:r>
      <w:r w:rsidR="00275A49">
        <w:t>offers</w:t>
      </w:r>
      <w:r>
        <w:t xml:space="preserve"> less complexity than PG&amp;E’s proposal, we agree with parties that state that </w:t>
      </w:r>
      <w:r w:rsidR="000F0449">
        <w:t>failing to</w:t>
      </w:r>
      <w:r>
        <w:t xml:space="preserve"> t</w:t>
      </w:r>
      <w:r w:rsidR="000F0449">
        <w:t>ie</w:t>
      </w:r>
      <w:r>
        <w:t xml:space="preserve"> capacity to a specific </w:t>
      </w:r>
      <w:proofErr w:type="gramStart"/>
      <w:r>
        <w:t>time period</w:t>
      </w:r>
      <w:proofErr w:type="gramEnd"/>
      <w:r>
        <w:t xml:space="preserve"> raises the same </w:t>
      </w:r>
      <w:r w:rsidR="000B116F">
        <w:t xml:space="preserve">hourly </w:t>
      </w:r>
      <w:r w:rsidR="00297E3A">
        <w:t>resource</w:t>
      </w:r>
      <w:r w:rsidR="000B116F">
        <w:t xml:space="preserve"> sufficiency </w:t>
      </w:r>
      <w:r>
        <w:t xml:space="preserve">issues as </w:t>
      </w:r>
      <w:r w:rsidR="000B116F">
        <w:t>SCE/</w:t>
      </w:r>
      <w:proofErr w:type="spellStart"/>
      <w:r w:rsidR="000B116F">
        <w:t>CalCCA’s</w:t>
      </w:r>
      <w:proofErr w:type="spellEnd"/>
      <w:r w:rsidR="000B116F">
        <w:t xml:space="preserve"> </w:t>
      </w:r>
      <w:r>
        <w:t>proposal and could result in insufficient capacity to meet demand in all hours.</w:t>
      </w:r>
    </w:p>
    <w:p w:rsidR="00A13659" w:rsidP="00900D22" w:rsidRDefault="00A13659" w14:paraId="619D7FE5" w14:textId="39D7055A">
      <w:pPr>
        <w:pStyle w:val="Standard"/>
      </w:pPr>
      <w:r>
        <w:lastRenderedPageBreak/>
        <w:t xml:space="preserve">With respect to </w:t>
      </w:r>
      <w:r w:rsidR="00B5078D">
        <w:t>SCE/</w:t>
      </w:r>
      <w:proofErr w:type="spellStart"/>
      <w:r w:rsidR="00B5078D">
        <w:t>CalCCA</w:t>
      </w:r>
      <w:r>
        <w:t>’s</w:t>
      </w:r>
      <w:proofErr w:type="spellEnd"/>
      <w:r>
        <w:t xml:space="preserve"> proposal, the Commission appreciates the use of an NQE </w:t>
      </w:r>
      <w:r w:rsidR="001F6BE3">
        <w:t>requirement</w:t>
      </w:r>
      <w:r>
        <w:t xml:space="preserve"> to </w:t>
      </w:r>
      <w:r w:rsidR="000B116F">
        <w:t xml:space="preserve">attempt to </w:t>
      </w:r>
      <w:r w:rsidR="00CF1DD1">
        <w:t>address hourly energy sufficiency</w:t>
      </w:r>
      <w:r w:rsidR="009C43F2">
        <w:t xml:space="preserve">.  However, we are </w:t>
      </w:r>
      <w:r w:rsidR="00C614A2">
        <w:t>concerned</w:t>
      </w:r>
      <w:r w:rsidR="004979E2">
        <w:t xml:space="preserve"> </w:t>
      </w:r>
      <w:r w:rsidR="00C614A2">
        <w:t xml:space="preserve">that </w:t>
      </w:r>
      <w:r w:rsidR="005929AC">
        <w:t xml:space="preserve">hourly energy sufficiency is not </w:t>
      </w:r>
      <w:r w:rsidR="00D34874">
        <w:t>adequately</w:t>
      </w:r>
      <w:r w:rsidR="005929AC">
        <w:t xml:space="preserve"> addressed since NQE requirements and resource values are aggregated across the month.</w:t>
      </w:r>
      <w:r w:rsidR="005F1112">
        <w:t xml:space="preserve"> </w:t>
      </w:r>
      <w:r w:rsidR="005929AC">
        <w:t xml:space="preserve"> </w:t>
      </w:r>
      <w:r w:rsidR="005F1112">
        <w:t xml:space="preserve">While </w:t>
      </w:r>
      <w:r w:rsidR="00B5078D">
        <w:t>SCE/</w:t>
      </w:r>
      <w:proofErr w:type="spellStart"/>
      <w:r w:rsidR="00B5078D">
        <w:t>CalCCA</w:t>
      </w:r>
      <w:proofErr w:type="spellEnd"/>
      <w:r w:rsidR="005F1112">
        <w:t xml:space="preserve"> put forth </w:t>
      </w:r>
      <w:r w:rsidR="00F708EE">
        <w:t xml:space="preserve">high-level </w:t>
      </w:r>
      <w:r w:rsidR="005F1112">
        <w:t xml:space="preserve">options to address </w:t>
      </w:r>
      <w:r w:rsidR="009A043E">
        <w:t>this concern</w:t>
      </w:r>
      <w:r w:rsidR="005F1112">
        <w:t xml:space="preserve">, layering </w:t>
      </w:r>
      <w:r w:rsidR="001B0A03">
        <w:t>a new</w:t>
      </w:r>
      <w:r w:rsidR="005F1112">
        <w:t xml:space="preserve"> component onto the proposal, </w:t>
      </w:r>
      <w:r w:rsidR="00C778F4">
        <w:t>such as</w:t>
      </w:r>
      <w:r w:rsidR="005F1112">
        <w:t xml:space="preserve"> PG&amp;E’s slice</w:t>
      </w:r>
      <w:r w:rsidR="00E02BEA">
        <w:noBreakHyphen/>
      </w:r>
      <w:r w:rsidR="005F1112">
        <w:t>of</w:t>
      </w:r>
      <w:r w:rsidR="00E02BEA">
        <w:noBreakHyphen/>
      </w:r>
      <w:r w:rsidR="005F1112">
        <w:t xml:space="preserve">day </w:t>
      </w:r>
      <w:r w:rsidR="0095236B">
        <w:t>element</w:t>
      </w:r>
      <w:r w:rsidR="005F1112">
        <w:t>, would further increase the complexity of the proposed framework</w:t>
      </w:r>
      <w:r w:rsidR="009A043E">
        <w:t xml:space="preserve"> and </w:t>
      </w:r>
      <w:r w:rsidR="00DD51DD">
        <w:t xml:space="preserve">the new component </w:t>
      </w:r>
      <w:r w:rsidR="009A043E">
        <w:t>must still be developed for timely implementation</w:t>
      </w:r>
      <w:r w:rsidR="005F1112">
        <w:t>.</w:t>
      </w:r>
    </w:p>
    <w:p w:rsidR="002021EA" w:rsidP="00BA5893" w:rsidRDefault="00542629" w14:paraId="52E982C2" w14:textId="1C9E1977">
      <w:pPr>
        <w:pStyle w:val="Standard"/>
      </w:pPr>
      <w:r>
        <w:t xml:space="preserve">The Commission finds that PG&amp;E’s slice-of-day </w:t>
      </w:r>
      <w:r w:rsidR="00C94DDA">
        <w:rPr>
          <w:rFonts w:eastAsiaTheme="minorEastAsia"/>
          <w:szCs w:val="26"/>
        </w:rPr>
        <w:t>proposal</w:t>
      </w:r>
      <w:r w:rsidR="006778E0">
        <w:rPr>
          <w:rFonts w:eastAsiaTheme="minorEastAsia"/>
          <w:szCs w:val="26"/>
        </w:rPr>
        <w:t xml:space="preserve"> appears to </w:t>
      </w:r>
      <w:r w:rsidRPr="0007785C" w:rsidR="006778E0">
        <w:rPr>
          <w:rFonts w:eastAsiaTheme="minorEastAsia"/>
          <w:szCs w:val="26"/>
        </w:rPr>
        <w:t xml:space="preserve">best address </w:t>
      </w:r>
      <w:r w:rsidR="006778E0">
        <w:rPr>
          <w:rFonts w:eastAsiaTheme="minorEastAsia"/>
          <w:szCs w:val="26"/>
        </w:rPr>
        <w:t xml:space="preserve">the </w:t>
      </w:r>
      <w:r w:rsidR="00DD51DD">
        <w:rPr>
          <w:rFonts w:eastAsiaTheme="minorEastAsia"/>
          <w:szCs w:val="26"/>
        </w:rPr>
        <w:t xml:space="preserve">identified </w:t>
      </w:r>
      <w:r w:rsidR="006778E0">
        <w:rPr>
          <w:rFonts w:eastAsiaTheme="minorEastAsia"/>
          <w:szCs w:val="26"/>
        </w:rPr>
        <w:t xml:space="preserve">principles.  </w:t>
      </w:r>
      <w:r w:rsidR="002561CC">
        <w:rPr>
          <w:rFonts w:eastAsiaTheme="minorEastAsia"/>
          <w:szCs w:val="26"/>
        </w:rPr>
        <w:t>The</w:t>
      </w:r>
      <w:r w:rsidR="009345E9">
        <w:rPr>
          <w:rFonts w:eastAsiaTheme="minorEastAsia"/>
          <w:szCs w:val="26"/>
        </w:rPr>
        <w:t xml:space="preserve"> proposal </w:t>
      </w:r>
      <w:r w:rsidR="0020746A">
        <w:rPr>
          <w:rFonts w:eastAsiaTheme="minorEastAsia"/>
          <w:szCs w:val="26"/>
        </w:rPr>
        <w:t>appears to</w:t>
      </w:r>
      <w:r w:rsidR="009345E9">
        <w:rPr>
          <w:rFonts w:eastAsiaTheme="minorEastAsia"/>
          <w:szCs w:val="26"/>
        </w:rPr>
        <w:t xml:space="preserve"> be</w:t>
      </w:r>
      <w:r w:rsidR="0020746A">
        <w:rPr>
          <w:rFonts w:eastAsiaTheme="minorEastAsia"/>
          <w:szCs w:val="26"/>
        </w:rPr>
        <w:t>st</w:t>
      </w:r>
      <w:r w:rsidR="009345E9">
        <w:rPr>
          <w:rFonts w:eastAsiaTheme="minorEastAsia"/>
          <w:szCs w:val="26"/>
        </w:rPr>
        <w:t xml:space="preserve"> address the increased penetration of renewable resources by basing reliability needs on a more granular level</w:t>
      </w:r>
      <w:r w:rsidR="00554D60">
        <w:rPr>
          <w:rFonts w:eastAsiaTheme="minorEastAsia"/>
          <w:szCs w:val="26"/>
        </w:rPr>
        <w:t xml:space="preserve"> than the other </w:t>
      </w:r>
      <w:r w:rsidR="0070444F">
        <w:rPr>
          <w:rFonts w:eastAsiaTheme="minorEastAsia"/>
          <w:szCs w:val="26"/>
        </w:rPr>
        <w:t>restructur</w:t>
      </w:r>
      <w:r w:rsidR="009A043E">
        <w:rPr>
          <w:rFonts w:eastAsiaTheme="minorEastAsia"/>
          <w:szCs w:val="26"/>
        </w:rPr>
        <w:t>ing</w:t>
      </w:r>
      <w:r w:rsidR="0070444F">
        <w:rPr>
          <w:rFonts w:eastAsiaTheme="minorEastAsia"/>
          <w:szCs w:val="26"/>
        </w:rPr>
        <w:t xml:space="preserve"> </w:t>
      </w:r>
      <w:r w:rsidR="00554D60">
        <w:rPr>
          <w:rFonts w:eastAsiaTheme="minorEastAsia"/>
          <w:szCs w:val="26"/>
        </w:rPr>
        <w:t>proposals</w:t>
      </w:r>
      <w:r w:rsidR="009345E9">
        <w:rPr>
          <w:rFonts w:eastAsiaTheme="minorEastAsia"/>
          <w:szCs w:val="26"/>
        </w:rPr>
        <w:t>.  While there is still complexity in PG&amp;E’s proposal</w:t>
      </w:r>
      <w:r w:rsidR="009A043E">
        <w:rPr>
          <w:rFonts w:eastAsiaTheme="minorEastAsia"/>
          <w:szCs w:val="26"/>
        </w:rPr>
        <w:t>, which requires</w:t>
      </w:r>
      <w:r w:rsidR="009345E9">
        <w:rPr>
          <w:rFonts w:eastAsiaTheme="minorEastAsia"/>
          <w:szCs w:val="26"/>
        </w:rPr>
        <w:t xml:space="preserve"> additional showings for each compliance period, there is also simplicity in reducing the number of compliance period to three seasonal filings.  The proposal also addresses </w:t>
      </w:r>
      <w:r w:rsidR="00516348">
        <w:rPr>
          <w:rFonts w:eastAsiaTheme="minorEastAsia"/>
          <w:szCs w:val="26"/>
        </w:rPr>
        <w:t>the hourly energy sufficiency</w:t>
      </w:r>
      <w:r w:rsidR="009345E9">
        <w:rPr>
          <w:rFonts w:eastAsiaTheme="minorEastAsia"/>
          <w:szCs w:val="26"/>
        </w:rPr>
        <w:t xml:space="preserve"> concerns </w:t>
      </w:r>
      <w:r w:rsidR="00C548C8">
        <w:rPr>
          <w:rFonts w:eastAsiaTheme="minorEastAsia"/>
          <w:szCs w:val="26"/>
        </w:rPr>
        <w:t xml:space="preserve">that </w:t>
      </w:r>
      <w:r w:rsidR="00516348">
        <w:rPr>
          <w:rFonts w:eastAsiaTheme="minorEastAsia"/>
          <w:szCs w:val="26"/>
        </w:rPr>
        <w:t>are</w:t>
      </w:r>
      <w:r w:rsidR="00C548C8">
        <w:rPr>
          <w:rFonts w:eastAsiaTheme="minorEastAsia"/>
          <w:szCs w:val="26"/>
        </w:rPr>
        <w:t xml:space="preserve"> absent</w:t>
      </w:r>
      <w:r w:rsidR="009345E9">
        <w:rPr>
          <w:rFonts w:eastAsiaTheme="minorEastAsia"/>
          <w:szCs w:val="26"/>
        </w:rPr>
        <w:t xml:space="preserve"> in </w:t>
      </w:r>
      <w:r w:rsidR="00516348">
        <w:rPr>
          <w:rFonts w:eastAsiaTheme="minorEastAsia"/>
          <w:szCs w:val="26"/>
        </w:rPr>
        <w:t>SCE/</w:t>
      </w:r>
      <w:proofErr w:type="spellStart"/>
      <w:r w:rsidR="00516348">
        <w:rPr>
          <w:rFonts w:eastAsiaTheme="minorEastAsia"/>
          <w:szCs w:val="26"/>
        </w:rPr>
        <w:t>CalCCA’s</w:t>
      </w:r>
      <w:proofErr w:type="spellEnd"/>
      <w:r w:rsidR="009345E9">
        <w:rPr>
          <w:rFonts w:eastAsiaTheme="minorEastAsia"/>
          <w:szCs w:val="26"/>
        </w:rPr>
        <w:t xml:space="preserve"> proposal, which would better ensure that reliable resources are available in critical hours.  </w:t>
      </w:r>
      <w:r w:rsidR="009345E9">
        <w:t xml:space="preserve">We also believe that use of an exceedance methodology may be </w:t>
      </w:r>
      <w:r w:rsidR="00516348">
        <w:t>a more accurate method</w:t>
      </w:r>
      <w:r w:rsidR="009345E9">
        <w:t xml:space="preserve"> to determine QC </w:t>
      </w:r>
      <w:r w:rsidR="00516348">
        <w:t xml:space="preserve">values </w:t>
      </w:r>
      <w:r w:rsidR="007E4A3B">
        <w:t>as compared to</w:t>
      </w:r>
      <w:r w:rsidR="009345E9">
        <w:t xml:space="preserve"> the current </w:t>
      </w:r>
      <w:r w:rsidR="009A58A9">
        <w:t xml:space="preserve">QC </w:t>
      </w:r>
      <w:r w:rsidR="00516348">
        <w:t>methodologies</w:t>
      </w:r>
      <w:r w:rsidR="009345E9">
        <w:t>.</w:t>
      </w:r>
      <w:r w:rsidR="005D30F2">
        <w:t xml:space="preserve">  </w:t>
      </w:r>
    </w:p>
    <w:p w:rsidRPr="00290153" w:rsidR="00AF03FF" w:rsidP="00290153" w:rsidRDefault="002021EA" w14:paraId="1385CCAB" w14:textId="3A4955EA">
      <w:pPr>
        <w:pStyle w:val="Standard"/>
      </w:pPr>
      <w:r>
        <w:t xml:space="preserve">While the Commission finds merit in </w:t>
      </w:r>
      <w:r w:rsidR="00B5078D">
        <w:t>SCE/</w:t>
      </w:r>
      <w:proofErr w:type="spellStart"/>
      <w:r w:rsidR="00B5078D">
        <w:t>CalCCA</w:t>
      </w:r>
      <w:r>
        <w:t>’s</w:t>
      </w:r>
      <w:proofErr w:type="spellEnd"/>
      <w:r>
        <w:t xml:space="preserve"> proposal, </w:t>
      </w:r>
      <w:r w:rsidRPr="0007785C" w:rsidR="00A25CDC">
        <w:rPr>
          <w:rFonts w:eastAsiaTheme="minorEastAsia"/>
          <w:szCs w:val="26"/>
        </w:rPr>
        <w:t xml:space="preserve">the Commission must balance the </w:t>
      </w:r>
      <w:r w:rsidR="00A25CDC">
        <w:rPr>
          <w:rFonts w:eastAsiaTheme="minorEastAsia"/>
          <w:szCs w:val="26"/>
        </w:rPr>
        <w:t>nee</w:t>
      </w:r>
      <w:r w:rsidRPr="0007785C" w:rsidR="00A25CDC">
        <w:rPr>
          <w:rFonts w:eastAsiaTheme="minorEastAsia"/>
          <w:szCs w:val="26"/>
        </w:rPr>
        <w:t xml:space="preserve">d for expedited development of a future RA framework with the </w:t>
      </w:r>
      <w:r w:rsidR="00A25CDC">
        <w:rPr>
          <w:rFonts w:eastAsiaTheme="minorEastAsia"/>
          <w:szCs w:val="26"/>
        </w:rPr>
        <w:t>prospective</w:t>
      </w:r>
      <w:r w:rsidRPr="0007785C" w:rsidR="00A25CDC">
        <w:rPr>
          <w:rFonts w:eastAsiaTheme="minorEastAsia"/>
          <w:szCs w:val="26"/>
        </w:rPr>
        <w:t xml:space="preserve"> benefits of continuing to </w:t>
      </w:r>
      <w:r w:rsidR="00A25CDC">
        <w:rPr>
          <w:rFonts w:eastAsiaTheme="minorEastAsia"/>
          <w:szCs w:val="26"/>
        </w:rPr>
        <w:t>debate and develop</w:t>
      </w:r>
      <w:r w:rsidRPr="0007785C" w:rsidR="00A25CDC">
        <w:rPr>
          <w:rFonts w:eastAsiaTheme="minorEastAsia"/>
          <w:szCs w:val="26"/>
        </w:rPr>
        <w:t xml:space="preserve"> </w:t>
      </w:r>
      <w:r w:rsidR="00A25CDC">
        <w:rPr>
          <w:rFonts w:eastAsiaTheme="minorEastAsia"/>
          <w:szCs w:val="26"/>
        </w:rPr>
        <w:t>two distinct restructur</w:t>
      </w:r>
      <w:r w:rsidR="00CF2249">
        <w:rPr>
          <w:rFonts w:eastAsiaTheme="minorEastAsia"/>
          <w:szCs w:val="26"/>
        </w:rPr>
        <w:t>ing</w:t>
      </w:r>
      <w:r w:rsidRPr="0007785C" w:rsidR="00A25CDC">
        <w:rPr>
          <w:rFonts w:eastAsiaTheme="minorEastAsia"/>
          <w:szCs w:val="26"/>
        </w:rPr>
        <w:t xml:space="preserve"> proposals. </w:t>
      </w:r>
      <w:r w:rsidR="00A25CDC">
        <w:rPr>
          <w:rFonts w:eastAsiaTheme="minorEastAsia"/>
          <w:szCs w:val="26"/>
        </w:rPr>
        <w:t xml:space="preserve"> </w:t>
      </w:r>
      <w:r w:rsidR="00A87370">
        <w:rPr>
          <w:rFonts w:eastAsiaTheme="minorEastAsia"/>
          <w:szCs w:val="26"/>
        </w:rPr>
        <w:t>We</w:t>
      </w:r>
      <w:r w:rsidR="00037452">
        <w:rPr>
          <w:rFonts w:eastAsiaTheme="minorEastAsia"/>
          <w:szCs w:val="26"/>
        </w:rPr>
        <w:t xml:space="preserve"> agree with parties that urge the Commission to narrow the </w:t>
      </w:r>
      <w:r w:rsidR="00A87370">
        <w:rPr>
          <w:rFonts w:eastAsiaTheme="minorEastAsia"/>
          <w:szCs w:val="26"/>
        </w:rPr>
        <w:t xml:space="preserve">list of </w:t>
      </w:r>
      <w:r w:rsidR="00037452">
        <w:rPr>
          <w:rFonts w:eastAsiaTheme="minorEastAsia"/>
          <w:szCs w:val="26"/>
        </w:rPr>
        <w:t>Track 3B.2 restructuring proposals</w:t>
      </w:r>
      <w:r w:rsidR="006D6040">
        <w:rPr>
          <w:rFonts w:eastAsiaTheme="minorEastAsia"/>
          <w:szCs w:val="26"/>
        </w:rPr>
        <w:t xml:space="preserve"> </w:t>
      </w:r>
      <w:proofErr w:type="gramStart"/>
      <w:r w:rsidR="00290153">
        <w:rPr>
          <w:rFonts w:eastAsiaTheme="minorEastAsia"/>
          <w:szCs w:val="26"/>
        </w:rPr>
        <w:t xml:space="preserve">in order </w:t>
      </w:r>
      <w:r w:rsidR="006D6040">
        <w:rPr>
          <w:rFonts w:eastAsiaTheme="minorEastAsia"/>
          <w:szCs w:val="26"/>
        </w:rPr>
        <w:t>to</w:t>
      </w:r>
      <w:proofErr w:type="gramEnd"/>
      <w:r w:rsidR="006D6040">
        <w:rPr>
          <w:rFonts w:eastAsiaTheme="minorEastAsia"/>
          <w:szCs w:val="26"/>
        </w:rPr>
        <w:t xml:space="preserve"> focus </w:t>
      </w:r>
      <w:r w:rsidR="00290153">
        <w:rPr>
          <w:rFonts w:eastAsiaTheme="minorEastAsia"/>
          <w:szCs w:val="26"/>
        </w:rPr>
        <w:t>on the necessary implementation</w:t>
      </w:r>
      <w:r w:rsidR="006D6040">
        <w:rPr>
          <w:rFonts w:eastAsiaTheme="minorEastAsia"/>
          <w:szCs w:val="26"/>
        </w:rPr>
        <w:t xml:space="preserve"> </w:t>
      </w:r>
      <w:r w:rsidR="00290153">
        <w:rPr>
          <w:rFonts w:eastAsiaTheme="minorEastAsia"/>
          <w:szCs w:val="26"/>
        </w:rPr>
        <w:t>details</w:t>
      </w:r>
      <w:r w:rsidR="00037452">
        <w:rPr>
          <w:rFonts w:eastAsiaTheme="minorEastAsia"/>
          <w:szCs w:val="26"/>
        </w:rPr>
        <w:t>.</w:t>
      </w:r>
      <w:r w:rsidRPr="00290153" w:rsidR="00290153">
        <w:t xml:space="preserve"> </w:t>
      </w:r>
      <w:r w:rsidR="00037452">
        <w:rPr>
          <w:rFonts w:eastAsiaTheme="minorEastAsia"/>
          <w:szCs w:val="26"/>
        </w:rPr>
        <w:t xml:space="preserve"> </w:t>
      </w:r>
      <w:r w:rsidR="00624D22">
        <w:rPr>
          <w:rFonts w:eastAsiaTheme="minorEastAsia"/>
          <w:szCs w:val="26"/>
        </w:rPr>
        <w:t xml:space="preserve">Expedited development </w:t>
      </w:r>
      <w:r w:rsidR="000137FA">
        <w:rPr>
          <w:rFonts w:eastAsiaTheme="minorEastAsia"/>
          <w:szCs w:val="26"/>
        </w:rPr>
        <w:t xml:space="preserve">of a </w:t>
      </w:r>
      <w:r w:rsidR="000137FA">
        <w:rPr>
          <w:rFonts w:eastAsiaTheme="minorEastAsia"/>
          <w:szCs w:val="26"/>
        </w:rPr>
        <w:lastRenderedPageBreak/>
        <w:t xml:space="preserve">framework </w:t>
      </w:r>
      <w:r w:rsidR="00624D22">
        <w:rPr>
          <w:rFonts w:eastAsiaTheme="minorEastAsia"/>
          <w:szCs w:val="26"/>
        </w:rPr>
        <w:t xml:space="preserve">is particularly </w:t>
      </w:r>
      <w:r w:rsidR="00BA3F76">
        <w:rPr>
          <w:rFonts w:eastAsiaTheme="minorEastAsia"/>
          <w:szCs w:val="26"/>
        </w:rPr>
        <w:t>important</w:t>
      </w:r>
      <w:r w:rsidR="00624D22">
        <w:rPr>
          <w:rFonts w:eastAsiaTheme="minorEastAsia"/>
          <w:szCs w:val="26"/>
        </w:rPr>
        <w:t xml:space="preserve"> considering the 2020 </w:t>
      </w:r>
      <w:r w:rsidR="000137FA">
        <w:rPr>
          <w:rFonts w:eastAsiaTheme="minorEastAsia"/>
          <w:szCs w:val="26"/>
        </w:rPr>
        <w:t>heat waves and resulting</w:t>
      </w:r>
      <w:r w:rsidR="00624D22">
        <w:rPr>
          <w:rFonts w:eastAsiaTheme="minorEastAsia"/>
          <w:szCs w:val="26"/>
        </w:rPr>
        <w:t xml:space="preserve"> outages, as well as the</w:t>
      </w:r>
      <w:r w:rsidR="00386059">
        <w:rPr>
          <w:rFonts w:eastAsiaTheme="minorEastAsia"/>
          <w:szCs w:val="26"/>
        </w:rPr>
        <w:t xml:space="preserve"> </w:t>
      </w:r>
      <w:r w:rsidR="000137FA">
        <w:rPr>
          <w:rFonts w:eastAsiaTheme="minorEastAsia"/>
          <w:szCs w:val="26"/>
        </w:rPr>
        <w:t xml:space="preserve">recent </w:t>
      </w:r>
      <w:r w:rsidR="00A25CDC">
        <w:rPr>
          <w:rFonts w:eastAsiaTheme="minorEastAsia"/>
          <w:szCs w:val="26"/>
        </w:rPr>
        <w:t xml:space="preserve">proposed decision </w:t>
      </w:r>
      <w:r w:rsidR="00624D22">
        <w:rPr>
          <w:rFonts w:eastAsiaTheme="minorEastAsia"/>
          <w:szCs w:val="26"/>
        </w:rPr>
        <w:t xml:space="preserve">issued on May 21, </w:t>
      </w:r>
      <w:proofErr w:type="gramStart"/>
      <w:r w:rsidR="00624D22">
        <w:rPr>
          <w:rFonts w:eastAsiaTheme="minorEastAsia"/>
          <w:szCs w:val="26"/>
        </w:rPr>
        <w:t>2021</w:t>
      </w:r>
      <w:proofErr w:type="gramEnd"/>
      <w:r w:rsidR="00624D22">
        <w:rPr>
          <w:rFonts w:eastAsiaTheme="minorEastAsia"/>
          <w:szCs w:val="26"/>
        </w:rPr>
        <w:t xml:space="preserve"> </w:t>
      </w:r>
      <w:r w:rsidR="00A25CDC">
        <w:rPr>
          <w:rFonts w:eastAsiaTheme="minorEastAsia"/>
          <w:szCs w:val="26"/>
        </w:rPr>
        <w:t xml:space="preserve">in the </w:t>
      </w:r>
      <w:r w:rsidR="000137FA">
        <w:rPr>
          <w:rFonts w:eastAsiaTheme="minorEastAsia"/>
          <w:szCs w:val="26"/>
        </w:rPr>
        <w:t xml:space="preserve">Commission’s </w:t>
      </w:r>
      <w:r w:rsidR="00A25CDC">
        <w:rPr>
          <w:rFonts w:eastAsiaTheme="minorEastAsia"/>
          <w:szCs w:val="26"/>
        </w:rPr>
        <w:t xml:space="preserve">IRP </w:t>
      </w:r>
      <w:r w:rsidR="000137FA">
        <w:rPr>
          <w:rFonts w:eastAsiaTheme="minorEastAsia"/>
          <w:szCs w:val="26"/>
        </w:rPr>
        <w:t>rulemaking</w:t>
      </w:r>
      <w:r w:rsidR="00A25CDC">
        <w:rPr>
          <w:rFonts w:eastAsiaTheme="minorEastAsia"/>
          <w:szCs w:val="26"/>
        </w:rPr>
        <w:t>, R.20-</w:t>
      </w:r>
      <w:r w:rsidR="00624D22">
        <w:rPr>
          <w:rFonts w:eastAsiaTheme="minorEastAsia"/>
          <w:szCs w:val="26"/>
        </w:rPr>
        <w:t>05-003</w:t>
      </w:r>
      <w:r w:rsidR="00A25CDC">
        <w:rPr>
          <w:rFonts w:eastAsiaTheme="minorEastAsia"/>
          <w:szCs w:val="26"/>
        </w:rPr>
        <w:t xml:space="preserve">, that </w:t>
      </w:r>
      <w:r w:rsidRPr="0007785C" w:rsidR="00A25CDC">
        <w:rPr>
          <w:rFonts w:eastAsiaTheme="minorEastAsia"/>
          <w:szCs w:val="26"/>
        </w:rPr>
        <w:t>authoriz</w:t>
      </w:r>
      <w:r w:rsidR="00A25CDC">
        <w:rPr>
          <w:rFonts w:eastAsiaTheme="minorEastAsia"/>
          <w:szCs w:val="26"/>
        </w:rPr>
        <w:t>es</w:t>
      </w:r>
      <w:r w:rsidRPr="0007785C" w:rsidR="00A25CDC">
        <w:rPr>
          <w:rFonts w:eastAsiaTheme="minorEastAsia"/>
          <w:szCs w:val="26"/>
        </w:rPr>
        <w:t xml:space="preserve"> up to 11,500 MW of incremental capacity </w:t>
      </w:r>
      <w:r w:rsidR="00A25CDC">
        <w:rPr>
          <w:rFonts w:eastAsiaTheme="minorEastAsia"/>
          <w:szCs w:val="26"/>
        </w:rPr>
        <w:t>over</w:t>
      </w:r>
      <w:r w:rsidRPr="0007785C" w:rsidR="00A25CDC">
        <w:rPr>
          <w:rFonts w:eastAsiaTheme="minorEastAsia"/>
          <w:szCs w:val="26"/>
        </w:rPr>
        <w:t xml:space="preserve"> the next several years</w:t>
      </w:r>
      <w:r w:rsidR="00624D22">
        <w:rPr>
          <w:rFonts w:eastAsiaTheme="minorEastAsia"/>
          <w:szCs w:val="26"/>
        </w:rPr>
        <w:t xml:space="preserve">.  As such, the Commission </w:t>
      </w:r>
      <w:r w:rsidR="000137FA">
        <w:rPr>
          <w:rFonts w:eastAsiaTheme="minorEastAsia"/>
          <w:szCs w:val="26"/>
        </w:rPr>
        <w:t>deems</w:t>
      </w:r>
      <w:r w:rsidR="0023221F">
        <w:rPr>
          <w:rFonts w:eastAsiaTheme="minorEastAsia"/>
          <w:szCs w:val="26"/>
        </w:rPr>
        <w:t xml:space="preserve"> it</w:t>
      </w:r>
      <w:r w:rsidR="00A25CDC">
        <w:rPr>
          <w:rFonts w:eastAsiaTheme="minorEastAsia"/>
          <w:szCs w:val="26"/>
        </w:rPr>
        <w:t xml:space="preserve"> </w:t>
      </w:r>
      <w:r w:rsidR="00624D22">
        <w:rPr>
          <w:rFonts w:eastAsiaTheme="minorEastAsia"/>
          <w:szCs w:val="26"/>
        </w:rPr>
        <w:t>critical</w:t>
      </w:r>
      <w:r w:rsidR="00A25CDC">
        <w:rPr>
          <w:rFonts w:eastAsiaTheme="minorEastAsia"/>
          <w:szCs w:val="26"/>
        </w:rPr>
        <w:t xml:space="preserve"> </w:t>
      </w:r>
      <w:r w:rsidRPr="0007785C" w:rsidR="00A25CDC">
        <w:rPr>
          <w:rFonts w:eastAsiaTheme="minorEastAsia"/>
          <w:szCs w:val="26"/>
        </w:rPr>
        <w:t xml:space="preserve">to </w:t>
      </w:r>
      <w:r w:rsidR="00A25CDC">
        <w:rPr>
          <w:rFonts w:eastAsiaTheme="minorEastAsia"/>
          <w:szCs w:val="26"/>
        </w:rPr>
        <w:t xml:space="preserve">narrow the proposed options </w:t>
      </w:r>
      <w:r w:rsidR="000137FA">
        <w:rPr>
          <w:rFonts w:eastAsiaTheme="minorEastAsia"/>
          <w:szCs w:val="26"/>
        </w:rPr>
        <w:t>and</w:t>
      </w:r>
      <w:r w:rsidRPr="0007785C" w:rsidR="000137FA">
        <w:rPr>
          <w:rFonts w:eastAsiaTheme="minorEastAsia"/>
          <w:szCs w:val="26"/>
        </w:rPr>
        <w:t xml:space="preserve"> </w:t>
      </w:r>
      <w:r w:rsidR="00A25CDC">
        <w:rPr>
          <w:rFonts w:eastAsiaTheme="minorEastAsia"/>
          <w:szCs w:val="26"/>
        </w:rPr>
        <w:t xml:space="preserve">provide </w:t>
      </w:r>
      <w:r w:rsidR="00B957B3">
        <w:rPr>
          <w:rFonts w:eastAsiaTheme="minorEastAsia"/>
          <w:szCs w:val="26"/>
        </w:rPr>
        <w:t>sufficient</w:t>
      </w:r>
      <w:r w:rsidRPr="0007785C" w:rsidR="00A25CDC">
        <w:rPr>
          <w:rFonts w:eastAsiaTheme="minorEastAsia"/>
          <w:szCs w:val="26"/>
        </w:rPr>
        <w:t xml:space="preserve"> </w:t>
      </w:r>
      <w:r w:rsidR="00A25CDC">
        <w:rPr>
          <w:rFonts w:eastAsiaTheme="minorEastAsia"/>
          <w:szCs w:val="26"/>
        </w:rPr>
        <w:t>guidance</w:t>
      </w:r>
      <w:r w:rsidRPr="0007785C" w:rsidR="00A25CDC">
        <w:rPr>
          <w:rFonts w:eastAsiaTheme="minorEastAsia"/>
          <w:szCs w:val="26"/>
        </w:rPr>
        <w:t xml:space="preserve"> </w:t>
      </w:r>
      <w:r w:rsidR="00A25CDC">
        <w:rPr>
          <w:rFonts w:eastAsiaTheme="minorEastAsia"/>
          <w:szCs w:val="26"/>
        </w:rPr>
        <w:t>on developing</w:t>
      </w:r>
      <w:r w:rsidRPr="0007785C" w:rsidR="00A25CDC">
        <w:rPr>
          <w:rFonts w:eastAsiaTheme="minorEastAsia"/>
          <w:szCs w:val="26"/>
        </w:rPr>
        <w:t xml:space="preserve"> a </w:t>
      </w:r>
      <w:r w:rsidR="00A25CDC">
        <w:rPr>
          <w:rFonts w:eastAsiaTheme="minorEastAsia"/>
          <w:szCs w:val="26"/>
        </w:rPr>
        <w:t>future</w:t>
      </w:r>
      <w:r w:rsidRPr="0007785C" w:rsidR="00A25CDC">
        <w:rPr>
          <w:rFonts w:eastAsiaTheme="minorEastAsia"/>
          <w:szCs w:val="26"/>
        </w:rPr>
        <w:t xml:space="preserve"> RA framework </w:t>
      </w:r>
      <w:r w:rsidR="00A25CDC">
        <w:rPr>
          <w:rFonts w:eastAsiaTheme="minorEastAsia"/>
          <w:szCs w:val="26"/>
        </w:rPr>
        <w:t>that can be timely implemented</w:t>
      </w:r>
      <w:r w:rsidR="00E026F2">
        <w:rPr>
          <w:rFonts w:eastAsiaTheme="minorEastAsia"/>
          <w:szCs w:val="26"/>
        </w:rPr>
        <w:t xml:space="preserve"> in 2023</w:t>
      </w:r>
      <w:r w:rsidRPr="0007785C" w:rsidR="00A25CDC">
        <w:rPr>
          <w:rFonts w:eastAsiaTheme="minorEastAsia"/>
          <w:szCs w:val="26"/>
        </w:rPr>
        <w:t xml:space="preserve"> for </w:t>
      </w:r>
      <w:r w:rsidR="00A25CDC">
        <w:rPr>
          <w:rFonts w:eastAsiaTheme="minorEastAsia"/>
          <w:szCs w:val="26"/>
        </w:rPr>
        <w:t>the 2024</w:t>
      </w:r>
      <w:r w:rsidR="00E026F2">
        <w:rPr>
          <w:rFonts w:eastAsiaTheme="minorEastAsia"/>
          <w:szCs w:val="26"/>
        </w:rPr>
        <w:t xml:space="preserve"> </w:t>
      </w:r>
      <w:r w:rsidRPr="0007785C" w:rsidR="00A25CDC">
        <w:rPr>
          <w:rFonts w:eastAsiaTheme="minorEastAsia"/>
          <w:szCs w:val="26"/>
        </w:rPr>
        <w:t xml:space="preserve">compliance year.  </w:t>
      </w:r>
    </w:p>
    <w:p w:rsidR="009345E9" w:rsidP="00AF03FF" w:rsidRDefault="0094543F" w14:paraId="518348DF" w14:textId="39EBCC36">
      <w:pPr>
        <w:pStyle w:val="Standard"/>
      </w:pPr>
      <w:r>
        <w:t>The</w:t>
      </w:r>
      <w:r w:rsidR="00432783">
        <w:t xml:space="preserve"> Commission </w:t>
      </w:r>
      <w:r w:rsidR="000137FA">
        <w:t xml:space="preserve">finds </w:t>
      </w:r>
      <w:r w:rsidR="00432783">
        <w:t xml:space="preserve">that PG&amp;E’s slice-of-day proposal </w:t>
      </w:r>
      <w:r w:rsidR="00625A18">
        <w:t>best</w:t>
      </w:r>
      <w:r w:rsidR="00432783">
        <w:t xml:space="preserve"> addresses the </w:t>
      </w:r>
      <w:r w:rsidR="00A040D9">
        <w:t xml:space="preserve">identified </w:t>
      </w:r>
      <w:r w:rsidR="000045EB">
        <w:t xml:space="preserve">principles and the </w:t>
      </w:r>
      <w:r w:rsidR="00432783">
        <w:t xml:space="preserve">concerns with the current RA framework and </w:t>
      </w:r>
      <w:r w:rsidR="000045EB">
        <w:rPr>
          <w:rFonts w:eastAsiaTheme="minorEastAsia"/>
          <w:szCs w:val="26"/>
        </w:rPr>
        <w:t xml:space="preserve">if further developed, is best positioned to be </w:t>
      </w:r>
      <w:r w:rsidR="00096712">
        <w:rPr>
          <w:rFonts w:eastAsiaTheme="minorEastAsia"/>
          <w:szCs w:val="26"/>
        </w:rPr>
        <w:t>implemented</w:t>
      </w:r>
      <w:r w:rsidR="000045EB">
        <w:rPr>
          <w:rFonts w:eastAsiaTheme="minorEastAsia"/>
          <w:szCs w:val="26"/>
        </w:rPr>
        <w:t xml:space="preserve"> </w:t>
      </w:r>
      <w:r w:rsidR="00460039">
        <w:rPr>
          <w:rFonts w:eastAsiaTheme="minorEastAsia"/>
          <w:szCs w:val="26"/>
        </w:rPr>
        <w:t xml:space="preserve">in 2023 </w:t>
      </w:r>
      <w:r w:rsidR="000045EB">
        <w:rPr>
          <w:rFonts w:eastAsiaTheme="minorEastAsia"/>
          <w:szCs w:val="26"/>
        </w:rPr>
        <w:t>for the 2024 compliance year</w:t>
      </w:r>
      <w:r w:rsidR="00432783">
        <w:t xml:space="preserve">.  </w:t>
      </w:r>
      <w:r w:rsidR="009F685F">
        <w:t xml:space="preserve">Therefore, we direct parties to </w:t>
      </w:r>
      <w:r w:rsidR="00A040D9">
        <w:t xml:space="preserve">collaborate to </w:t>
      </w:r>
      <w:r w:rsidR="009F685F">
        <w:t xml:space="preserve">develop a final restructuring proposal based on PG&amp;E’s slice-of-day proposal through workshops, </w:t>
      </w:r>
      <w:r w:rsidR="000367D8">
        <w:t>as</w:t>
      </w:r>
      <w:r w:rsidR="009F685F">
        <w:t xml:space="preserve"> outlined below.  F</w:t>
      </w:r>
      <w:r w:rsidR="00432783">
        <w:t xml:space="preserve">urther development of PG&amp;E’s proposal may include aspects of </w:t>
      </w:r>
      <w:r w:rsidR="00B5078D">
        <w:t>SCE/</w:t>
      </w:r>
      <w:proofErr w:type="spellStart"/>
      <w:r w:rsidR="00B5078D">
        <w:t>CalCCA</w:t>
      </w:r>
      <w:r w:rsidR="00432783">
        <w:t>’s</w:t>
      </w:r>
      <w:proofErr w:type="spellEnd"/>
      <w:r w:rsidR="00432783">
        <w:t xml:space="preserve"> proposal, </w:t>
      </w:r>
      <w:r w:rsidR="002A1766">
        <w:t xml:space="preserve">such as </w:t>
      </w:r>
      <w:r w:rsidR="00D94A91">
        <w:t>the net load approach to setting RA requirements and the bottom-up approach to establishing individual LSE requirements.</w:t>
      </w:r>
    </w:p>
    <w:p w:rsidR="00146CB1" w:rsidP="00146CB1" w:rsidRDefault="00D94A91" w14:paraId="144380DB" w14:textId="4C2AFD3B">
      <w:pPr>
        <w:pStyle w:val="Standard"/>
        <w:rPr>
          <w:rFonts w:eastAsiaTheme="minorEastAsia"/>
        </w:rPr>
      </w:pPr>
      <w:r>
        <w:rPr>
          <w:rFonts w:eastAsiaTheme="minorEastAsia"/>
          <w:szCs w:val="26"/>
        </w:rPr>
        <w:t>At the same time, t</w:t>
      </w:r>
      <w:r w:rsidR="00F43339">
        <w:rPr>
          <w:rFonts w:eastAsiaTheme="minorEastAsia"/>
          <w:szCs w:val="26"/>
        </w:rPr>
        <w:t>he</w:t>
      </w:r>
      <w:r w:rsidR="00432783">
        <w:rPr>
          <w:rFonts w:eastAsiaTheme="minorEastAsia"/>
          <w:szCs w:val="26"/>
        </w:rPr>
        <w:t xml:space="preserve"> Commission remains concerned that PG&amp;E’s approach, as well as other proposals, </w:t>
      </w:r>
      <w:r w:rsidR="00760056">
        <w:rPr>
          <w:rFonts w:eastAsiaTheme="minorEastAsia"/>
          <w:szCs w:val="26"/>
        </w:rPr>
        <w:t>lack</w:t>
      </w:r>
      <w:r w:rsidR="00F43339">
        <w:rPr>
          <w:rFonts w:eastAsiaTheme="minorEastAsia"/>
          <w:szCs w:val="26"/>
        </w:rPr>
        <w:t xml:space="preserve"> </w:t>
      </w:r>
      <w:r w:rsidR="00760056">
        <w:rPr>
          <w:rFonts w:eastAsiaTheme="minorEastAsia"/>
          <w:szCs w:val="26"/>
        </w:rPr>
        <w:t>a means</w:t>
      </w:r>
      <w:r w:rsidR="00432783">
        <w:rPr>
          <w:rFonts w:eastAsiaTheme="minorEastAsia"/>
          <w:szCs w:val="26"/>
        </w:rPr>
        <w:t xml:space="preserve"> to ensure that </w:t>
      </w:r>
      <w:r w:rsidR="004B2DAA">
        <w:rPr>
          <w:rFonts w:eastAsiaTheme="minorEastAsia"/>
          <w:szCs w:val="26"/>
        </w:rPr>
        <w:t>RA is linked with energy bidding behavior</w:t>
      </w:r>
      <w:r w:rsidR="00F43339">
        <w:rPr>
          <w:rFonts w:eastAsiaTheme="minorEastAsia"/>
          <w:szCs w:val="26"/>
        </w:rPr>
        <w:t xml:space="preserve"> </w:t>
      </w:r>
      <w:proofErr w:type="gramStart"/>
      <w:r w:rsidR="00F43339">
        <w:rPr>
          <w:rFonts w:eastAsiaTheme="minorEastAsia"/>
          <w:szCs w:val="26"/>
        </w:rPr>
        <w:t>in order to</w:t>
      </w:r>
      <w:proofErr w:type="gramEnd"/>
      <w:r w:rsidR="00F43339">
        <w:rPr>
          <w:rFonts w:eastAsiaTheme="minorEastAsia"/>
          <w:szCs w:val="26"/>
        </w:rPr>
        <w:t xml:space="preserve"> </w:t>
      </w:r>
      <w:r w:rsidR="00140736">
        <w:rPr>
          <w:rFonts w:eastAsiaTheme="minorEastAsia"/>
          <w:szCs w:val="26"/>
        </w:rPr>
        <w:t>balance reliability wi</w:t>
      </w:r>
      <w:r w:rsidR="00796DB2">
        <w:rPr>
          <w:rFonts w:eastAsiaTheme="minorEastAsia"/>
          <w:szCs w:val="26"/>
        </w:rPr>
        <w:t>th</w:t>
      </w:r>
      <w:r w:rsidR="00140736">
        <w:rPr>
          <w:rFonts w:eastAsiaTheme="minorEastAsia"/>
          <w:szCs w:val="26"/>
        </w:rPr>
        <w:t xml:space="preserve"> </w:t>
      </w:r>
      <w:r w:rsidR="003C68C1">
        <w:rPr>
          <w:rFonts w:eastAsiaTheme="minorEastAsia"/>
          <w:szCs w:val="26"/>
        </w:rPr>
        <w:t>minimizing costs</w:t>
      </w:r>
      <w:r w:rsidR="00140736">
        <w:rPr>
          <w:rFonts w:eastAsiaTheme="minorEastAsia"/>
          <w:szCs w:val="26"/>
        </w:rPr>
        <w:t xml:space="preserve"> to customers</w:t>
      </w:r>
      <w:r w:rsidR="004B2DAA">
        <w:rPr>
          <w:rFonts w:eastAsiaTheme="minorEastAsia"/>
          <w:szCs w:val="26"/>
        </w:rPr>
        <w:t xml:space="preserve">.  </w:t>
      </w:r>
      <w:r>
        <w:rPr>
          <w:rFonts w:eastAsiaTheme="minorEastAsia"/>
          <w:szCs w:val="26"/>
        </w:rPr>
        <w:t xml:space="preserve">Therefore, </w:t>
      </w:r>
      <w:r w:rsidR="0082783B">
        <w:rPr>
          <w:rFonts w:eastAsiaTheme="minorEastAsia"/>
          <w:szCs w:val="26"/>
        </w:rPr>
        <w:t>t</w:t>
      </w:r>
      <w:r w:rsidR="004B2DAA">
        <w:rPr>
          <w:rFonts w:eastAsiaTheme="minorEastAsia"/>
          <w:szCs w:val="26"/>
        </w:rPr>
        <w:t xml:space="preserve">he Commission </w:t>
      </w:r>
      <w:r w:rsidR="0043461B">
        <w:rPr>
          <w:rFonts w:eastAsiaTheme="minorEastAsia"/>
          <w:szCs w:val="26"/>
        </w:rPr>
        <w:t>direct</w:t>
      </w:r>
      <w:r>
        <w:rPr>
          <w:rFonts w:eastAsiaTheme="minorEastAsia"/>
          <w:szCs w:val="26"/>
        </w:rPr>
        <w:t>s</w:t>
      </w:r>
      <w:r w:rsidR="0043461B">
        <w:rPr>
          <w:rFonts w:eastAsiaTheme="minorEastAsia"/>
          <w:szCs w:val="26"/>
        </w:rPr>
        <w:t xml:space="preserve"> parties in workshops to </w:t>
      </w:r>
      <w:r w:rsidR="0054152E">
        <w:rPr>
          <w:rFonts w:eastAsiaTheme="minorEastAsia"/>
          <w:szCs w:val="26"/>
        </w:rPr>
        <w:t>discuss and propose</w:t>
      </w:r>
      <w:r w:rsidR="0043461B">
        <w:rPr>
          <w:rFonts w:eastAsiaTheme="minorEastAsia"/>
          <w:szCs w:val="26"/>
        </w:rPr>
        <w:t xml:space="preserve"> a hedging component </w:t>
      </w:r>
      <w:r w:rsidR="00B97255">
        <w:rPr>
          <w:rFonts w:eastAsiaTheme="minorEastAsia"/>
          <w:szCs w:val="26"/>
        </w:rPr>
        <w:t xml:space="preserve">as part of </w:t>
      </w:r>
      <w:r w:rsidR="0032796D">
        <w:rPr>
          <w:rFonts w:eastAsiaTheme="minorEastAsia"/>
          <w:szCs w:val="26"/>
        </w:rPr>
        <w:t>the</w:t>
      </w:r>
      <w:r w:rsidR="0043461B">
        <w:rPr>
          <w:rFonts w:eastAsiaTheme="minorEastAsia"/>
          <w:szCs w:val="26"/>
        </w:rPr>
        <w:t xml:space="preserve"> final propos</w:t>
      </w:r>
      <w:r w:rsidR="0032796D">
        <w:rPr>
          <w:rFonts w:eastAsiaTheme="minorEastAsia"/>
          <w:szCs w:val="26"/>
        </w:rPr>
        <w:t>ed framework</w:t>
      </w:r>
      <w:r w:rsidR="0043461B">
        <w:rPr>
          <w:rFonts w:eastAsiaTheme="minorEastAsia"/>
          <w:szCs w:val="26"/>
        </w:rPr>
        <w:t xml:space="preserve">, </w:t>
      </w:r>
      <w:r w:rsidR="00A87370">
        <w:rPr>
          <w:rFonts w:eastAsiaTheme="minorEastAsia"/>
          <w:szCs w:val="26"/>
        </w:rPr>
        <w:t>such as</w:t>
      </w:r>
      <w:r w:rsidR="005718A1">
        <w:rPr>
          <w:rFonts w:eastAsiaTheme="minorEastAsia"/>
          <w:szCs w:val="26"/>
        </w:rPr>
        <w:t xml:space="preserve"> </w:t>
      </w:r>
      <w:r w:rsidR="0032796D">
        <w:rPr>
          <w:rFonts w:eastAsiaTheme="minorEastAsia"/>
          <w:szCs w:val="26"/>
        </w:rPr>
        <w:t>PG&amp;E’s</w:t>
      </w:r>
      <w:r w:rsidR="0043461B">
        <w:rPr>
          <w:rFonts w:eastAsiaTheme="minorEastAsia"/>
          <w:szCs w:val="26"/>
        </w:rPr>
        <w:t xml:space="preserve"> hedging </w:t>
      </w:r>
      <w:r w:rsidR="0032796D">
        <w:rPr>
          <w:rFonts w:eastAsiaTheme="minorEastAsia"/>
          <w:szCs w:val="26"/>
        </w:rPr>
        <w:t xml:space="preserve">proposal, Energy Division’s </w:t>
      </w:r>
      <w:r w:rsidR="0043461B">
        <w:rPr>
          <w:rFonts w:eastAsiaTheme="minorEastAsia"/>
          <w:szCs w:val="26"/>
        </w:rPr>
        <w:t>bid cap</w:t>
      </w:r>
      <w:r w:rsidR="0032796D">
        <w:rPr>
          <w:rFonts w:eastAsiaTheme="minorEastAsia"/>
          <w:szCs w:val="26"/>
        </w:rPr>
        <w:t xml:space="preserve"> proposal, or aspects of the SFPFC </w:t>
      </w:r>
      <w:r w:rsidR="007632BB">
        <w:rPr>
          <w:rFonts w:eastAsiaTheme="minorEastAsia"/>
          <w:szCs w:val="26"/>
        </w:rPr>
        <w:t>concept</w:t>
      </w:r>
      <w:r w:rsidR="0043461B">
        <w:rPr>
          <w:rFonts w:eastAsiaTheme="minorEastAsia"/>
          <w:szCs w:val="26"/>
        </w:rPr>
        <w:t>.</w:t>
      </w:r>
      <w:r w:rsidR="003411E5">
        <w:rPr>
          <w:rFonts w:eastAsiaTheme="minorEastAsia"/>
          <w:szCs w:val="26"/>
        </w:rPr>
        <w:t xml:space="preserve">  </w:t>
      </w:r>
    </w:p>
    <w:p w:rsidRPr="006778E0" w:rsidR="005718A1" w:rsidP="00D20BA0" w:rsidRDefault="00EB42AC" w14:paraId="29CCA2F6" w14:textId="479E0666">
      <w:pPr>
        <w:pStyle w:val="Standard"/>
      </w:pPr>
      <w:r>
        <w:rPr>
          <w:rFonts w:eastAsiaTheme="minorEastAsia"/>
        </w:rPr>
        <w:t xml:space="preserve">The Commission </w:t>
      </w:r>
      <w:r w:rsidR="00146CB1">
        <w:rPr>
          <w:rFonts w:eastAsiaTheme="minorEastAsia"/>
        </w:rPr>
        <w:t>acknowledges</w:t>
      </w:r>
      <w:r>
        <w:rPr>
          <w:rFonts w:eastAsiaTheme="minorEastAsia"/>
        </w:rPr>
        <w:t xml:space="preserve"> some parties’ concern</w:t>
      </w:r>
      <w:r w:rsidR="003E29AD">
        <w:rPr>
          <w:rFonts w:eastAsiaTheme="minorEastAsia"/>
        </w:rPr>
        <w:t>s</w:t>
      </w:r>
      <w:r>
        <w:rPr>
          <w:rFonts w:eastAsiaTheme="minorEastAsia"/>
        </w:rPr>
        <w:t xml:space="preserve"> as to whether inadequate LSE energy hedging is indeed a</w:t>
      </w:r>
      <w:r w:rsidR="006A7DB4">
        <w:rPr>
          <w:rFonts w:eastAsiaTheme="minorEastAsia"/>
        </w:rPr>
        <w:t xml:space="preserve">n issue </w:t>
      </w:r>
      <w:r>
        <w:rPr>
          <w:rFonts w:eastAsiaTheme="minorEastAsia"/>
        </w:rPr>
        <w:t xml:space="preserve">that needs to be addressed through the RA program.  To understand the magnitude of this issue, the </w:t>
      </w:r>
      <w:r>
        <w:rPr>
          <w:rFonts w:eastAsiaTheme="minorEastAsia"/>
        </w:rPr>
        <w:lastRenderedPageBreak/>
        <w:t>Commission authorizes Energy Division to request energy hedging data (both physical and financial) from LSEs</w:t>
      </w:r>
      <w:r w:rsidR="00863E9A">
        <w:rPr>
          <w:rFonts w:eastAsiaTheme="minorEastAsia"/>
        </w:rPr>
        <w:t xml:space="preserve"> and report </w:t>
      </w:r>
      <w:r w:rsidR="00181636">
        <w:rPr>
          <w:rFonts w:eastAsiaTheme="minorEastAsia"/>
        </w:rPr>
        <w:t xml:space="preserve">such </w:t>
      </w:r>
      <w:r w:rsidR="00E81F7D">
        <w:rPr>
          <w:rFonts w:eastAsiaTheme="minorEastAsia"/>
        </w:rPr>
        <w:t xml:space="preserve">data </w:t>
      </w:r>
      <w:r w:rsidR="00863E9A">
        <w:rPr>
          <w:rFonts w:eastAsiaTheme="minorEastAsia"/>
        </w:rPr>
        <w:t>to the Commission</w:t>
      </w:r>
      <w:r>
        <w:rPr>
          <w:rFonts w:eastAsiaTheme="minorEastAsia"/>
        </w:rPr>
        <w:t>.</w:t>
      </w:r>
    </w:p>
    <w:p w:rsidR="00054671" w:rsidP="00EB06C3" w:rsidRDefault="00EB06C3" w14:paraId="3362B531" w14:textId="68D30E05">
      <w:pPr>
        <w:pStyle w:val="Heading2"/>
      </w:pPr>
      <w:bookmarkStart w:name="_Toc74206128" w:id="36"/>
      <w:r>
        <w:t xml:space="preserve">Process </w:t>
      </w:r>
      <w:r w:rsidR="00102FA2">
        <w:t xml:space="preserve">and Schedule </w:t>
      </w:r>
      <w:r>
        <w:t>for Further Development</w:t>
      </w:r>
      <w:bookmarkEnd w:id="36"/>
    </w:p>
    <w:p w:rsidR="00EB06C3" w:rsidP="00035FD4" w:rsidRDefault="00C75287" w14:paraId="041BBD6D" w14:textId="147EDB00">
      <w:pPr>
        <w:pStyle w:val="Standard"/>
        <w:rPr>
          <w:rFonts w:eastAsia="Times New Roman" w:cs="Calibri"/>
          <w:szCs w:val="26"/>
        </w:rPr>
      </w:pPr>
      <w:r>
        <w:t>The</w:t>
      </w:r>
      <w:r w:rsidR="00456907">
        <w:t xml:space="preserve"> Commission directs </w:t>
      </w:r>
      <w:r w:rsidR="00EB06C3">
        <w:t xml:space="preserve">parties to develop a final </w:t>
      </w:r>
      <w:r>
        <w:t>restructur</w:t>
      </w:r>
      <w:r w:rsidR="00EB42AC">
        <w:t>ing</w:t>
      </w:r>
      <w:r w:rsidR="00EB06C3">
        <w:t xml:space="preserve"> </w:t>
      </w:r>
      <w:r>
        <w:t xml:space="preserve">proposal </w:t>
      </w:r>
      <w:r w:rsidR="00EB06C3">
        <w:t xml:space="preserve">through workshops </w:t>
      </w:r>
      <w:r w:rsidR="00456907">
        <w:t>over the next</w:t>
      </w:r>
      <w:r w:rsidR="001000F6">
        <w:t xml:space="preserve"> approximately</w:t>
      </w:r>
      <w:r w:rsidR="00456907">
        <w:t xml:space="preserve"> six months</w:t>
      </w:r>
      <w:r w:rsidR="00EB06C3">
        <w:t xml:space="preserve">.  </w:t>
      </w:r>
      <w:r w:rsidR="00035FD4">
        <w:t>Parties</w:t>
      </w:r>
      <w:r w:rsidR="00456907">
        <w:t xml:space="preserve"> </w:t>
      </w:r>
      <w:r w:rsidR="006101DF">
        <w:t>shall</w:t>
      </w:r>
      <w:r w:rsidR="00456907">
        <w:t xml:space="preserve"> undertake a minimum of</w:t>
      </w:r>
      <w:r w:rsidR="0070183C">
        <w:t xml:space="preserve"> five</w:t>
      </w:r>
      <w:r w:rsidR="00456907">
        <w:t xml:space="preserve"> workshops to</w:t>
      </w:r>
      <w:r w:rsidR="00EB06C3">
        <w:t xml:space="preserve"> develop implementation details </w:t>
      </w:r>
      <w:r w:rsidR="004D25F6">
        <w:t>based on</w:t>
      </w:r>
      <w:r w:rsidR="00EB06C3">
        <w:t xml:space="preserve"> PG&amp;E’s slice-of-day proposal</w:t>
      </w:r>
      <w:r w:rsidR="00456907">
        <w:t xml:space="preserve">.  The workshops should cover the following </w:t>
      </w:r>
      <w:r w:rsidR="00791FE2">
        <w:t>implementation details</w:t>
      </w:r>
      <w:r w:rsidR="00EB06C3">
        <w:t>:</w:t>
      </w:r>
      <w:r w:rsidRPr="00624CDF" w:rsidR="00EB06C3">
        <w:rPr>
          <w:rFonts w:eastAsia="Times New Roman" w:cs="Calibri"/>
          <w:szCs w:val="26"/>
        </w:rPr>
        <w:t xml:space="preserve"> </w:t>
      </w:r>
      <w:r w:rsidR="00EB06C3">
        <w:rPr>
          <w:rFonts w:eastAsia="Times New Roman" w:cs="Calibri"/>
          <w:szCs w:val="26"/>
        </w:rPr>
        <w:t>(</w:t>
      </w:r>
      <w:r w:rsidRPr="00624CDF" w:rsidR="00EB06C3">
        <w:rPr>
          <w:rFonts w:eastAsia="Times New Roman" w:cs="Calibri"/>
          <w:szCs w:val="26"/>
        </w:rPr>
        <w:t>1)</w:t>
      </w:r>
      <w:r w:rsidR="00456907">
        <w:rPr>
          <w:rFonts w:eastAsia="Times New Roman" w:cs="Calibri"/>
          <w:szCs w:val="26"/>
        </w:rPr>
        <w:t xml:space="preserve"> Structural Elements</w:t>
      </w:r>
      <w:r w:rsidR="00EB06C3">
        <w:rPr>
          <w:rFonts w:eastAsia="Times New Roman" w:cs="Calibri"/>
          <w:szCs w:val="26"/>
        </w:rPr>
        <w:t>; (2)</w:t>
      </w:r>
      <w:r w:rsidRPr="00624CDF" w:rsidR="00EB06C3">
        <w:rPr>
          <w:rFonts w:eastAsia="Times New Roman" w:cs="Calibri"/>
          <w:szCs w:val="26"/>
        </w:rPr>
        <w:t xml:space="preserve"> </w:t>
      </w:r>
      <w:r w:rsidR="00456907">
        <w:rPr>
          <w:rFonts w:eastAsia="Times New Roman" w:cs="Calibri"/>
          <w:szCs w:val="26"/>
        </w:rPr>
        <w:t>R</w:t>
      </w:r>
      <w:r w:rsidR="00EB06C3">
        <w:rPr>
          <w:rFonts w:eastAsia="Times New Roman" w:cs="Calibri"/>
          <w:szCs w:val="26"/>
        </w:rPr>
        <w:t xml:space="preserve">esource </w:t>
      </w:r>
      <w:r w:rsidR="00484413">
        <w:rPr>
          <w:rFonts w:eastAsia="Times New Roman" w:cs="Calibri"/>
          <w:szCs w:val="26"/>
        </w:rPr>
        <w:t>C</w:t>
      </w:r>
      <w:r w:rsidR="00EB06C3">
        <w:rPr>
          <w:rFonts w:eastAsia="Times New Roman" w:cs="Calibri"/>
          <w:szCs w:val="26"/>
        </w:rPr>
        <w:t xml:space="preserve">ounting; (3) </w:t>
      </w:r>
      <w:r w:rsidR="00456907">
        <w:rPr>
          <w:rFonts w:eastAsia="Times New Roman" w:cs="Calibri"/>
          <w:szCs w:val="26"/>
        </w:rPr>
        <w:t xml:space="preserve">Need Determination and Allocation; </w:t>
      </w:r>
      <w:r w:rsidR="00EB06C3">
        <w:rPr>
          <w:rFonts w:eastAsia="Times New Roman" w:cs="Calibri"/>
          <w:szCs w:val="26"/>
        </w:rPr>
        <w:t>(</w:t>
      </w:r>
      <w:r w:rsidR="0070183C">
        <w:rPr>
          <w:rFonts w:eastAsia="Times New Roman" w:cs="Calibri"/>
          <w:szCs w:val="26"/>
        </w:rPr>
        <w:t>4</w:t>
      </w:r>
      <w:r w:rsidR="00EB06C3">
        <w:rPr>
          <w:rFonts w:eastAsia="Times New Roman" w:cs="Calibri"/>
          <w:szCs w:val="26"/>
        </w:rPr>
        <w:t xml:space="preserve">) </w:t>
      </w:r>
      <w:r w:rsidR="00456907">
        <w:rPr>
          <w:rFonts w:eastAsia="Times New Roman" w:cs="Calibri"/>
          <w:szCs w:val="26"/>
        </w:rPr>
        <w:t>He</w:t>
      </w:r>
      <w:r w:rsidR="00EB06C3">
        <w:rPr>
          <w:rFonts w:eastAsia="Times New Roman" w:cs="Calibri"/>
          <w:szCs w:val="26"/>
        </w:rPr>
        <w:t xml:space="preserve">dging </w:t>
      </w:r>
      <w:r w:rsidR="00456907">
        <w:rPr>
          <w:rFonts w:eastAsia="Times New Roman" w:cs="Calibri"/>
          <w:szCs w:val="26"/>
        </w:rPr>
        <w:t>C</w:t>
      </w:r>
      <w:r w:rsidR="00EB06C3">
        <w:rPr>
          <w:rFonts w:eastAsia="Times New Roman" w:cs="Calibri"/>
          <w:szCs w:val="26"/>
        </w:rPr>
        <w:t>omponent</w:t>
      </w:r>
      <w:r w:rsidR="00456907">
        <w:rPr>
          <w:rFonts w:eastAsia="Times New Roman" w:cs="Calibri"/>
          <w:szCs w:val="26"/>
        </w:rPr>
        <w:t>; and (</w:t>
      </w:r>
      <w:r w:rsidR="0070183C">
        <w:rPr>
          <w:rFonts w:eastAsia="Times New Roman" w:cs="Calibri"/>
          <w:szCs w:val="26"/>
        </w:rPr>
        <w:t>5</w:t>
      </w:r>
      <w:r w:rsidR="00456907">
        <w:rPr>
          <w:rFonts w:eastAsia="Times New Roman" w:cs="Calibri"/>
          <w:szCs w:val="26"/>
        </w:rPr>
        <w:t xml:space="preserve">) </w:t>
      </w:r>
      <w:r w:rsidR="00677B86">
        <w:t xml:space="preserve">Unforced Capacity Evaluation </w:t>
      </w:r>
      <w:r w:rsidR="008C472E">
        <w:t xml:space="preserve">(UCAP) </w:t>
      </w:r>
      <w:r w:rsidR="00456907">
        <w:rPr>
          <w:rFonts w:eastAsia="Times New Roman" w:cs="Calibri"/>
          <w:szCs w:val="26"/>
        </w:rPr>
        <w:t xml:space="preserve">and Multi-Year </w:t>
      </w:r>
      <w:r w:rsidR="00173FC6">
        <w:rPr>
          <w:rFonts w:eastAsia="Times New Roman" w:cs="Calibri"/>
          <w:szCs w:val="26"/>
        </w:rPr>
        <w:t>R</w:t>
      </w:r>
      <w:r w:rsidR="00991418">
        <w:rPr>
          <w:rFonts w:eastAsia="Times New Roman" w:cs="Calibri"/>
          <w:szCs w:val="26"/>
        </w:rPr>
        <w:t xml:space="preserve">equirement </w:t>
      </w:r>
      <w:r w:rsidR="007A46B6">
        <w:rPr>
          <w:rFonts w:eastAsia="Times New Roman" w:cs="Calibri"/>
          <w:szCs w:val="26"/>
        </w:rPr>
        <w:t>Proposals</w:t>
      </w:r>
      <w:r w:rsidR="002C370C">
        <w:rPr>
          <w:rFonts w:eastAsia="Times New Roman" w:cs="Calibri"/>
          <w:szCs w:val="26"/>
        </w:rPr>
        <w:t xml:space="preserve"> (see discussion in Section </w:t>
      </w:r>
      <w:r w:rsidR="00447101">
        <w:rPr>
          <w:rFonts w:eastAsia="Times New Roman" w:cs="Calibri"/>
          <w:szCs w:val="26"/>
        </w:rPr>
        <w:t>6</w:t>
      </w:r>
      <w:r w:rsidR="002C370C">
        <w:rPr>
          <w:rFonts w:eastAsia="Times New Roman" w:cs="Calibri"/>
          <w:szCs w:val="26"/>
        </w:rPr>
        <w:t>)</w:t>
      </w:r>
      <w:r w:rsidR="00EB06C3">
        <w:rPr>
          <w:rFonts w:eastAsia="Times New Roman" w:cs="Calibri"/>
          <w:szCs w:val="26"/>
        </w:rPr>
        <w:t>.</w:t>
      </w:r>
    </w:p>
    <w:p w:rsidRPr="000F05B0" w:rsidR="008C4C9E" w:rsidP="000F05B0" w:rsidRDefault="00134AED" w14:paraId="35C0E4BF" w14:textId="260617F3">
      <w:pPr>
        <w:pStyle w:val="Standard"/>
        <w:rPr>
          <w:rFonts w:eastAsia="Times New Roman" w:cs="Calibri"/>
          <w:szCs w:val="26"/>
        </w:rPr>
      </w:pPr>
      <w:r>
        <w:rPr>
          <w:rFonts w:eastAsia="Times New Roman" w:cs="Calibri"/>
          <w:szCs w:val="26"/>
        </w:rPr>
        <w:t xml:space="preserve">Workshops should also cover the transactability of RA products, </w:t>
      </w:r>
      <w:r w:rsidR="00C358C2">
        <w:rPr>
          <w:rFonts w:eastAsia="Times New Roman" w:cs="Calibri"/>
          <w:szCs w:val="26"/>
        </w:rPr>
        <w:t xml:space="preserve">multi-day reliability event concerns, </w:t>
      </w:r>
      <w:r>
        <w:rPr>
          <w:rFonts w:eastAsia="Times New Roman" w:cs="Calibri"/>
          <w:szCs w:val="26"/>
        </w:rPr>
        <w:t xml:space="preserve">and </w:t>
      </w:r>
      <w:r>
        <w:t xml:space="preserve">alignment of RA compliance penalties and CAISO backstop procurement.  These topics may be covered in separate workshops or as part of existing workshops.  </w:t>
      </w:r>
    </w:p>
    <w:p w:rsidR="00EB06C3" w:rsidP="00BD49FD" w:rsidRDefault="00EB06C3" w14:paraId="135A23CA" w14:textId="52D18112">
      <w:pPr>
        <w:pStyle w:val="Standard"/>
      </w:pPr>
      <w:r>
        <w:t>The Commission deems an implementable</w:t>
      </w:r>
      <w:r w:rsidR="000077A7">
        <w:t xml:space="preserve"> </w:t>
      </w:r>
      <w:r>
        <w:t xml:space="preserve">RA framework as one that addresses the </w:t>
      </w:r>
      <w:r w:rsidR="00A30A63">
        <w:t xml:space="preserve">above </w:t>
      </w:r>
      <w:r>
        <w:t xml:space="preserve">implementation details, as well as the </w:t>
      </w:r>
      <w:r w:rsidR="00921AE7">
        <w:t xml:space="preserve">five </w:t>
      </w:r>
      <w:r w:rsidR="00FB7E77">
        <w:t xml:space="preserve">identified </w:t>
      </w:r>
      <w:r w:rsidR="006D1959">
        <w:t>key</w:t>
      </w:r>
      <w:r>
        <w:t xml:space="preserve"> principles.  The Commission also directs parties to consider </w:t>
      </w:r>
      <w:r w:rsidR="000D61BF">
        <w:t>a</w:t>
      </w:r>
      <w:r>
        <w:t xml:space="preserve"> </w:t>
      </w:r>
      <w:r w:rsidR="000D61BF">
        <w:t>final proposed framework’s</w:t>
      </w:r>
      <w:r>
        <w:t xml:space="preserve"> compatibility with existing Commission planning goals and programs, </w:t>
      </w:r>
      <w:r w:rsidR="0082005E">
        <w:t>such as</w:t>
      </w:r>
      <w:r>
        <w:t xml:space="preserve"> the IRP and RPS proceedings.</w:t>
      </w:r>
      <w:r w:rsidR="00772963">
        <w:t xml:space="preserve">  Additionally, in workshops, we encourage parties to consider the recent directives adopted in the IRP proceeding in developing a final framework.</w:t>
      </w:r>
    </w:p>
    <w:p w:rsidR="00691C85" w:rsidP="00DD1294" w:rsidRDefault="006101DF" w14:paraId="62AAFE0F" w14:textId="28419F72">
      <w:pPr>
        <w:pStyle w:val="standard0"/>
      </w:pPr>
      <w:r>
        <w:t xml:space="preserve">The Commission </w:t>
      </w:r>
      <w:r w:rsidR="0082005E">
        <w:t>recommends that</w:t>
      </w:r>
      <w:r>
        <w:t xml:space="preserve"> the parties that submitted Track 3B.2 restructur</w:t>
      </w:r>
      <w:r w:rsidR="00A80EF2">
        <w:t>ing</w:t>
      </w:r>
      <w:r>
        <w:t xml:space="preserve"> proposals (</w:t>
      </w:r>
      <w:proofErr w:type="spellStart"/>
      <w:r>
        <w:t>CalCCA</w:t>
      </w:r>
      <w:proofErr w:type="spellEnd"/>
      <w:r>
        <w:t>, PG&amp;E, SCE</w:t>
      </w:r>
      <w:r w:rsidR="00A81D24">
        <w:t>, and SDG&amp;E</w:t>
      </w:r>
      <w:r>
        <w:t xml:space="preserve">) facilitate </w:t>
      </w:r>
      <w:r w:rsidR="00035FD4">
        <w:t>the</w:t>
      </w:r>
      <w:r>
        <w:t xml:space="preserve"> workshops</w:t>
      </w:r>
      <w:r w:rsidR="00190486">
        <w:t xml:space="preserve">, </w:t>
      </w:r>
      <w:r w:rsidR="00035FD4">
        <w:t>individually or jointly</w:t>
      </w:r>
      <w:r w:rsidR="000D61BF">
        <w:t xml:space="preserve">. </w:t>
      </w:r>
      <w:r w:rsidR="00035FD4">
        <w:t xml:space="preserve"> </w:t>
      </w:r>
      <w:r w:rsidR="003C68C1">
        <w:t>P</w:t>
      </w:r>
      <w:r w:rsidR="005C0DB3">
        <w:t xml:space="preserve">arties </w:t>
      </w:r>
      <w:r w:rsidR="003C68C1">
        <w:t>should</w:t>
      </w:r>
      <w:r w:rsidR="005C0DB3">
        <w:t xml:space="preserve"> work </w:t>
      </w:r>
      <w:r w:rsidR="003C68C1">
        <w:t>together</w:t>
      </w:r>
      <w:r w:rsidR="005C0DB3">
        <w:t xml:space="preserve"> to </w:t>
      </w:r>
      <w:r w:rsidR="003C68C1">
        <w:t>arrive at</w:t>
      </w:r>
      <w:r w:rsidR="005C0DB3">
        <w:t xml:space="preserve"> </w:t>
      </w:r>
      <w:r w:rsidR="003C68C1">
        <w:t>the optimal</w:t>
      </w:r>
      <w:r w:rsidR="005C0DB3">
        <w:t xml:space="preserve"> final framework</w:t>
      </w:r>
      <w:r w:rsidR="008C78C8">
        <w:t xml:space="preserve"> that </w:t>
      </w:r>
      <w:r w:rsidR="003C68C1">
        <w:t xml:space="preserve">best addresses the stated principles and </w:t>
      </w:r>
      <w:r w:rsidR="003C68C1">
        <w:lastRenderedPageBreak/>
        <w:t>implementation details</w:t>
      </w:r>
      <w:r w:rsidR="005C0DB3">
        <w:t xml:space="preserve">.  </w:t>
      </w:r>
      <w:r w:rsidR="00EB42AC">
        <w:t xml:space="preserve">The Commission requests that CAISO and the CEC directly </w:t>
      </w:r>
      <w:r w:rsidR="00F4711F">
        <w:t>participate</w:t>
      </w:r>
      <w:r w:rsidR="00EB42AC">
        <w:t xml:space="preserve"> in these workshops</w:t>
      </w:r>
      <w:r w:rsidR="00B32C40">
        <w:t xml:space="preserve">, particularly on </w:t>
      </w:r>
      <w:r w:rsidR="00B84B21">
        <w:t>issues</w:t>
      </w:r>
      <w:r w:rsidR="00B32C40">
        <w:t xml:space="preserve"> that pertain to their direct involvement (</w:t>
      </w:r>
      <w:r w:rsidRPr="00DB2886" w:rsidR="00DB2886">
        <w:rPr>
          <w:i/>
          <w:iCs/>
        </w:rPr>
        <w:t>e.g.</w:t>
      </w:r>
      <w:r w:rsidRPr="007E1624" w:rsidR="00B32C40">
        <w:rPr>
          <w:i/>
          <w:iCs/>
        </w:rPr>
        <w:t>,</w:t>
      </w:r>
      <w:r w:rsidR="00B32C40">
        <w:t xml:space="preserve"> load forecast issues, UCAP, MOO)</w:t>
      </w:r>
      <w:r w:rsidR="005718A1">
        <w:t xml:space="preserve">, and that CAISO identify any required tariff modifications as early as practicable to allow for implementation prior to 2024.  </w:t>
      </w:r>
      <w:r w:rsidR="00691C85">
        <w:t xml:space="preserve">Energy Division </w:t>
      </w:r>
      <w:r w:rsidR="009C4213">
        <w:t>shall</w:t>
      </w:r>
      <w:r w:rsidR="00691C85">
        <w:t xml:space="preserve"> be consulted and included throughout the workshop process.</w:t>
      </w:r>
      <w:r w:rsidR="00EB42AC">
        <w:t xml:space="preserve"> </w:t>
      </w:r>
      <w:r w:rsidR="00F4711F">
        <w:t xml:space="preserve"> </w:t>
      </w:r>
    </w:p>
    <w:p w:rsidR="006C054C" w:rsidP="00DD1294" w:rsidRDefault="00035FD4" w14:paraId="0AD2DC88" w14:textId="61686BF9">
      <w:pPr>
        <w:pStyle w:val="standard0"/>
      </w:pPr>
      <w:r>
        <w:t xml:space="preserve">At the conclusion of the workshops, an identified party/parties shall </w:t>
      </w:r>
      <w:r w:rsidR="00C279D8">
        <w:t>prepare</w:t>
      </w:r>
      <w:r>
        <w:t xml:space="preserve"> and submit a </w:t>
      </w:r>
      <w:r w:rsidR="00DD1294">
        <w:t>Workshop R</w:t>
      </w:r>
      <w:r>
        <w:t xml:space="preserve">eport </w:t>
      </w:r>
      <w:r w:rsidR="000014DC">
        <w:t xml:space="preserve">that </w:t>
      </w:r>
      <w:r w:rsidR="00C279D8">
        <w:t>provides</w:t>
      </w:r>
      <w:r w:rsidR="000014DC">
        <w:t xml:space="preserve"> the final proposed framework</w:t>
      </w:r>
      <w:r w:rsidR="00AB777D">
        <w:t xml:space="preserve"> (</w:t>
      </w:r>
      <w:r w:rsidR="006F1C0D">
        <w:t>identifying</w:t>
      </w:r>
      <w:r w:rsidR="00AB777D">
        <w:t xml:space="preserve"> consensus and non-consensus items)</w:t>
      </w:r>
      <w:r w:rsidR="00036C53">
        <w:t xml:space="preserve"> and</w:t>
      </w:r>
      <w:r w:rsidR="00AB777D">
        <w:t xml:space="preserve"> </w:t>
      </w:r>
      <w:r w:rsidR="0070168D">
        <w:t xml:space="preserve">discuss </w:t>
      </w:r>
      <w:r>
        <w:t xml:space="preserve">how the </w:t>
      </w:r>
      <w:r w:rsidR="00CC2A86">
        <w:t xml:space="preserve">final </w:t>
      </w:r>
      <w:r>
        <w:t xml:space="preserve">proposal addresses the implementation details and the </w:t>
      </w:r>
      <w:r w:rsidR="00FF727D">
        <w:t>key</w:t>
      </w:r>
      <w:r>
        <w:t xml:space="preserve"> principles.  </w:t>
      </w:r>
      <w:r w:rsidR="00DD1294">
        <w:t xml:space="preserve">The Workshop Report shall be </w:t>
      </w:r>
      <w:r w:rsidR="006D459D">
        <w:t xml:space="preserve">filed and served </w:t>
      </w:r>
      <w:r w:rsidR="00DD1294">
        <w:t xml:space="preserve">in the RA proceeding in February 2022.  </w:t>
      </w:r>
      <w:r>
        <w:t xml:space="preserve">Following the submission of the </w:t>
      </w:r>
      <w:r w:rsidR="007C13BA">
        <w:t>Workshop R</w:t>
      </w:r>
      <w:r>
        <w:t xml:space="preserve">eport, parties </w:t>
      </w:r>
      <w:r w:rsidR="006D459D">
        <w:t xml:space="preserve">will </w:t>
      </w:r>
      <w:r>
        <w:t xml:space="preserve">be given an opportunity to comment.  </w:t>
      </w:r>
    </w:p>
    <w:p w:rsidR="000D61BF" w:rsidP="000D61BF" w:rsidRDefault="000D61BF" w14:paraId="6DD39E90" w14:textId="41887BF0">
      <w:pPr>
        <w:pStyle w:val="standard0"/>
      </w:pPr>
      <w:r>
        <w:t xml:space="preserve">Within </w:t>
      </w:r>
      <w:r w:rsidR="003B3776">
        <w:t>30</w:t>
      </w:r>
      <w:r w:rsidR="006C054C">
        <w:t xml:space="preserve"> </w:t>
      </w:r>
      <w:r>
        <w:t xml:space="preserve">days of </w:t>
      </w:r>
      <w:r w:rsidR="006D459D">
        <w:t xml:space="preserve">the effective date of </w:t>
      </w:r>
      <w:r>
        <w:t xml:space="preserve">this decision, parties shall reach agreement and inform the Commission </w:t>
      </w:r>
      <w:r w:rsidR="009D4476">
        <w:t xml:space="preserve">(with service to the service list) </w:t>
      </w:r>
      <w:r>
        <w:t>of the following:</w:t>
      </w:r>
    </w:p>
    <w:p w:rsidRPr="00E02BEA" w:rsidR="006C054C" w:rsidP="00E02BEA" w:rsidRDefault="006C054C" w14:paraId="1C2D39CE" w14:textId="5BB17BC9">
      <w:pPr>
        <w:pStyle w:val="standard0"/>
        <w:numPr>
          <w:ilvl w:val="0"/>
          <w:numId w:val="43"/>
        </w:numPr>
        <w:spacing w:after="120" w:line="240" w:lineRule="auto"/>
        <w:ind w:left="1166" w:right="1440" w:hanging="446"/>
        <w:rPr>
          <w:rFonts w:ascii="Book Antiqua" w:hAnsi="Book Antiqua"/>
        </w:rPr>
      </w:pPr>
      <w:r w:rsidRPr="00E02BEA">
        <w:rPr>
          <w:rFonts w:ascii="Book Antiqua" w:hAnsi="Book Antiqua"/>
        </w:rPr>
        <w:t xml:space="preserve">The date for the first workshop and placeholder dates for at least two subsequent </w:t>
      </w:r>
      <w:proofErr w:type="gramStart"/>
      <w:r w:rsidRPr="00E02BEA">
        <w:rPr>
          <w:rFonts w:ascii="Book Antiqua" w:hAnsi="Book Antiqua"/>
        </w:rPr>
        <w:t>workshops;</w:t>
      </w:r>
      <w:proofErr w:type="gramEnd"/>
      <w:r w:rsidRPr="00E02BEA">
        <w:rPr>
          <w:rFonts w:ascii="Book Antiqua" w:hAnsi="Book Antiqua"/>
        </w:rPr>
        <w:t xml:space="preserve"> </w:t>
      </w:r>
    </w:p>
    <w:p w:rsidRPr="00E02BEA" w:rsidR="006C054C" w:rsidP="00E02BEA" w:rsidRDefault="006C054C" w14:paraId="0E0F5A32" w14:textId="4116F5B9">
      <w:pPr>
        <w:pStyle w:val="standard0"/>
        <w:numPr>
          <w:ilvl w:val="0"/>
          <w:numId w:val="43"/>
        </w:numPr>
        <w:spacing w:after="120" w:line="240" w:lineRule="auto"/>
        <w:ind w:left="1166" w:right="1440" w:hanging="446"/>
        <w:rPr>
          <w:rFonts w:ascii="Book Antiqua" w:hAnsi="Book Antiqua"/>
        </w:rPr>
      </w:pPr>
      <w:r w:rsidRPr="00E02BEA">
        <w:rPr>
          <w:rFonts w:ascii="Book Antiqua" w:hAnsi="Book Antiqua"/>
        </w:rPr>
        <w:t xml:space="preserve">The scope of issues for each </w:t>
      </w:r>
      <w:proofErr w:type="gramStart"/>
      <w:r w:rsidRPr="00E02BEA">
        <w:rPr>
          <w:rFonts w:ascii="Book Antiqua" w:hAnsi="Book Antiqua"/>
        </w:rPr>
        <w:t>workshop;</w:t>
      </w:r>
      <w:proofErr w:type="gramEnd"/>
      <w:r w:rsidRPr="00E02BEA">
        <w:rPr>
          <w:rFonts w:ascii="Book Antiqua" w:hAnsi="Book Antiqua"/>
        </w:rPr>
        <w:t xml:space="preserve"> </w:t>
      </w:r>
    </w:p>
    <w:p w:rsidRPr="00E02BEA" w:rsidR="006C054C" w:rsidP="00E02BEA" w:rsidRDefault="006C054C" w14:paraId="7E03F924" w14:textId="4E1C5AF1">
      <w:pPr>
        <w:pStyle w:val="standard0"/>
        <w:numPr>
          <w:ilvl w:val="0"/>
          <w:numId w:val="43"/>
        </w:numPr>
        <w:spacing w:after="120" w:line="240" w:lineRule="auto"/>
        <w:ind w:left="1166" w:right="1440" w:hanging="446"/>
        <w:rPr>
          <w:rFonts w:ascii="Book Antiqua" w:hAnsi="Book Antiqua"/>
        </w:rPr>
      </w:pPr>
      <w:r w:rsidRPr="00E02BEA">
        <w:rPr>
          <w:rFonts w:ascii="Book Antiqua" w:hAnsi="Book Antiqua"/>
        </w:rPr>
        <w:t>Identified part(</w:t>
      </w:r>
      <w:proofErr w:type="spellStart"/>
      <w:r w:rsidRPr="00E02BEA">
        <w:rPr>
          <w:rFonts w:ascii="Book Antiqua" w:hAnsi="Book Antiqua"/>
        </w:rPr>
        <w:t>ies</w:t>
      </w:r>
      <w:proofErr w:type="spellEnd"/>
      <w:r w:rsidRPr="00E02BEA">
        <w:rPr>
          <w:rFonts w:ascii="Book Antiqua" w:hAnsi="Book Antiqua"/>
        </w:rPr>
        <w:t xml:space="preserve">) </w:t>
      </w:r>
      <w:r w:rsidRPr="00E02BEA" w:rsidR="0035251C">
        <w:rPr>
          <w:rFonts w:ascii="Book Antiqua" w:hAnsi="Book Antiqua"/>
        </w:rPr>
        <w:t>to</w:t>
      </w:r>
      <w:r w:rsidRPr="00E02BEA">
        <w:rPr>
          <w:rFonts w:ascii="Book Antiqua" w:hAnsi="Book Antiqua"/>
        </w:rPr>
        <w:t xml:space="preserve"> facilitate each workshop; and</w:t>
      </w:r>
    </w:p>
    <w:p w:rsidRPr="00E02BEA" w:rsidR="006C054C" w:rsidP="00E02BEA" w:rsidRDefault="006C054C" w14:paraId="031F6139" w14:textId="4FD43DD8">
      <w:pPr>
        <w:pStyle w:val="standard0"/>
        <w:numPr>
          <w:ilvl w:val="0"/>
          <w:numId w:val="43"/>
        </w:numPr>
        <w:spacing w:after="120" w:line="240" w:lineRule="auto"/>
        <w:ind w:left="1166" w:right="1440" w:hanging="446"/>
        <w:rPr>
          <w:rFonts w:ascii="Book Antiqua" w:hAnsi="Book Antiqua"/>
        </w:rPr>
      </w:pPr>
      <w:r w:rsidRPr="00E02BEA">
        <w:rPr>
          <w:rFonts w:ascii="Book Antiqua" w:hAnsi="Book Antiqua"/>
        </w:rPr>
        <w:t>Identified part(</w:t>
      </w:r>
      <w:proofErr w:type="spellStart"/>
      <w:r w:rsidRPr="00E02BEA">
        <w:rPr>
          <w:rFonts w:ascii="Book Antiqua" w:hAnsi="Book Antiqua"/>
        </w:rPr>
        <w:t>ies</w:t>
      </w:r>
      <w:proofErr w:type="spellEnd"/>
      <w:r w:rsidRPr="00E02BEA">
        <w:rPr>
          <w:rFonts w:ascii="Book Antiqua" w:hAnsi="Book Antiqua"/>
        </w:rPr>
        <w:t xml:space="preserve">) </w:t>
      </w:r>
      <w:r w:rsidRPr="00E02BEA" w:rsidR="0035251C">
        <w:rPr>
          <w:rFonts w:ascii="Book Antiqua" w:hAnsi="Book Antiqua"/>
        </w:rPr>
        <w:t>to</w:t>
      </w:r>
      <w:r w:rsidRPr="00E02BEA">
        <w:rPr>
          <w:rFonts w:ascii="Book Antiqua" w:hAnsi="Book Antiqua"/>
        </w:rPr>
        <w:t xml:space="preserve"> prepare </w:t>
      </w:r>
      <w:r w:rsidRPr="00E02BEA" w:rsidR="0035251C">
        <w:rPr>
          <w:rFonts w:ascii="Book Antiqua" w:hAnsi="Book Antiqua"/>
        </w:rPr>
        <w:t>and submit the</w:t>
      </w:r>
      <w:r w:rsidRPr="00E02BEA">
        <w:rPr>
          <w:rFonts w:ascii="Book Antiqua" w:hAnsi="Book Antiqua"/>
        </w:rPr>
        <w:t xml:space="preserve"> </w:t>
      </w:r>
      <w:r w:rsidRPr="00E02BEA" w:rsidR="0035251C">
        <w:rPr>
          <w:rFonts w:ascii="Book Antiqua" w:hAnsi="Book Antiqua"/>
        </w:rPr>
        <w:t>Workshop R</w:t>
      </w:r>
      <w:r w:rsidRPr="00E02BEA">
        <w:rPr>
          <w:rFonts w:ascii="Book Antiqua" w:hAnsi="Book Antiqua"/>
        </w:rPr>
        <w:t>eport to the Commission.</w:t>
      </w:r>
    </w:p>
    <w:p w:rsidRPr="00EB06C3" w:rsidR="000367D8" w:rsidP="00E8642B" w:rsidRDefault="006C054C" w14:paraId="0BAAF0CF" w14:textId="2E57A4E2">
      <w:pPr>
        <w:pStyle w:val="Standard"/>
      </w:pPr>
      <w:r>
        <w:t xml:space="preserve">When developing the content and schedule for the workshops, parties should consider the order in which the </w:t>
      </w:r>
      <w:r w:rsidR="00B256A5">
        <w:t>implementation</w:t>
      </w:r>
      <w:r>
        <w:t xml:space="preserve"> </w:t>
      </w:r>
      <w:r w:rsidR="00B256A5">
        <w:t>details</w:t>
      </w:r>
      <w:r>
        <w:t xml:space="preserve"> should be addressed, or if certain issues should be considered jointly.  </w:t>
      </w:r>
      <w:r w:rsidR="006C3D68">
        <w:t xml:space="preserve">The Commission will consider </w:t>
      </w:r>
      <w:r w:rsidR="00FF3CFA">
        <w:t>the</w:t>
      </w:r>
      <w:r w:rsidR="006C3D68">
        <w:t xml:space="preserve"> final proposed framework and intends to issue a decision </w:t>
      </w:r>
      <w:r w:rsidR="00FF3CFA">
        <w:t xml:space="preserve">in the </w:t>
      </w:r>
      <w:r w:rsidR="006D459D">
        <w:lastRenderedPageBreak/>
        <w:t xml:space="preserve">third </w:t>
      </w:r>
      <w:r w:rsidR="00DD3699">
        <w:t>q</w:t>
      </w:r>
      <w:r w:rsidR="00FF3CFA">
        <w:t>uarter of 2022</w:t>
      </w:r>
      <w:r w:rsidR="006C3D68">
        <w:t xml:space="preserve"> with details for implementation </w:t>
      </w:r>
      <w:r w:rsidR="000D6808">
        <w:t xml:space="preserve">in 2023 </w:t>
      </w:r>
      <w:r w:rsidR="004D6E73">
        <w:t>for</w:t>
      </w:r>
      <w:r w:rsidR="006C3D68">
        <w:t xml:space="preserve"> the 2024 RA compliance year.</w:t>
      </w:r>
    </w:p>
    <w:p w:rsidR="005445A1" w:rsidP="001751FF" w:rsidRDefault="005445A1" w14:paraId="193D2A83" w14:textId="00439D19">
      <w:pPr>
        <w:pStyle w:val="Heading1"/>
      </w:pPr>
      <w:bookmarkStart w:name="_Toc69976157" w:id="37"/>
      <w:bookmarkStart w:name="_Toc74206129" w:id="38"/>
      <w:r>
        <w:t xml:space="preserve">Other </w:t>
      </w:r>
      <w:r w:rsidR="00657FB9">
        <w:t>Track 3B.2</w:t>
      </w:r>
      <w:r>
        <w:t xml:space="preserve"> Proposals</w:t>
      </w:r>
      <w:bookmarkEnd w:id="37"/>
      <w:bookmarkEnd w:id="38"/>
      <w:r>
        <w:t xml:space="preserve"> </w:t>
      </w:r>
    </w:p>
    <w:p w:rsidR="005445A1" w:rsidP="001751FF" w:rsidRDefault="005445A1" w14:paraId="5A94ACF1" w14:textId="676C05DB">
      <w:pPr>
        <w:pStyle w:val="Heading2"/>
      </w:pPr>
      <w:bookmarkStart w:name="_Toc69976158" w:id="39"/>
      <w:bookmarkStart w:name="_Toc74206130" w:id="40"/>
      <w:r>
        <w:t>U</w:t>
      </w:r>
      <w:bookmarkEnd w:id="39"/>
      <w:r w:rsidR="00657FB9">
        <w:t xml:space="preserve">nforced Capacity Evaluation </w:t>
      </w:r>
      <w:r w:rsidR="00B12740">
        <w:t>P</w:t>
      </w:r>
      <w:r w:rsidR="00657FB9">
        <w:t xml:space="preserve">roposal </w:t>
      </w:r>
      <w:r w:rsidR="009B3B45">
        <w:t>(UCAP)</w:t>
      </w:r>
      <w:bookmarkEnd w:id="40"/>
    </w:p>
    <w:p w:rsidR="005445A1" w:rsidP="005445A1" w:rsidRDefault="005445A1" w14:paraId="14BB9316" w14:textId="431E5D60">
      <w:pPr>
        <w:pStyle w:val="Standard"/>
      </w:pPr>
      <w:r>
        <w:t xml:space="preserve">CAISO proposes a UCAP </w:t>
      </w:r>
      <w:r w:rsidR="00AE31A6">
        <w:t xml:space="preserve">framework </w:t>
      </w:r>
      <w:r>
        <w:t xml:space="preserve">that </w:t>
      </w:r>
      <w:r w:rsidR="00E3617F">
        <w:t xml:space="preserve">would embed forced outage rates into a resource’s RA value through a </w:t>
      </w:r>
      <w:r>
        <w:t xml:space="preserve">seasonal availability factor approach </w:t>
      </w:r>
      <w:r w:rsidR="00984349">
        <w:t>that looks at</w:t>
      </w:r>
      <w:r>
        <w:t xml:space="preserve"> unit-specific availability during tight RA supply hours.</w:t>
      </w:r>
      <w:r>
        <w:rPr>
          <w:rStyle w:val="FootnoteReference"/>
        </w:rPr>
        <w:footnoteReference w:id="47"/>
      </w:r>
      <w:r>
        <w:t xml:space="preserve">  The proposal has two elements: (1) a UCAP counting methodology to determine maximum RA capacity values for generation resources, and (2)</w:t>
      </w:r>
      <w:r w:rsidR="007E1624">
        <w:t> </w:t>
      </w:r>
      <w:r>
        <w:t>UCAP/NQC</w:t>
      </w:r>
      <w:r w:rsidR="007E1624">
        <w:noBreakHyphen/>
      </w:r>
      <w:r>
        <w:t xml:space="preserve">based procurement requirements.  The counting methodology would determine a resource’s UCAP/NQC value by discounting its deliverable QC value to account for historical unit forced and urgent outage rates during tight RA supply hours.  </w:t>
      </w:r>
      <w:r w:rsidR="00984349">
        <w:t>The UCAP requirements would include a</w:t>
      </w:r>
      <w:r>
        <w:t xml:space="preserve"> </w:t>
      </w:r>
      <w:r w:rsidR="0005233F">
        <w:t>PRM</w:t>
      </w:r>
      <w:r>
        <w:t xml:space="preserve"> </w:t>
      </w:r>
      <w:r w:rsidR="00984349">
        <w:t xml:space="preserve">that would not include </w:t>
      </w:r>
      <w:r>
        <w:t xml:space="preserve">a forced outage rate because </w:t>
      </w:r>
      <w:r w:rsidR="00984349">
        <w:t>the outage rate</w:t>
      </w:r>
      <w:r>
        <w:t xml:space="preserve"> </w:t>
      </w:r>
      <w:r w:rsidR="00984349">
        <w:t>would</w:t>
      </w:r>
      <w:r>
        <w:t xml:space="preserve"> be embedded in the resource’s UCAP/NQC values.</w:t>
      </w:r>
    </w:p>
    <w:p w:rsidR="005445A1" w:rsidP="005445A1" w:rsidRDefault="005445A1" w14:paraId="7B067E4B" w14:textId="41BBDD0C">
      <w:pPr>
        <w:pStyle w:val="Standard"/>
      </w:pPr>
      <w:r>
        <w:t>CAISO states that current incentives to provide replacement capacity for forced outages,</w:t>
      </w:r>
      <w:r w:rsidRPr="008731B7">
        <w:t xml:space="preserve"> </w:t>
      </w:r>
      <w:r>
        <w:t xml:space="preserve">such as substitution rules and </w:t>
      </w:r>
      <w:r w:rsidR="00A35239">
        <w:t>Resource Adequacy Availability Incentive Mechanism (</w:t>
      </w:r>
      <w:r>
        <w:t>RAAIM</w:t>
      </w:r>
      <w:r w:rsidR="00A35239">
        <w:t>)</w:t>
      </w:r>
      <w:r>
        <w:t xml:space="preserve">, are not effective because they do not ensure expeditious availability of substitute capacity, create perverse withholding incentives, and allow cross-subsidization of outages within a portfolio.  A UCAP methodology will better incentivize LSEs to procure more reliable resources and avoid forced </w:t>
      </w:r>
      <w:proofErr w:type="gramStart"/>
      <w:r>
        <w:t>outages, and</w:t>
      </w:r>
      <w:proofErr w:type="gramEnd"/>
      <w:r>
        <w:t xml:space="preserve"> removing the forced outage rate from the PRM will allow RA requirements to change </w:t>
      </w:r>
      <w:r w:rsidR="00984349">
        <w:t xml:space="preserve">over time </w:t>
      </w:r>
      <w:r>
        <w:t>with the fleet’s</w:t>
      </w:r>
      <w:r w:rsidR="00D42CA0">
        <w:t xml:space="preserve"> actual</w:t>
      </w:r>
      <w:r>
        <w:t xml:space="preserve"> forced outage </w:t>
      </w:r>
      <w:r>
        <w:lastRenderedPageBreak/>
        <w:t xml:space="preserve">rate.  CAISO states </w:t>
      </w:r>
      <w:r w:rsidR="00071225">
        <w:t xml:space="preserve">that </w:t>
      </w:r>
      <w:r>
        <w:t xml:space="preserve">it is working on detailed forced outage </w:t>
      </w:r>
      <w:proofErr w:type="gramStart"/>
      <w:r>
        <w:t>rates</w:t>
      </w:r>
      <w:proofErr w:type="gramEnd"/>
      <w:r>
        <w:t xml:space="preserve"> but specific data is not necessary to consider the principles of </w:t>
      </w:r>
      <w:r w:rsidR="00AE31A6">
        <w:t xml:space="preserve">its </w:t>
      </w:r>
      <w:r>
        <w:t xml:space="preserve">proposal.  </w:t>
      </w:r>
    </w:p>
    <w:p w:rsidR="005445A1" w:rsidP="005445A1" w:rsidRDefault="00AE1EB6" w14:paraId="4327F224" w14:textId="3AE4CA16">
      <w:pPr>
        <w:pStyle w:val="Standard"/>
      </w:pPr>
      <w:r>
        <w:t>Parties</w:t>
      </w:r>
      <w:r w:rsidR="005445A1">
        <w:t xml:space="preserve"> </w:t>
      </w:r>
      <w:r>
        <w:t>that oppose</w:t>
      </w:r>
      <w:r w:rsidR="005445A1">
        <w:t xml:space="preserve"> CAISO’s proposal</w:t>
      </w:r>
      <w:r>
        <w:t xml:space="preserve"> include </w:t>
      </w:r>
      <w:r w:rsidR="005445A1">
        <w:t>Cal Advocates, CEJA/Sierra Club, MRP, PCF and SDG&amp;E.</w:t>
      </w:r>
      <w:r w:rsidR="005445A1">
        <w:rPr>
          <w:rStyle w:val="FootnoteReference"/>
        </w:rPr>
        <w:footnoteReference w:id="48"/>
      </w:r>
      <w:r w:rsidR="005445A1">
        <w:t xml:space="preserve">  CEJA/Sierra Club and Cal Advocates </w:t>
      </w:r>
      <w:r w:rsidR="00EC3CB9">
        <w:t>posit that</w:t>
      </w:r>
      <w:r w:rsidR="005445A1">
        <w:t xml:space="preserve"> </w:t>
      </w:r>
      <w:r>
        <w:t>it</w:t>
      </w:r>
      <w:r w:rsidR="005445A1">
        <w:t xml:space="preserve"> may significantly raise RA requirements and increase ratepayer costs.</w:t>
      </w:r>
      <w:r w:rsidRPr="00887BF3" w:rsidR="005445A1">
        <w:t xml:space="preserve"> </w:t>
      </w:r>
      <w:r w:rsidR="005445A1">
        <w:t xml:space="preserve"> CEJA/Sierra Club </w:t>
      </w:r>
      <w:r w:rsidR="006C5177">
        <w:t>argue</w:t>
      </w:r>
      <w:r w:rsidR="005445A1">
        <w:t xml:space="preserve"> that </w:t>
      </w:r>
      <w:r w:rsidR="006250ED">
        <w:t>it</w:t>
      </w:r>
      <w:r w:rsidR="005445A1">
        <w:t xml:space="preserve"> has not been shown to be necessary and </w:t>
      </w:r>
      <w:proofErr w:type="gramStart"/>
      <w:r w:rsidR="005445A1">
        <w:t>the vast majority of</w:t>
      </w:r>
      <w:proofErr w:type="gramEnd"/>
      <w:r w:rsidR="005445A1">
        <w:t xml:space="preserve"> outages are due to operational issues, transmission and distribution equipment issues, etc.  SDG&amp;E </w:t>
      </w:r>
      <w:r w:rsidR="008013EB">
        <w:t>states</w:t>
      </w:r>
      <w:r w:rsidR="005445A1">
        <w:t xml:space="preserve"> that the proposal intrudes on Commission jurisdiction to set the PRM and that CAISO’s forced outage data is in dispute.  MRP states </w:t>
      </w:r>
      <w:r w:rsidR="003F0727">
        <w:t xml:space="preserve">that </w:t>
      </w:r>
      <w:r w:rsidR="005445A1">
        <w:t xml:space="preserve">the proposal </w:t>
      </w:r>
      <w:r>
        <w:t xml:space="preserve">is burdensome </w:t>
      </w:r>
      <w:r w:rsidR="00156891">
        <w:t>as</w:t>
      </w:r>
      <w:r>
        <w:t xml:space="preserve"> it requires</w:t>
      </w:r>
      <w:r w:rsidR="005445A1">
        <w:t xml:space="preserve"> constantly changing QC values and penalizes generators for past outage</w:t>
      </w:r>
      <w:r>
        <w:t>s</w:t>
      </w:r>
      <w:r w:rsidR="005445A1">
        <w:t xml:space="preserve">.  </w:t>
      </w:r>
      <w:r w:rsidR="007A4F69">
        <w:t>Calpine does not believe it provides sufficiently strong incentives and recommends other means, such as scarcity pricing in energy markets or strong</w:t>
      </w:r>
      <w:r w:rsidR="00313CCF">
        <w:t>er</w:t>
      </w:r>
      <w:r w:rsidR="007A4F69">
        <w:t xml:space="preserve"> non-performance penalties.</w:t>
      </w:r>
      <w:r w:rsidR="007A4F69">
        <w:rPr>
          <w:rStyle w:val="FootnoteReference"/>
        </w:rPr>
        <w:footnoteReference w:id="49"/>
      </w:r>
    </w:p>
    <w:p w:rsidR="005445A1" w:rsidP="00313CCF" w:rsidRDefault="005445A1" w14:paraId="6B0E9C6C" w14:textId="4C4CF95D">
      <w:pPr>
        <w:pStyle w:val="Standard"/>
      </w:pPr>
      <w:r>
        <w:t xml:space="preserve">SDG&amp;E and MRP </w:t>
      </w:r>
      <w:r w:rsidR="00876134">
        <w:t>comment</w:t>
      </w:r>
      <w:r>
        <w:t xml:space="preserve"> that the proposal is in Phase 2A of CAISO’s stakeholder initiative and </w:t>
      </w:r>
      <w:r w:rsidR="00580B2F">
        <w:t>need</w:t>
      </w:r>
      <w:r>
        <w:t xml:space="preserve"> not be adopted at this time.  CAISO </w:t>
      </w:r>
      <w:r w:rsidR="00CE5B94">
        <w:t>suggests that the proposal be further developed</w:t>
      </w:r>
      <w:r>
        <w:t xml:space="preserve"> in conjunction with Track 3B.2 proposals to allow CAISO time to provide stakeholders with requested data.</w:t>
      </w:r>
      <w:r w:rsidR="00313CCF">
        <w:t xml:space="preserve">  </w:t>
      </w:r>
      <w:r>
        <w:t>Shell supports the proposal</w:t>
      </w:r>
      <w:r w:rsidR="00E8517C">
        <w:t xml:space="preserve"> and BRTM supports it </w:t>
      </w:r>
      <w:r w:rsidR="00606162">
        <w:t>with</w:t>
      </w:r>
      <w:r w:rsidR="00E8517C">
        <w:t xml:space="preserve"> modifications, such as different counting methodologies for specific technologies</w:t>
      </w:r>
      <w:r>
        <w:t>.</w:t>
      </w:r>
      <w:r>
        <w:rPr>
          <w:rStyle w:val="FootnoteReference"/>
        </w:rPr>
        <w:footnoteReference w:id="50"/>
      </w:r>
      <w:r>
        <w:t xml:space="preserve"> </w:t>
      </w:r>
      <w:r w:rsidR="00E8517C">
        <w:t xml:space="preserve"> </w:t>
      </w:r>
    </w:p>
    <w:p w:rsidRPr="00273A80" w:rsidR="005445A1" w:rsidP="005445A1" w:rsidRDefault="005445A1" w14:paraId="2A93C629" w14:textId="4A51676E">
      <w:pPr>
        <w:pStyle w:val="Standard"/>
        <w:tabs>
          <w:tab w:val="left" w:pos="3179"/>
        </w:tabs>
      </w:pPr>
      <w:r>
        <w:lastRenderedPageBreak/>
        <w:t xml:space="preserve">The Commission sees merit in the UCAP </w:t>
      </w:r>
      <w:r w:rsidR="009B3B45">
        <w:t xml:space="preserve">framework </w:t>
      </w:r>
      <w:r>
        <w:t xml:space="preserve">and </w:t>
      </w:r>
      <w:r w:rsidR="004972A3">
        <w:t xml:space="preserve">agrees </w:t>
      </w:r>
      <w:r>
        <w:t xml:space="preserve">that the proposal could </w:t>
      </w:r>
      <w:r w:rsidR="004972A3">
        <w:t>be further developed in conjunction with PG&amp;E’s slice</w:t>
      </w:r>
      <w:r w:rsidR="00E02BEA">
        <w:noBreakHyphen/>
      </w:r>
      <w:r w:rsidR="004972A3">
        <w:t>of-day proposal</w:t>
      </w:r>
      <w:r>
        <w:t xml:space="preserve">.  </w:t>
      </w:r>
      <w:r w:rsidR="004972A3">
        <w:t>We</w:t>
      </w:r>
      <w:r>
        <w:t xml:space="preserve"> decline to adopt </w:t>
      </w:r>
      <w:r w:rsidR="004972A3">
        <w:t>the proposal</w:t>
      </w:r>
      <w:r>
        <w:t xml:space="preserve"> at this time</w:t>
      </w:r>
      <w:r w:rsidR="004972A3">
        <w:t xml:space="preserve"> but direct parties to consider the proposal</w:t>
      </w:r>
      <w:r w:rsidR="009B3B45">
        <w:t xml:space="preserve"> in workshops</w:t>
      </w:r>
      <w:r w:rsidR="009B2F92">
        <w:t>, or other means of accounting for forced outage rates in a resources RA value (</w:t>
      </w:r>
      <w:r w:rsidRPr="00DB2886" w:rsidR="00DB2886">
        <w:rPr>
          <w:i/>
          <w:iCs/>
        </w:rPr>
        <w:t>e.g.</w:t>
      </w:r>
      <w:r w:rsidR="003F2773">
        <w:t>,</w:t>
      </w:r>
      <w:r w:rsidR="009B2F92">
        <w:t xml:space="preserve"> exceedance methodology), </w:t>
      </w:r>
      <w:r w:rsidR="004972A3">
        <w:t>to potentially be layered onto a final proposed framework.</w:t>
      </w:r>
      <w:r w:rsidR="004805CD">
        <w:t xml:space="preserve">  CAISO is </w:t>
      </w:r>
      <w:r w:rsidR="00750203">
        <w:t>requested</w:t>
      </w:r>
      <w:r w:rsidR="004805CD">
        <w:t xml:space="preserve"> to </w:t>
      </w:r>
      <w:r w:rsidR="00AE31A6">
        <w:t>participate</w:t>
      </w:r>
      <w:r w:rsidR="00A21EC1">
        <w:t xml:space="preserve"> in </w:t>
      </w:r>
      <w:r w:rsidR="00257D7E">
        <w:t>(</w:t>
      </w:r>
      <w:r w:rsidR="00A21EC1">
        <w:t>or lead</w:t>
      </w:r>
      <w:r w:rsidR="00257D7E">
        <w:t>)</w:t>
      </w:r>
      <w:r w:rsidR="00AE31A6">
        <w:t xml:space="preserve"> </w:t>
      </w:r>
      <w:r w:rsidR="00750203">
        <w:t>the</w:t>
      </w:r>
      <w:r w:rsidR="004805CD">
        <w:t xml:space="preserve"> workshop </w:t>
      </w:r>
      <w:r w:rsidR="00750203">
        <w:t>that considers</w:t>
      </w:r>
      <w:r w:rsidR="004805CD">
        <w:t xml:space="preserve"> these </w:t>
      </w:r>
      <w:r w:rsidR="001C45E8">
        <w:t>proposals</w:t>
      </w:r>
      <w:r w:rsidR="004805CD">
        <w:t xml:space="preserve">.  </w:t>
      </w:r>
      <w:r w:rsidR="00BA2FA8">
        <w:t>The workshop considering the UCAP proposal should also consider coordination with the LOLE process set forth in D.20</w:t>
      </w:r>
      <w:r w:rsidR="008C4C9E">
        <w:t>-</w:t>
      </w:r>
      <w:r w:rsidR="00BA2FA8">
        <w:t>06-031.</w:t>
      </w:r>
    </w:p>
    <w:p w:rsidR="005445A1" w:rsidP="001751FF" w:rsidRDefault="005445A1" w14:paraId="0225CE2B" w14:textId="77777777">
      <w:pPr>
        <w:pStyle w:val="Heading2"/>
      </w:pPr>
      <w:bookmarkStart w:name="_Toc69976159" w:id="41"/>
      <w:bookmarkStart w:name="_Toc74206131" w:id="42"/>
      <w:r>
        <w:t>Multi-Year System and Flexible Requirements</w:t>
      </w:r>
      <w:bookmarkEnd w:id="41"/>
      <w:bookmarkEnd w:id="42"/>
      <w:r>
        <w:t xml:space="preserve"> </w:t>
      </w:r>
    </w:p>
    <w:p w:rsidR="005445A1" w:rsidP="005445A1" w:rsidRDefault="005445A1" w14:paraId="7F62EEBB" w14:textId="7E8C39A0">
      <w:pPr>
        <w:pStyle w:val="Standard"/>
      </w:pPr>
      <w:r>
        <w:t xml:space="preserve">CAISO, WPTF, and IEP propose </w:t>
      </w:r>
      <w:r w:rsidR="00AD5605">
        <w:t>multi-year (</w:t>
      </w:r>
      <w:r>
        <w:t>3-year</w:t>
      </w:r>
      <w:r w:rsidR="00AD5605">
        <w:t>)</w:t>
      </w:r>
      <w:r>
        <w:t xml:space="preserve"> forward proposals for system obligations.  The</w:t>
      </w:r>
      <w:r w:rsidR="00346B48">
        <w:t xml:space="preserve">se </w:t>
      </w:r>
      <w:r>
        <w:t>parties recommend 100</w:t>
      </w:r>
      <w:r w:rsidR="00E02BEA">
        <w:t xml:space="preserve"> percent</w:t>
      </w:r>
      <w:r>
        <w:t xml:space="preserve"> forward procurement for </w:t>
      </w:r>
      <w:r w:rsidR="00346B48">
        <w:t>Years 1 and 2</w:t>
      </w:r>
      <w:r>
        <w:t xml:space="preserve">, with differing </w:t>
      </w:r>
      <w:r w:rsidR="00346B48">
        <w:t>Year 3</w:t>
      </w:r>
      <w:r>
        <w:t xml:space="preserve"> procurement: CAISO proposes 80</w:t>
      </w:r>
      <w:r w:rsidR="007E1624">
        <w:t> </w:t>
      </w:r>
      <w:r w:rsidR="00E02BEA">
        <w:t>percent</w:t>
      </w:r>
      <w:r w:rsidR="00346B48">
        <w:t xml:space="preserve">, </w:t>
      </w:r>
      <w:r>
        <w:t>WPTF recommends 75</w:t>
      </w:r>
      <w:r w:rsidR="00E02BEA">
        <w:t xml:space="preserve"> percent</w:t>
      </w:r>
      <w:r>
        <w:t>, and IEP recommends 50</w:t>
      </w:r>
      <w:r w:rsidR="00E02BEA">
        <w:t xml:space="preserve"> percent</w:t>
      </w:r>
      <w:r>
        <w:t>.</w:t>
      </w:r>
      <w:r>
        <w:rPr>
          <w:rStyle w:val="FootnoteReference"/>
        </w:rPr>
        <w:footnoteReference w:id="51"/>
      </w:r>
      <w:r>
        <w:t xml:space="preserve">  WTPF and IEP recommend multi-year requirements for </w:t>
      </w:r>
      <w:r w:rsidR="00346B48">
        <w:t xml:space="preserve">both </w:t>
      </w:r>
      <w:r>
        <w:t>system and flexible obligations.</w:t>
      </w:r>
      <w:r w:rsidRPr="005E2F41">
        <w:t xml:space="preserve"> </w:t>
      </w:r>
      <w:r>
        <w:t xml:space="preserve"> CAISO states that multi-year system requirements are important to ensuring near-term reliability and continued operation of existing generation </w:t>
      </w:r>
      <w:proofErr w:type="gramStart"/>
      <w:r>
        <w:t>resources</w:t>
      </w:r>
      <w:r w:rsidR="001F25FD">
        <w:t>, and</w:t>
      </w:r>
      <w:proofErr w:type="gramEnd"/>
      <w:r>
        <w:t xml:space="preserve"> believes the RA program is not equipped to address forward contracting that bridges mid- and long-term planning as directed in the IRP proceeding.  </w:t>
      </w:r>
    </w:p>
    <w:p w:rsidR="005445A1" w:rsidP="005445A1" w:rsidRDefault="005445A1" w14:paraId="116D7519" w14:textId="1B54D64F">
      <w:pPr>
        <w:pStyle w:val="Standard"/>
      </w:pPr>
      <w:r>
        <w:t>BRTM, Calpine, and LS Power support multi-year system requirements.</w:t>
      </w:r>
      <w:r>
        <w:rPr>
          <w:rStyle w:val="FootnoteReference"/>
        </w:rPr>
        <w:footnoteReference w:id="52"/>
      </w:r>
      <w:r>
        <w:t xml:space="preserve">  AReM supports multi-year system requirements if percentages are not higher </w:t>
      </w:r>
      <w:r>
        <w:lastRenderedPageBreak/>
        <w:t xml:space="preserve">than </w:t>
      </w:r>
      <w:r w:rsidR="00EA69D4">
        <w:t xml:space="preserve">the </w:t>
      </w:r>
      <w:r>
        <w:t>multi-year local percentages adopted in D.19-02-022 (</w:t>
      </w:r>
      <w:r w:rsidRPr="00DB2886" w:rsidR="00DB2886">
        <w:rPr>
          <w:i/>
          <w:iCs/>
        </w:rPr>
        <w:t>e.g.</w:t>
      </w:r>
      <w:r>
        <w:t>, 50</w:t>
      </w:r>
      <w:r w:rsidR="00E02BEA">
        <w:t xml:space="preserve"> percent</w:t>
      </w:r>
      <w:r>
        <w:t xml:space="preserve"> for Year 3) and i</w:t>
      </w:r>
      <w:r w:rsidR="00EA69D4">
        <w:t>f</w:t>
      </w:r>
      <w:r>
        <w:t xml:space="preserve"> only applied to summer months.</w:t>
      </w:r>
      <w:r>
        <w:rPr>
          <w:rStyle w:val="FootnoteReference"/>
        </w:rPr>
        <w:footnoteReference w:id="53"/>
      </w:r>
    </w:p>
    <w:p w:rsidR="005445A1" w:rsidP="005445A1" w:rsidRDefault="005445A1" w14:paraId="2F31FF8C" w14:textId="5C0BCFB2">
      <w:pPr>
        <w:pStyle w:val="Standard"/>
      </w:pPr>
      <w:r>
        <w:t>PG&amp;E and Cal Advocates oppose multi-year requirements.</w:t>
      </w:r>
      <w:r>
        <w:rPr>
          <w:rStyle w:val="FootnoteReference"/>
        </w:rPr>
        <w:footnoteReference w:id="54"/>
      </w:r>
      <w:r>
        <w:t xml:space="preserve">  Cal</w:t>
      </w:r>
      <w:r w:rsidR="00E02BEA">
        <w:t> </w:t>
      </w:r>
      <w:r>
        <w:t xml:space="preserve">Advocates states </w:t>
      </w:r>
      <w:r w:rsidR="00956AD7">
        <w:t xml:space="preserve">that </w:t>
      </w:r>
      <w:r>
        <w:t xml:space="preserve">there is no evidence that multi-year requirements would result in increased RA availability and the proposal should be deferred until </w:t>
      </w:r>
      <w:r w:rsidR="00D7783E">
        <w:t>the restructur</w:t>
      </w:r>
      <w:r w:rsidR="006A0991">
        <w:t>ing</w:t>
      </w:r>
      <w:r w:rsidR="00D7783E">
        <w:t xml:space="preserve"> </w:t>
      </w:r>
      <w:r>
        <w:t xml:space="preserve">proposals are evaluated, some of which raise questions about the type and </w:t>
      </w:r>
      <w:proofErr w:type="gramStart"/>
      <w:r>
        <w:t>amount</w:t>
      </w:r>
      <w:proofErr w:type="gramEnd"/>
      <w:r>
        <w:t xml:space="preserve"> of resources </w:t>
      </w:r>
      <w:r w:rsidR="009B3B45">
        <w:t xml:space="preserve">that </w:t>
      </w:r>
      <w:r>
        <w:t>LSEs will need to procure.  Cal</w:t>
      </w:r>
      <w:r w:rsidR="00E02BEA">
        <w:t> A</w:t>
      </w:r>
      <w:r>
        <w:t xml:space="preserve">dvocates point out that the central procurement entity </w:t>
      </w:r>
      <w:r w:rsidR="00753382">
        <w:t>(CPE)</w:t>
      </w:r>
      <w:r w:rsidR="00D904AB">
        <w:t xml:space="preserve"> </w:t>
      </w:r>
      <w:r>
        <w:t xml:space="preserve">will begin local procurement in 2023, </w:t>
      </w:r>
      <w:r w:rsidR="00F31704">
        <w:t>creating</w:t>
      </w:r>
      <w:r>
        <w:t xml:space="preserve"> uncertaint</w:t>
      </w:r>
      <w:r w:rsidR="00F31704">
        <w:t>y</w:t>
      </w:r>
      <w:r>
        <w:t xml:space="preserve"> as to what an LSE’s system RA positions </w:t>
      </w:r>
      <w:r w:rsidR="00154CB6">
        <w:t>will</w:t>
      </w:r>
      <w:r>
        <w:t xml:space="preserve"> be.  PG&amp;E </w:t>
      </w:r>
      <w:r w:rsidR="00B80FC7">
        <w:t>asserts</w:t>
      </w:r>
      <w:r>
        <w:t xml:space="preserve"> that outstanding issues must be addressed before adopting multi-year requirements, including incentives </w:t>
      </w:r>
      <w:r w:rsidR="00EA69D4">
        <w:t>for</w:t>
      </w:r>
      <w:r>
        <w:t xml:space="preserve"> non</w:t>
      </w:r>
      <w:r w:rsidR="007E1624">
        <w:noBreakHyphen/>
      </w:r>
      <w:r>
        <w:t>Commission</w:t>
      </w:r>
      <w:r w:rsidR="009B3B45">
        <w:t>-</w:t>
      </w:r>
      <w:r>
        <w:t>jurisdictional LSEs that are not subject to multi-year requirements, backstop provisions for failure to comply, load migration that occurs on an intra-year and yearly basis, and QC counting rules changes.</w:t>
      </w:r>
    </w:p>
    <w:p w:rsidR="00D9757B" w:rsidP="008913A8" w:rsidRDefault="005445A1" w14:paraId="5C544278" w14:textId="735D3EFA">
      <w:pPr>
        <w:pStyle w:val="Standard"/>
      </w:pPr>
      <w:r>
        <w:t xml:space="preserve">In D.19-02-022, the Commission adopted multi-year forward local RA procurement to be procured by the CPE beginning </w:t>
      </w:r>
      <w:r w:rsidR="0097789C">
        <w:t>in</w:t>
      </w:r>
      <w:r>
        <w:t xml:space="preserve"> the 2023 compliance yea</w:t>
      </w:r>
      <w:r w:rsidR="00193A9A">
        <w:t>r and</w:t>
      </w:r>
      <w:r>
        <w:t xml:space="preserve"> declined to expand multi-year procurement for system and flexible requirements.</w:t>
      </w:r>
      <w:r w:rsidR="00193A9A">
        <w:rPr>
          <w:rStyle w:val="FootnoteReference"/>
        </w:rPr>
        <w:footnoteReference w:id="55"/>
      </w:r>
      <w:r>
        <w:t xml:space="preserve">  </w:t>
      </w:r>
      <w:r w:rsidR="00DD3699">
        <w:t>T</w:t>
      </w:r>
      <w:r w:rsidR="00CE5B94">
        <w:t xml:space="preserve">he Commission </w:t>
      </w:r>
      <w:r w:rsidR="009B3B45">
        <w:t>recognize</w:t>
      </w:r>
      <w:r w:rsidR="00CE5B94">
        <w:t>s</w:t>
      </w:r>
      <w:r w:rsidR="009B3B45">
        <w:t xml:space="preserve"> </w:t>
      </w:r>
      <w:r>
        <w:t xml:space="preserve">the </w:t>
      </w:r>
      <w:r w:rsidR="009B3B45">
        <w:t xml:space="preserve">potential </w:t>
      </w:r>
      <w:r>
        <w:t xml:space="preserve">benefits of multi-year system and flexible procurement requirements, such as potential revenue certainty for long-term generator maintenance costs, </w:t>
      </w:r>
      <w:r w:rsidR="00692814">
        <w:t xml:space="preserve">and </w:t>
      </w:r>
      <w:r>
        <w:t>reduced transaction costs for LSEs</w:t>
      </w:r>
      <w:r w:rsidR="00692814">
        <w:t>.</w:t>
      </w:r>
    </w:p>
    <w:p w:rsidRPr="005445A1" w:rsidR="005445A1" w:rsidP="008913A8" w:rsidRDefault="005445A1" w14:paraId="39118288" w14:textId="498719FC">
      <w:pPr>
        <w:pStyle w:val="Standard"/>
      </w:pPr>
      <w:r>
        <w:lastRenderedPageBreak/>
        <w:t xml:space="preserve">That said, there are uncertainties in the RA program that may create market confusion about system requirements, including how such </w:t>
      </w:r>
      <w:r w:rsidR="00A83E4D">
        <w:t>requirements</w:t>
      </w:r>
      <w:r>
        <w:t xml:space="preserve"> </w:t>
      </w:r>
      <w:r w:rsidR="00E55991">
        <w:t>will</w:t>
      </w:r>
      <w:r>
        <w:t xml:space="preserve"> work </w:t>
      </w:r>
      <w:r w:rsidR="00E55991">
        <w:t xml:space="preserve">with </w:t>
      </w:r>
      <w:r>
        <w:t>the CPE</w:t>
      </w:r>
      <w:r w:rsidR="00C90063">
        <w:t>s</w:t>
      </w:r>
      <w:r>
        <w:t xml:space="preserve"> </w:t>
      </w:r>
      <w:r w:rsidR="00A83E4D">
        <w:t>procuring</w:t>
      </w:r>
      <w:r>
        <w:t xml:space="preserve"> local RA that </w:t>
      </w:r>
      <w:r w:rsidR="00A83E4D">
        <w:t>will</w:t>
      </w:r>
      <w:r>
        <w:t xml:space="preserve"> lower system </w:t>
      </w:r>
      <w:r w:rsidR="009B3B45">
        <w:t xml:space="preserve">RA </w:t>
      </w:r>
      <w:r>
        <w:t xml:space="preserve">requirements on behalf of all LSEs in PG&amp;E and SCE service territories.  We </w:t>
      </w:r>
      <w:r w:rsidR="005C435F">
        <w:t>decline to adopt</w:t>
      </w:r>
      <w:r>
        <w:t xml:space="preserve"> multi-year </w:t>
      </w:r>
      <w:r w:rsidR="005C435F">
        <w:t>requirements</w:t>
      </w:r>
      <w:r>
        <w:t xml:space="preserve"> </w:t>
      </w:r>
      <w:r w:rsidR="005C435F">
        <w:t>at this time; however,</w:t>
      </w:r>
      <w:r>
        <w:t xml:space="preserve"> parties </w:t>
      </w:r>
      <w:r w:rsidR="009B3B45">
        <w:t xml:space="preserve">are directed to </w:t>
      </w:r>
      <w:r>
        <w:t xml:space="preserve">consider multi-year system and flexible </w:t>
      </w:r>
      <w:r w:rsidR="009B3B45">
        <w:t xml:space="preserve">RA </w:t>
      </w:r>
      <w:r>
        <w:t xml:space="preserve">requirements </w:t>
      </w:r>
      <w:r w:rsidR="00B00036">
        <w:t xml:space="preserve">in workshops </w:t>
      </w:r>
      <w:r>
        <w:t xml:space="preserve">while developing the </w:t>
      </w:r>
      <w:r w:rsidR="006C3538">
        <w:t>final restructur</w:t>
      </w:r>
      <w:r w:rsidR="00B009BD">
        <w:t>ing</w:t>
      </w:r>
      <w:r>
        <w:t xml:space="preserve"> proposal.</w:t>
      </w:r>
      <w:r w:rsidR="00B76974">
        <w:t xml:space="preserve">  Parties that presented multi-year proposals are requested to participate </w:t>
      </w:r>
      <w:r w:rsidR="00F41B0A">
        <w:t xml:space="preserve">in </w:t>
      </w:r>
      <w:r w:rsidR="00B76974">
        <w:t xml:space="preserve">(or </w:t>
      </w:r>
      <w:r w:rsidR="00F41B0A">
        <w:t>lead</w:t>
      </w:r>
      <w:r w:rsidR="00B76974">
        <w:t xml:space="preserve">) the workshop that considers these proposals.   </w:t>
      </w:r>
    </w:p>
    <w:p w:rsidR="005939A5" w:rsidP="002A4556" w:rsidRDefault="005939A5" w14:paraId="62D72FFD" w14:textId="77777777">
      <w:pPr>
        <w:pStyle w:val="Heading1"/>
      </w:pPr>
      <w:bookmarkStart w:name="_Toc8123723" w:id="43"/>
      <w:bookmarkStart w:name="_Toc74206132" w:id="44"/>
      <w:r>
        <w:t>Comments on Proposed Decision</w:t>
      </w:r>
      <w:bookmarkEnd w:id="43"/>
      <w:bookmarkEnd w:id="44"/>
    </w:p>
    <w:p w:rsidR="005939A5" w:rsidP="006E6574" w:rsidRDefault="00E02BEA" w14:paraId="7458E73B" w14:textId="5AA8F450">
      <w:pPr>
        <w:pStyle w:val="Standard"/>
      </w:pPr>
      <w:r w:rsidRPr="00E02BEA">
        <w:t>The proposed decision of ALJ</w:t>
      </w:r>
      <w:r>
        <w:t xml:space="preserve">s Debbie Chiv and Amin Nojan in this matter was mailed to the parties in accordance with Section 311 of the Public Utilities Code and comments were allowed under Rule 14.3 of the Commission’s Rules of Practice and Procedure.  Comments were filed on </w:t>
      </w:r>
      <w:r w:rsidR="00D113FB">
        <w:t xml:space="preserve">June 30, </w:t>
      </w:r>
      <w:proofErr w:type="gramStart"/>
      <w:r w:rsidR="00D113FB">
        <w:t>2021</w:t>
      </w:r>
      <w:proofErr w:type="gramEnd"/>
      <w:r w:rsidR="00D113FB">
        <w:t xml:space="preserve"> by: ACP, AReM, CAISO, </w:t>
      </w:r>
      <w:proofErr w:type="spellStart"/>
      <w:r w:rsidR="00D113FB">
        <w:t>CalCCA</w:t>
      </w:r>
      <w:proofErr w:type="spellEnd"/>
      <w:r w:rsidR="00D113FB">
        <w:t xml:space="preserve">, Calpine, </w:t>
      </w:r>
      <w:proofErr w:type="spellStart"/>
      <w:r w:rsidR="00D113FB">
        <w:t>CalWEA</w:t>
      </w:r>
      <w:proofErr w:type="spellEnd"/>
      <w:r w:rsidR="00D113FB">
        <w:t xml:space="preserve">, CEERT, CEJA, CESA, Form Energy, GPI, </w:t>
      </w:r>
      <w:proofErr w:type="spellStart"/>
      <w:r w:rsidR="00D113FB">
        <w:t>Hydrostor</w:t>
      </w:r>
      <w:proofErr w:type="spellEnd"/>
      <w:r w:rsidR="00D113FB">
        <w:t>, IEP, Joint DR Parties, MRP, PCF, PG&amp;E, SCE, SDG&amp;E, Solar Parties, and TURN.</w:t>
      </w:r>
      <w:r>
        <w:t xml:space="preserve"> </w:t>
      </w:r>
      <w:r w:rsidR="00D113FB">
        <w:t>R</w:t>
      </w:r>
      <w:r>
        <w:t xml:space="preserve">eply comments were filed on </w:t>
      </w:r>
      <w:r w:rsidR="00B7710E">
        <w:t xml:space="preserve">July 6, </w:t>
      </w:r>
      <w:proofErr w:type="gramStart"/>
      <w:r w:rsidR="00B7710E">
        <w:t>2021</w:t>
      </w:r>
      <w:proofErr w:type="gramEnd"/>
      <w:r w:rsidR="00B7710E">
        <w:t xml:space="preserve"> </w:t>
      </w:r>
      <w:r>
        <w:t xml:space="preserve">by </w:t>
      </w:r>
      <w:r w:rsidR="00AA6CAA">
        <w:t xml:space="preserve">CAISO, </w:t>
      </w:r>
      <w:proofErr w:type="spellStart"/>
      <w:r w:rsidR="00AA6CAA">
        <w:t>CalCCA</w:t>
      </w:r>
      <w:proofErr w:type="spellEnd"/>
      <w:r w:rsidR="00AA6CAA">
        <w:t xml:space="preserve">, Calpine, </w:t>
      </w:r>
      <w:r w:rsidR="00B040CA">
        <w:t xml:space="preserve">CEERT, </w:t>
      </w:r>
      <w:r w:rsidR="00AA6CAA">
        <w:t xml:space="preserve">CESA, </w:t>
      </w:r>
      <w:proofErr w:type="spellStart"/>
      <w:r w:rsidR="00AA6CAA">
        <w:t>Hydrostor</w:t>
      </w:r>
      <w:proofErr w:type="spellEnd"/>
      <w:r w:rsidR="00AA6CAA">
        <w:t xml:space="preserve">, IEP, Joint DR Parties, MRP, PCF, </w:t>
      </w:r>
      <w:r w:rsidR="00B7710E">
        <w:t>PG&amp;E</w:t>
      </w:r>
      <w:r w:rsidR="00AA6CAA">
        <w:t>, SCE, SDG&amp;E, and Solar Parties</w:t>
      </w:r>
      <w:r>
        <w:t>.</w:t>
      </w:r>
    </w:p>
    <w:p w:rsidR="00705157" w:rsidP="002A1766" w:rsidRDefault="005C2329" w14:paraId="5D93C80D" w14:textId="54C33A7E">
      <w:pPr>
        <w:pStyle w:val="standard0"/>
        <w:rPr>
          <w:rFonts w:ascii="Book Antiqua" w:hAnsi="Book Antiqua"/>
        </w:rPr>
      </w:pPr>
      <w:r w:rsidRPr="00CB7456">
        <w:rPr>
          <w:rFonts w:ascii="Book Antiqua" w:hAnsi="Book Antiqua"/>
        </w:rPr>
        <w:t xml:space="preserve">All comments have been carefully considered.  Significant aspects of the proposed decision that have been revised </w:t>
      </w:r>
      <w:proofErr w:type="gramStart"/>
      <w:r w:rsidRPr="00CB7456">
        <w:rPr>
          <w:rFonts w:ascii="Book Antiqua" w:hAnsi="Book Antiqua"/>
        </w:rPr>
        <w:t>in light of</w:t>
      </w:r>
      <w:proofErr w:type="gramEnd"/>
      <w:r w:rsidRPr="00CB7456">
        <w:rPr>
          <w:rFonts w:ascii="Book Antiqua" w:hAnsi="Book Antiqua"/>
        </w:rPr>
        <w:t xml:space="preserve"> comments are mentioned in this section.  </w:t>
      </w:r>
      <w:r>
        <w:rPr>
          <w:rFonts w:ascii="Book Antiqua" w:hAnsi="Book Antiqua"/>
        </w:rPr>
        <w:t xml:space="preserve">However, additional changes </w:t>
      </w:r>
      <w:r w:rsidR="00B040CA">
        <w:rPr>
          <w:rFonts w:ascii="Book Antiqua" w:hAnsi="Book Antiqua"/>
        </w:rPr>
        <w:t>may be</w:t>
      </w:r>
      <w:r>
        <w:rPr>
          <w:rFonts w:ascii="Book Antiqua" w:hAnsi="Book Antiqua"/>
        </w:rPr>
        <w:t xml:space="preserve"> made to the proposed decision in response to comments that may not be discussed here.  </w:t>
      </w:r>
      <w:r w:rsidRPr="00CB7456">
        <w:rPr>
          <w:rFonts w:ascii="Book Antiqua" w:hAnsi="Book Antiqua"/>
        </w:rPr>
        <w:t>We do not summarize every comment but focus on major arguments made in which the Commission did or did not make revisions in response to party input.</w:t>
      </w:r>
      <w:r>
        <w:rPr>
          <w:rFonts w:ascii="Book Antiqua" w:hAnsi="Book Antiqua"/>
        </w:rPr>
        <w:t xml:space="preserve">  </w:t>
      </w:r>
    </w:p>
    <w:p w:rsidR="00EB123A" w:rsidP="000F05B0" w:rsidRDefault="00EB123A" w14:paraId="5E3F9C74" w14:textId="6E9A6FE7">
      <w:pPr>
        <w:pStyle w:val="Standard"/>
      </w:pPr>
      <w:r>
        <w:lastRenderedPageBreak/>
        <w:t xml:space="preserve">Several parties generally support the </w:t>
      </w:r>
      <w:r w:rsidR="003439D1">
        <w:t xml:space="preserve">proposed </w:t>
      </w:r>
      <w:r>
        <w:t xml:space="preserve">decision’s direction </w:t>
      </w:r>
      <w:r w:rsidR="003439D1">
        <w:t>to</w:t>
      </w:r>
      <w:r>
        <w:t xml:space="preserve"> </w:t>
      </w:r>
      <w:r w:rsidR="003439D1">
        <w:t>further develop</w:t>
      </w:r>
      <w:r>
        <w:t xml:space="preserve"> PG&amp;E’s slice-of-day proposal, including AReM, Calpine, </w:t>
      </w:r>
      <w:proofErr w:type="spellStart"/>
      <w:r w:rsidR="00390494">
        <w:t>CalWEA</w:t>
      </w:r>
      <w:proofErr w:type="spellEnd"/>
      <w:r w:rsidR="00390494">
        <w:t xml:space="preserve">, </w:t>
      </w:r>
      <w:r>
        <w:t>CEERT, CEJA</w:t>
      </w:r>
      <w:r w:rsidR="00C23CCB">
        <w:t>, CLECA</w:t>
      </w:r>
      <w:r w:rsidR="009A65D4">
        <w:t>, Joint DR Parties</w:t>
      </w:r>
      <w:r w:rsidR="00223EDA">
        <w:t>, MRP</w:t>
      </w:r>
      <w:r w:rsidR="0006320B">
        <w:t>, PG&amp;E</w:t>
      </w:r>
      <w:r w:rsidR="00A7401B">
        <w:t>, SDG&amp;E, Solar Parties, and TURN</w:t>
      </w:r>
      <w:r>
        <w:t>.</w:t>
      </w:r>
      <w:r w:rsidR="0006320B">
        <w:t xml:space="preserve">  SCE supports the decision’s flexibility that the final proposed structure may include aspects of SCE/</w:t>
      </w:r>
      <w:proofErr w:type="spellStart"/>
      <w:r w:rsidR="0006320B">
        <w:t>CalCCA’s</w:t>
      </w:r>
      <w:proofErr w:type="spellEnd"/>
      <w:r w:rsidR="0006320B">
        <w:t xml:space="preserve"> joint proposal.</w:t>
      </w:r>
      <w:r w:rsidR="0063596E">
        <w:t xml:space="preserve">  SCE </w:t>
      </w:r>
      <w:r w:rsidR="00A410DD">
        <w:t>states that</w:t>
      </w:r>
      <w:r w:rsidR="00124722">
        <w:t xml:space="preserve"> in addition to integration of net peak load </w:t>
      </w:r>
      <w:r w:rsidR="00A410DD">
        <w:t>or</w:t>
      </w:r>
      <w:r w:rsidR="00124722">
        <w:t xml:space="preserve"> the bottom-up approach,</w:t>
      </w:r>
      <w:r w:rsidR="0063596E">
        <w:t xml:space="preserve"> workshops should consider tests to ensure LSEs have sufficient energy and capacity to meet capacity and load requirements, and to charge </w:t>
      </w:r>
      <w:r w:rsidR="00A410DD">
        <w:t xml:space="preserve">any </w:t>
      </w:r>
      <w:r w:rsidR="0063596E">
        <w:t>storage used to meet capacity requirements.</w:t>
      </w:r>
    </w:p>
    <w:p w:rsidR="00AA6CAA" w:rsidP="002A1766" w:rsidRDefault="00F7243A" w14:paraId="42A4053C" w14:textId="12C9EE37">
      <w:pPr>
        <w:pStyle w:val="Standard"/>
      </w:pPr>
      <w:r>
        <w:t>Some</w:t>
      </w:r>
      <w:r w:rsidR="005C2329">
        <w:t xml:space="preserve"> parties </w:t>
      </w:r>
      <w:r w:rsidR="00064AA8">
        <w:t>reiterate support for</w:t>
      </w:r>
      <w:r w:rsidR="005C2329">
        <w:t xml:space="preserve"> further </w:t>
      </w:r>
      <w:r>
        <w:t>developing</w:t>
      </w:r>
      <w:r w:rsidR="005C2329">
        <w:t xml:space="preserve"> SCE/</w:t>
      </w:r>
      <w:proofErr w:type="spellStart"/>
      <w:r w:rsidR="005C2329">
        <w:t>CalCCA’s</w:t>
      </w:r>
      <w:proofErr w:type="spellEnd"/>
      <w:r w:rsidR="005C2329">
        <w:t xml:space="preserve"> proposal</w:t>
      </w:r>
      <w:r w:rsidR="003439D1">
        <w:t xml:space="preserve"> alongside PG&amp;E’s proposal</w:t>
      </w:r>
      <w:r w:rsidR="005C2329">
        <w:t>, including ACP</w:t>
      </w:r>
      <w:r w:rsidR="00DB6A25">
        <w:t xml:space="preserve">, </w:t>
      </w:r>
      <w:proofErr w:type="spellStart"/>
      <w:r w:rsidR="00DB6A25">
        <w:t>CalCCA</w:t>
      </w:r>
      <w:proofErr w:type="spellEnd"/>
      <w:r w:rsidR="009D20B3">
        <w:t>, CESA</w:t>
      </w:r>
      <w:r w:rsidR="008006DD">
        <w:t xml:space="preserve">, </w:t>
      </w:r>
      <w:proofErr w:type="spellStart"/>
      <w:r w:rsidR="008006DD">
        <w:t>Hydrostor</w:t>
      </w:r>
      <w:proofErr w:type="spellEnd"/>
      <w:r w:rsidR="0006320B">
        <w:t xml:space="preserve">, </w:t>
      </w:r>
      <w:r>
        <w:t xml:space="preserve">and </w:t>
      </w:r>
      <w:r w:rsidR="0006320B">
        <w:t>PCF</w:t>
      </w:r>
      <w:r w:rsidR="005C2329">
        <w:t>.</w:t>
      </w:r>
      <w:r w:rsidR="00486A1C">
        <w:t xml:space="preserve">  </w:t>
      </w:r>
      <w:proofErr w:type="spellStart"/>
      <w:r w:rsidR="00486A1C">
        <w:t>CalCCA</w:t>
      </w:r>
      <w:proofErr w:type="spellEnd"/>
      <w:r w:rsidR="00486A1C">
        <w:t xml:space="preserve"> </w:t>
      </w:r>
      <w:r w:rsidR="00DB6EAD">
        <w:t xml:space="preserve">comments that the proposed decision is too limited and reiterates </w:t>
      </w:r>
      <w:r w:rsidR="0008218D">
        <w:t>the</w:t>
      </w:r>
      <w:r w:rsidR="00DB6EAD">
        <w:t xml:space="preserve"> outstanding details that need to be addressed with PG&amp;E’s proposal.</w:t>
      </w:r>
      <w:r w:rsidR="00486A1C">
        <w:t xml:space="preserve">  </w:t>
      </w:r>
      <w:r w:rsidR="00DA34B3">
        <w:t>Other</w:t>
      </w:r>
      <w:r w:rsidR="00AA6CAA">
        <w:t xml:space="preserve"> parties</w:t>
      </w:r>
      <w:r w:rsidR="002A1766">
        <w:t xml:space="preserve">, </w:t>
      </w:r>
      <w:r w:rsidR="00B13DAC">
        <w:t>such as</w:t>
      </w:r>
      <w:r w:rsidR="002A1766">
        <w:t xml:space="preserve"> SDG&amp;E and PG&amp;E,</w:t>
      </w:r>
      <w:r w:rsidR="00AA6CAA">
        <w:t xml:space="preserve"> </w:t>
      </w:r>
      <w:r w:rsidR="000D0C84">
        <w:t>comment</w:t>
      </w:r>
      <w:r w:rsidR="00AA6CAA">
        <w:t xml:space="preserve"> that the proposed decision</w:t>
      </w:r>
      <w:r w:rsidR="002A1766">
        <w:t xml:space="preserve"> already</w:t>
      </w:r>
      <w:r w:rsidR="00AA6CAA">
        <w:t xml:space="preserve"> allows for consideration of aspects of SCE/</w:t>
      </w:r>
      <w:proofErr w:type="spellStart"/>
      <w:r w:rsidR="00AA6CAA">
        <w:t>CalCCA’s</w:t>
      </w:r>
      <w:proofErr w:type="spellEnd"/>
      <w:r w:rsidR="00AA6CAA">
        <w:t xml:space="preserve"> proposal and that a modification to the decision is unnecessary</w:t>
      </w:r>
      <w:r w:rsidR="002A1766">
        <w:t>.</w:t>
      </w:r>
    </w:p>
    <w:p w:rsidR="002A1766" w:rsidP="002A1766" w:rsidRDefault="002A1766" w14:paraId="6373ADF5" w14:textId="6939605D">
      <w:pPr>
        <w:pStyle w:val="Standard"/>
      </w:pPr>
      <w:r>
        <w:t xml:space="preserve">The Commission </w:t>
      </w:r>
      <w:r w:rsidR="00624E97">
        <w:t>finds</w:t>
      </w:r>
      <w:r>
        <w:t xml:space="preserve"> that the proposed decision </w:t>
      </w:r>
      <w:r w:rsidR="00624E97">
        <w:t>provides flexibility for</w:t>
      </w:r>
      <w:r>
        <w:t xml:space="preserve"> consideration of aspects of SCE/</w:t>
      </w:r>
      <w:proofErr w:type="spellStart"/>
      <w:r>
        <w:t>CalCCA’s</w:t>
      </w:r>
      <w:proofErr w:type="spellEnd"/>
      <w:r>
        <w:t xml:space="preserve"> proposal alongside PG&amp;E’s slice-of-day approach.  </w:t>
      </w:r>
      <w:r w:rsidR="00BF6B74">
        <w:t>We do not</w:t>
      </w:r>
      <w:r>
        <w:t xml:space="preserve"> </w:t>
      </w:r>
      <w:r w:rsidR="00624E97">
        <w:t>intend to</w:t>
      </w:r>
      <w:r w:rsidR="009E33D6">
        <w:t xml:space="preserve"> </w:t>
      </w:r>
      <w:r>
        <w:t>limit consideration of SCE/</w:t>
      </w:r>
      <w:proofErr w:type="spellStart"/>
      <w:r>
        <w:t>CalCCA’s</w:t>
      </w:r>
      <w:proofErr w:type="spellEnd"/>
      <w:r>
        <w:t xml:space="preserve"> proposal to the net load peak or bottom-up approach, as these aspects are </w:t>
      </w:r>
      <w:r w:rsidR="00A5122F">
        <w:t>provided</w:t>
      </w:r>
      <w:r w:rsidR="00BF6B74">
        <w:t xml:space="preserve"> as </w:t>
      </w:r>
      <w:r>
        <w:t>examples</w:t>
      </w:r>
      <w:r w:rsidR="00A5122F">
        <w:t xml:space="preserve"> that may be incorporated</w:t>
      </w:r>
      <w:r>
        <w:t xml:space="preserve">.  </w:t>
      </w:r>
    </w:p>
    <w:p w:rsidR="0063596E" w:rsidP="0063596E" w:rsidRDefault="0063596E" w14:paraId="576DB780" w14:textId="73443E13">
      <w:pPr>
        <w:pStyle w:val="Standard"/>
      </w:pPr>
      <w:r>
        <w:t xml:space="preserve">Several parties, such as Form Energy, </w:t>
      </w:r>
      <w:proofErr w:type="spellStart"/>
      <w:r>
        <w:t>Hydrostor</w:t>
      </w:r>
      <w:proofErr w:type="spellEnd"/>
      <w:r>
        <w:t>, and CESA, raise concerns that PG&amp;E’s proposal fails to address multi-day reliability events.  These parties argue that SCE/</w:t>
      </w:r>
      <w:proofErr w:type="spellStart"/>
      <w:r>
        <w:t>CalCCA’s</w:t>
      </w:r>
      <w:proofErr w:type="spellEnd"/>
      <w:r>
        <w:t xml:space="preserve"> proposal more appropriately addresses multi-day reliability events compared to the single day in the slice-of-day framework. </w:t>
      </w:r>
      <w:r w:rsidRPr="0061552F">
        <w:t xml:space="preserve">CAISO agrees </w:t>
      </w:r>
      <w:r>
        <w:t>and states that</w:t>
      </w:r>
      <w:r w:rsidRPr="0061552F">
        <w:t xml:space="preserve"> </w:t>
      </w:r>
      <w:r>
        <w:t xml:space="preserve">for a durable RA program, it is necessary to plan </w:t>
      </w:r>
      <w:r>
        <w:lastRenderedPageBreak/>
        <w:t>for multi-day</w:t>
      </w:r>
      <w:r w:rsidRPr="00A64C9F">
        <w:t xml:space="preserve"> </w:t>
      </w:r>
      <w:r>
        <w:t>reliability events with little to no solar and/or wind production and incentivize procurement to maintain reliability during these events</w:t>
      </w:r>
      <w:r w:rsidRPr="0061552F">
        <w:t>.</w:t>
      </w:r>
      <w:r>
        <w:t xml:space="preserve">  The Commission acknowledges parties’ concern and directs parties to work together in workshops to </w:t>
      </w:r>
      <w:r w:rsidR="001645A0">
        <w:t>ensure</w:t>
      </w:r>
      <w:r>
        <w:t xml:space="preserve"> this concern is addressed in the final proposal.   </w:t>
      </w:r>
    </w:p>
    <w:p w:rsidR="00D87B9C" w:rsidP="00D87B9C" w:rsidRDefault="00CF3CB1" w14:paraId="7826591B" w14:textId="3CD6864E">
      <w:pPr>
        <w:pStyle w:val="Standard"/>
      </w:pPr>
      <w:r>
        <w:t xml:space="preserve">CAISO </w:t>
      </w:r>
      <w:r w:rsidR="00D87B9C">
        <w:t>comments</w:t>
      </w:r>
      <w:r>
        <w:t xml:space="preserve"> that parties have not fully considered the complexity of the slice-of-day framework and </w:t>
      </w:r>
      <w:r w:rsidR="00D87B9C">
        <w:t xml:space="preserve">expresses concern </w:t>
      </w:r>
      <w:r>
        <w:t xml:space="preserve">that </w:t>
      </w:r>
      <w:r w:rsidR="00FA100D">
        <w:t>the framework</w:t>
      </w:r>
      <w:r>
        <w:t xml:space="preserve"> can be implemented across all local regulatory authorities.  CAISO </w:t>
      </w:r>
      <w:r w:rsidR="00F8588B">
        <w:t>adds</w:t>
      </w:r>
      <w:r>
        <w:t xml:space="preserve"> that it is unlikely to be able to adjust its tariff to accommodate the </w:t>
      </w:r>
      <w:r w:rsidR="003C741E">
        <w:t xml:space="preserve">established </w:t>
      </w:r>
      <w:r>
        <w:t xml:space="preserve">timeframe but </w:t>
      </w:r>
      <w:r w:rsidR="003C741E">
        <w:t>states</w:t>
      </w:r>
      <w:r>
        <w:t xml:space="preserve"> that it is committed to find</w:t>
      </w:r>
      <w:r w:rsidR="00D87B9C">
        <w:t>ing</w:t>
      </w:r>
      <w:r>
        <w:t xml:space="preserve"> a workable accommodation.</w:t>
      </w:r>
      <w:r w:rsidR="00D87B9C">
        <w:t xml:space="preserve">  The Commission encourages CAISO to actively participate in workshops so that any required tariff modifications may be identified as early as practicable.  </w:t>
      </w:r>
    </w:p>
    <w:p w:rsidR="00D87B9C" w:rsidP="00F90514" w:rsidRDefault="0063596E" w14:paraId="7DB00696" w14:textId="71B9A940">
      <w:pPr>
        <w:pStyle w:val="Standard"/>
      </w:pPr>
      <w:r>
        <w:t xml:space="preserve">Some parties, such as CESA and </w:t>
      </w:r>
      <w:proofErr w:type="spellStart"/>
      <w:r>
        <w:t>CalCCA</w:t>
      </w:r>
      <w:proofErr w:type="spellEnd"/>
      <w:r>
        <w:t>,</w:t>
      </w:r>
      <w:r w:rsidR="00D87B9C">
        <w:t xml:space="preserve"> recommend a workshop that considers </w:t>
      </w:r>
      <w:r w:rsidR="00FE3991">
        <w:t xml:space="preserve">enhancing </w:t>
      </w:r>
      <w:r w:rsidR="00D87B9C">
        <w:t>transactability</w:t>
      </w:r>
      <w:r w:rsidR="00FE3991">
        <w:t xml:space="preserve"> of a future RA framework.</w:t>
      </w:r>
      <w:r w:rsidR="00D87B9C">
        <w:t xml:space="preserve">  </w:t>
      </w:r>
      <w:proofErr w:type="spellStart"/>
      <w:r>
        <w:t>CalCCA</w:t>
      </w:r>
      <w:proofErr w:type="spellEnd"/>
      <w:r>
        <w:t xml:space="preserve"> states that </w:t>
      </w:r>
      <w:r w:rsidR="00BD76BF">
        <w:t>such a</w:t>
      </w:r>
      <w:r>
        <w:t xml:space="preserve"> workshop should consider whether SCE/</w:t>
      </w:r>
      <w:proofErr w:type="spellStart"/>
      <w:r>
        <w:t>CalCCA’s</w:t>
      </w:r>
      <w:proofErr w:type="spellEnd"/>
      <w:r>
        <w:t xml:space="preserve"> proposal can be incorporated to simplify transactions while ensuring energy sufficiency.  </w:t>
      </w:r>
      <w:r w:rsidR="003C741E">
        <w:t xml:space="preserve">As transactability is an aspect of Principle 3, </w:t>
      </w:r>
      <w:r w:rsidR="004C4D4E">
        <w:t>w</w:t>
      </w:r>
      <w:r w:rsidR="00FE3991">
        <w:t>e agree that workshop</w:t>
      </w:r>
      <w:r w:rsidR="001B2846">
        <w:t>s should consider</w:t>
      </w:r>
      <w:r w:rsidR="00FE3991">
        <w:t xml:space="preserve"> transactability of RA products.  In that workshop, parties may consider</w:t>
      </w:r>
      <w:r>
        <w:t xml:space="preserve"> </w:t>
      </w:r>
      <w:proofErr w:type="spellStart"/>
      <w:r>
        <w:t>CalCCA’s</w:t>
      </w:r>
      <w:proofErr w:type="spellEnd"/>
      <w:r>
        <w:t xml:space="preserve"> recommendation as to </w:t>
      </w:r>
      <w:r w:rsidR="00FE3991">
        <w:t>whether SCE/</w:t>
      </w:r>
      <w:proofErr w:type="spellStart"/>
      <w:r w:rsidR="00FE3991">
        <w:t>CalCCA’s</w:t>
      </w:r>
      <w:proofErr w:type="spellEnd"/>
      <w:r w:rsidR="00FE3991">
        <w:t xml:space="preserve"> proposal can be incorporated to simplify transactions </w:t>
      </w:r>
      <w:r>
        <w:t>and</w:t>
      </w:r>
      <w:r w:rsidR="00FE3991">
        <w:t xml:space="preserve"> ensur</w:t>
      </w:r>
      <w:r>
        <w:t>e</w:t>
      </w:r>
      <w:r w:rsidR="00FE3991">
        <w:t xml:space="preserve"> energy sufficiency.</w:t>
      </w:r>
      <w:r w:rsidR="001B2846">
        <w:t xml:space="preserve">  </w:t>
      </w:r>
      <w:r w:rsidRPr="00BD76BF" w:rsidR="001B2846">
        <w:t xml:space="preserve">We leave to parties to </w:t>
      </w:r>
      <w:r w:rsidR="00BD76BF">
        <w:t>determine</w:t>
      </w:r>
      <w:r w:rsidRPr="00BD76BF" w:rsidR="001B2846">
        <w:t xml:space="preserve"> whether </w:t>
      </w:r>
      <w:r w:rsidR="006E6374">
        <w:t xml:space="preserve">the </w:t>
      </w:r>
      <w:r w:rsidRPr="00BD76BF" w:rsidR="001B2846">
        <w:t xml:space="preserve">transactability </w:t>
      </w:r>
      <w:r w:rsidR="00BD76BF">
        <w:t xml:space="preserve">issue </w:t>
      </w:r>
      <w:r w:rsidR="006E6374">
        <w:t>should be</w:t>
      </w:r>
      <w:r w:rsidR="00BD76BF">
        <w:t xml:space="preserve"> </w:t>
      </w:r>
      <w:r w:rsidRPr="00BD76BF" w:rsidR="001B2846">
        <w:t xml:space="preserve">a separate workshop or </w:t>
      </w:r>
      <w:r w:rsidR="00BD76BF">
        <w:t>incorporated</w:t>
      </w:r>
      <w:r w:rsidRPr="00BD76BF" w:rsidR="001B2846">
        <w:t xml:space="preserve"> as part of an existing workshop.</w:t>
      </w:r>
    </w:p>
    <w:p w:rsidR="00CD39E3" w:rsidP="008E2541" w:rsidRDefault="00CD39E3" w14:paraId="45A27CCD" w14:textId="61535C28">
      <w:pPr>
        <w:pStyle w:val="Standard"/>
      </w:pPr>
      <w:r>
        <w:t xml:space="preserve">SCE recommends that durability be added as a </w:t>
      </w:r>
      <w:r w:rsidR="001F669B">
        <w:t xml:space="preserve">key </w:t>
      </w:r>
      <w:r>
        <w:t>principle to be considered</w:t>
      </w:r>
      <w:r w:rsidR="005C6DE9">
        <w:t xml:space="preserve">.  SCE states </w:t>
      </w:r>
      <w:r>
        <w:t xml:space="preserve">that given the significant changes </w:t>
      </w:r>
      <w:r w:rsidR="005C6DE9">
        <w:t xml:space="preserve">since the RA program began, a new RA program structure must be adaptable and durable to </w:t>
      </w:r>
      <w:r w:rsidR="009D2BC2">
        <w:t>a</w:t>
      </w:r>
      <w:r w:rsidR="005C6DE9">
        <w:t xml:space="preserve"> changing electrical grid.  The Commission agrees with SCE’s recommendation </w:t>
      </w:r>
      <w:r w:rsidR="005C6DE9">
        <w:lastRenderedPageBreak/>
        <w:t xml:space="preserve">and modifies the decision </w:t>
      </w:r>
      <w:r w:rsidR="00807312">
        <w:t xml:space="preserve">to </w:t>
      </w:r>
      <w:r w:rsidR="00C52FDF">
        <w:t xml:space="preserve">add </w:t>
      </w:r>
      <w:r w:rsidR="00807312">
        <w:t xml:space="preserve">durability </w:t>
      </w:r>
      <w:r w:rsidR="00C52FDF">
        <w:t>and adaptability to the changing electrical grid as Principle 5</w:t>
      </w:r>
      <w:r w:rsidR="005C6DE9">
        <w:t xml:space="preserve">. </w:t>
      </w:r>
    </w:p>
    <w:p w:rsidR="00206CD3" w:rsidP="00F90514" w:rsidRDefault="00EB123A" w14:paraId="12798540" w14:textId="0904AD3A">
      <w:pPr>
        <w:pStyle w:val="Standard"/>
      </w:pPr>
      <w:r>
        <w:t xml:space="preserve">CEJA seeks clarification that a PRM analysis will occur pursuant to the direction in D.20-06-031 and not through </w:t>
      </w:r>
      <w:r w:rsidR="006200C3">
        <w:t xml:space="preserve">the </w:t>
      </w:r>
      <w:r>
        <w:t xml:space="preserve">UCAP proposal, </w:t>
      </w:r>
      <w:r w:rsidR="009D2BC2">
        <w:t>noting</w:t>
      </w:r>
      <w:r w:rsidR="006200C3">
        <w:t xml:space="preserve"> that</w:t>
      </w:r>
      <w:r>
        <w:t xml:space="preserve"> inclusion of a UCAP proposal </w:t>
      </w:r>
      <w:r w:rsidR="00DC56C7">
        <w:t>will</w:t>
      </w:r>
      <w:r>
        <w:t xml:space="preserve"> lead to conflicting studies and direction. </w:t>
      </w:r>
      <w:r w:rsidR="003455BB">
        <w:t xml:space="preserve"> CEJA states </w:t>
      </w:r>
      <w:r w:rsidR="004A3CB6">
        <w:t>that</w:t>
      </w:r>
      <w:r w:rsidR="003455BB">
        <w:t xml:space="preserve"> development of a UCAP proposal will result in analysis that is at odds with a</w:t>
      </w:r>
      <w:r w:rsidR="004A3CB6">
        <w:t xml:space="preserve"> loss of load expectation (LOLE)</w:t>
      </w:r>
      <w:r w:rsidR="003455BB">
        <w:t xml:space="preserve"> study.</w:t>
      </w:r>
      <w:r w:rsidR="004A3CB6">
        <w:t xml:space="preserve">  As the Commission stated in D</w:t>
      </w:r>
      <w:r w:rsidR="007F6BD8">
        <w:t>.20-06-031 and D.21-06-029</w:t>
      </w:r>
      <w:r w:rsidR="004A3CB6">
        <w:t xml:space="preserve">, Energy Division </w:t>
      </w:r>
      <w:r w:rsidR="007F6BD8">
        <w:t>has been authorized to perform an</w:t>
      </w:r>
      <w:r w:rsidR="004A3CB6">
        <w:t xml:space="preserve"> LOLE study and proposal</w:t>
      </w:r>
      <w:r w:rsidR="007F6BD8">
        <w:t xml:space="preserve"> and submit it into this proceeding</w:t>
      </w:r>
      <w:r w:rsidR="004A3CB6">
        <w:t>.</w:t>
      </w:r>
      <w:r w:rsidR="007F6BD8">
        <w:t xml:space="preserve">  </w:t>
      </w:r>
      <w:r w:rsidR="00EE3680">
        <w:t>We clarify that the UCAP workshop will not replace the process directed by the</w:t>
      </w:r>
      <w:r w:rsidR="00957D71">
        <w:t>se</w:t>
      </w:r>
      <w:r w:rsidR="00EE3680">
        <w:t xml:space="preserve"> previous decisions.  </w:t>
      </w:r>
      <w:r w:rsidR="009D2BC2">
        <w:t xml:space="preserve">We </w:t>
      </w:r>
      <w:r w:rsidR="007F6BD8">
        <w:t xml:space="preserve">recognize the connection between the </w:t>
      </w:r>
      <w:r w:rsidR="00957D71">
        <w:t xml:space="preserve">directed LOLE study </w:t>
      </w:r>
      <w:r w:rsidR="007F6BD8">
        <w:t xml:space="preserve">process and </w:t>
      </w:r>
      <w:r w:rsidR="00957D71">
        <w:t xml:space="preserve">consideration </w:t>
      </w:r>
      <w:r w:rsidR="007F6BD8">
        <w:t xml:space="preserve">of the UCAP </w:t>
      </w:r>
      <w:r w:rsidR="00957D71">
        <w:t>proposal</w:t>
      </w:r>
      <w:r w:rsidR="007F6BD8">
        <w:t>, and that these processes will need to be closely coordinated.  Such coordination should occur in the workshop outlined in this decision.</w:t>
      </w:r>
      <w:r w:rsidR="00F007F9">
        <w:t xml:space="preserve"> </w:t>
      </w:r>
    </w:p>
    <w:p w:rsidR="00055359" w:rsidP="00877CBA" w:rsidRDefault="006200C3" w14:paraId="4FC1EDCB" w14:textId="1787E251">
      <w:pPr>
        <w:pStyle w:val="Standard"/>
      </w:pPr>
      <w:r>
        <w:t>CEJA recommends a</w:t>
      </w:r>
      <w:r w:rsidR="00F31A3C">
        <w:t xml:space="preserve">n analysis </w:t>
      </w:r>
      <w:r>
        <w:t>of customer costs, rather than limiting analysis of minimizing costs to energy bidding behavior.</w:t>
      </w:r>
      <w:r w:rsidR="009C5263">
        <w:t xml:space="preserve">  SDG&amp;E </w:t>
      </w:r>
      <w:r w:rsidR="00F31A3C">
        <w:t>recommends consideration of</w:t>
      </w:r>
      <w:r w:rsidR="009C5263">
        <w:t xml:space="preserve"> unnecessary costs resulting from over-procurement, as well as costs from administrative complexity, as part of Principle 1.</w:t>
      </w:r>
      <w:r w:rsidR="00D71697">
        <w:t xml:space="preserve"> </w:t>
      </w:r>
      <w:r w:rsidR="00D47F8D">
        <w:t xml:space="preserve"> </w:t>
      </w:r>
      <w:r w:rsidR="00DC4765">
        <w:t>We agree that under Principle 1</w:t>
      </w:r>
      <w:r w:rsidR="00CB6245">
        <w:t xml:space="preserve">, minimizing </w:t>
      </w:r>
      <w:r w:rsidR="00713B12">
        <w:t xml:space="preserve">customer </w:t>
      </w:r>
      <w:r w:rsidR="00CB6245">
        <w:t>costs</w:t>
      </w:r>
      <w:r w:rsidR="00DC4765">
        <w:t xml:space="preserve"> </w:t>
      </w:r>
      <w:r w:rsidR="009B2762">
        <w:t>should</w:t>
      </w:r>
      <w:r w:rsidR="00DC4765">
        <w:t xml:space="preserve"> consider other aspects of reliability costs to customers, in</w:t>
      </w:r>
      <w:r w:rsidR="004D2050">
        <w:t xml:space="preserve"> addition to</w:t>
      </w:r>
      <w:r w:rsidR="00DC4765">
        <w:t xml:space="preserve"> high energy costs concerns.</w:t>
      </w:r>
    </w:p>
    <w:p w:rsidR="009901E8" w:rsidP="00877CBA" w:rsidRDefault="005A0B7A" w14:paraId="0479D003" w14:textId="3D1BAD93">
      <w:pPr>
        <w:pStyle w:val="Standard"/>
      </w:pPr>
      <w:r>
        <w:t>Calpine comments that development of PG&amp;E’s proposal should consider how compliance penalties would apply to slices and how exposure to CAISO backstop would apply to deficiencies in certain slices.</w:t>
      </w:r>
      <w:r w:rsidR="009901E8">
        <w:t xml:space="preserve"> </w:t>
      </w:r>
      <w:r w:rsidR="00134AED">
        <w:t xml:space="preserve"> </w:t>
      </w:r>
      <w:r w:rsidR="00877CBA">
        <w:t xml:space="preserve">SCE and </w:t>
      </w:r>
      <w:proofErr w:type="spellStart"/>
      <w:r w:rsidR="00877CBA">
        <w:t>CalCCA</w:t>
      </w:r>
      <w:proofErr w:type="spellEnd"/>
      <w:r w:rsidR="00877CBA">
        <w:t xml:space="preserve"> raise similar comments about the need to align penalties and incentives.  The Commission agrees that a workshop should consider alignment of RA compliance penalties and CAISO backstop procurement.</w:t>
      </w:r>
      <w:r w:rsidR="00D40E63">
        <w:t xml:space="preserve">  </w:t>
      </w:r>
      <w:r w:rsidRPr="00BD76BF" w:rsidR="00BD76BF">
        <w:t xml:space="preserve">We leave to parties to </w:t>
      </w:r>
      <w:r w:rsidR="00BD76BF">
        <w:lastRenderedPageBreak/>
        <w:t>determine</w:t>
      </w:r>
      <w:r w:rsidRPr="00BD76BF" w:rsidR="00BD76BF">
        <w:t xml:space="preserve"> whether </w:t>
      </w:r>
      <w:r w:rsidR="00BD76BF">
        <w:t xml:space="preserve">these topics </w:t>
      </w:r>
      <w:r w:rsidR="00EC21C3">
        <w:t>should be covered in</w:t>
      </w:r>
      <w:r w:rsidR="00BD76BF">
        <w:t xml:space="preserve"> </w:t>
      </w:r>
      <w:r w:rsidRPr="00BD76BF" w:rsidR="00BD76BF">
        <w:t>a separate workshop or</w:t>
      </w:r>
      <w:r w:rsidR="00BD76BF">
        <w:t xml:space="preserve"> incorporated</w:t>
      </w:r>
      <w:r w:rsidRPr="00BD76BF" w:rsidR="00BD76BF">
        <w:t xml:space="preserve"> </w:t>
      </w:r>
      <w:r w:rsidR="00E92DA8">
        <w:t>into</w:t>
      </w:r>
      <w:r w:rsidRPr="00BD76BF" w:rsidR="00BD76BF">
        <w:t xml:space="preserve"> an existing workshop.</w:t>
      </w:r>
    </w:p>
    <w:p w:rsidR="00CF2C13" w:rsidP="009706A9" w:rsidRDefault="00471EE8" w14:paraId="5002C1CC" w14:textId="05A6277A">
      <w:pPr>
        <w:pStyle w:val="Standard"/>
      </w:pPr>
      <w:r>
        <w:t xml:space="preserve">Several parties support </w:t>
      </w:r>
      <w:r w:rsidR="00834226">
        <w:t>development</w:t>
      </w:r>
      <w:r>
        <w:t xml:space="preserve"> of a hedging requirement, </w:t>
      </w:r>
      <w:r w:rsidR="009706A9">
        <w:t>such as</w:t>
      </w:r>
      <w:r>
        <w:t xml:space="preserve"> </w:t>
      </w:r>
      <w:r w:rsidR="003B5AFC">
        <w:t xml:space="preserve">PCF, </w:t>
      </w:r>
      <w:r w:rsidR="000A4F45">
        <w:t>SCE</w:t>
      </w:r>
      <w:r w:rsidR="00A7401B">
        <w:t xml:space="preserve">, </w:t>
      </w:r>
      <w:r w:rsidR="004C217B">
        <w:t xml:space="preserve">Solar Parties, </w:t>
      </w:r>
      <w:r w:rsidR="00A7401B">
        <w:t>and TURN</w:t>
      </w:r>
      <w:r>
        <w:t>.</w:t>
      </w:r>
      <w:r w:rsidR="000A4F45">
        <w:t xml:space="preserve">  SCE </w:t>
      </w:r>
      <w:r w:rsidR="009706A9">
        <w:t xml:space="preserve">and Calpine </w:t>
      </w:r>
      <w:r w:rsidR="000A4F45">
        <w:t xml:space="preserve">support Energy Division </w:t>
      </w:r>
      <w:r w:rsidR="009706A9">
        <w:t>collecting</w:t>
      </w:r>
      <w:r w:rsidR="000A4F45">
        <w:t xml:space="preserve"> energy hedging data from LSEs and examining potential links between the RA program and energy bidding behavior.  </w:t>
      </w:r>
      <w:r w:rsidR="00353C23">
        <w:t xml:space="preserve">TURN comments that the inclusion of a hedging component can directly address Principle 1 and could support energy sufficiency and environmental goals of Principle 2.  </w:t>
      </w:r>
      <w:r w:rsidR="000A4F45">
        <w:t xml:space="preserve">SCE recommends prioritizing development of the RA structure in </w:t>
      </w:r>
      <w:r w:rsidR="009706A9">
        <w:t>a</w:t>
      </w:r>
      <w:r w:rsidR="000A4F45">
        <w:t xml:space="preserve"> first phase and developing a hedging component in a second phase.</w:t>
      </w:r>
      <w:r w:rsidR="00540978">
        <w:t xml:space="preserve">  </w:t>
      </w:r>
    </w:p>
    <w:p w:rsidR="003439D1" w:rsidP="002C2E53" w:rsidRDefault="00D40E63" w14:paraId="4373A58E" w14:textId="326AC873">
      <w:pPr>
        <w:pStyle w:val="Standard"/>
      </w:pPr>
      <w:proofErr w:type="spellStart"/>
      <w:r>
        <w:t>CalCCA</w:t>
      </w:r>
      <w:proofErr w:type="spellEnd"/>
      <w:r>
        <w:t xml:space="preserve"> and CESA</w:t>
      </w:r>
      <w:r w:rsidR="00486A1C">
        <w:t xml:space="preserve"> object to a hedging requirement.  </w:t>
      </w:r>
      <w:proofErr w:type="spellStart"/>
      <w:r w:rsidR="00486A1C">
        <w:t>CalCCA</w:t>
      </w:r>
      <w:proofErr w:type="spellEnd"/>
      <w:r w:rsidR="00486A1C">
        <w:t xml:space="preserve"> states that a requirement </w:t>
      </w:r>
      <w:r>
        <w:t>does</w:t>
      </w:r>
      <w:r w:rsidR="00486A1C">
        <w:t xml:space="preserve"> not guarantee reliability or customer cost savings</w:t>
      </w:r>
      <w:r w:rsidR="00353C23">
        <w:t xml:space="preserve"> and </w:t>
      </w:r>
      <w:r w:rsidR="00C23CCB">
        <w:t>CESA disputes that the RA program is the adequate venue to resolve market power concerns.</w:t>
      </w:r>
      <w:r w:rsidR="002C2E53">
        <w:t xml:space="preserve">  </w:t>
      </w:r>
      <w:r w:rsidR="003439D1">
        <w:t xml:space="preserve">AReM </w:t>
      </w:r>
      <w:r w:rsidR="007C747D">
        <w:t>argues</w:t>
      </w:r>
      <w:r w:rsidR="003439D1">
        <w:t xml:space="preserve"> that </w:t>
      </w:r>
      <w:r w:rsidR="0063596E">
        <w:t xml:space="preserve">hedging </w:t>
      </w:r>
      <w:r w:rsidR="003439D1">
        <w:t xml:space="preserve">data </w:t>
      </w:r>
      <w:r w:rsidR="00C34230">
        <w:t>should</w:t>
      </w:r>
      <w:r w:rsidR="00953472">
        <w:t xml:space="preserve"> not be collected from ESPs but only</w:t>
      </w:r>
      <w:r w:rsidR="003439D1">
        <w:t xml:space="preserve"> LSEs over which the Commission has rate authority (i.e., IOUs).</w:t>
      </w:r>
      <w:r w:rsidR="00DB008A">
        <w:t xml:space="preserve">  SCE disagrees with AReM and states that because the Commission </w:t>
      </w:r>
      <w:r w:rsidR="00353C23">
        <w:t>sets</w:t>
      </w:r>
      <w:r w:rsidR="00DB008A">
        <w:t xml:space="preserve"> RA requirements for all LSEs, </w:t>
      </w:r>
      <w:r w:rsidR="00353C23">
        <w:t>it is not relevant whether</w:t>
      </w:r>
      <w:r w:rsidR="00DB008A">
        <w:t xml:space="preserve"> </w:t>
      </w:r>
      <w:r w:rsidR="00953472">
        <w:t xml:space="preserve">it </w:t>
      </w:r>
      <w:r w:rsidR="00DB008A">
        <w:t>regulate</w:t>
      </w:r>
      <w:r w:rsidR="00353C23">
        <w:t>s</w:t>
      </w:r>
      <w:r w:rsidR="00DB008A">
        <w:t xml:space="preserve"> ESPs’ rates.</w:t>
      </w:r>
    </w:p>
    <w:p w:rsidR="00353C23" w:rsidP="00353C23" w:rsidRDefault="00353C23" w14:paraId="38F68A37" w14:textId="04DECCBC">
      <w:pPr>
        <w:pStyle w:val="Standard"/>
      </w:pPr>
      <w:r>
        <w:t xml:space="preserve">As discussed in the decision, the Commission </w:t>
      </w:r>
      <w:r w:rsidR="00953472">
        <w:t>finds it</w:t>
      </w:r>
      <w:r>
        <w:t xml:space="preserve"> critical that a future RA framework include a means to ensure that RA is linked with energy bidding behavior to balance reliability with minimizing costs.  </w:t>
      </w:r>
      <w:r w:rsidR="009B7843">
        <w:t>We</w:t>
      </w:r>
      <w:r>
        <w:t xml:space="preserve"> maintain that parties </w:t>
      </w:r>
      <w:r w:rsidR="00785C83">
        <w:t>shall</w:t>
      </w:r>
      <w:r>
        <w:t xml:space="preserve"> consider a hedging requirement in </w:t>
      </w:r>
      <w:r w:rsidR="00785C83">
        <w:t xml:space="preserve">upcoming </w:t>
      </w:r>
      <w:r>
        <w:t xml:space="preserve">workshops.  We also maintain that Energy Division </w:t>
      </w:r>
      <w:r w:rsidR="00785C83">
        <w:t>is authorized to</w:t>
      </w:r>
      <w:r>
        <w:t xml:space="preserve"> collect energy hedging data from all LSEs to evaluate the magnitude of LSE energy hedging.  </w:t>
      </w:r>
    </w:p>
    <w:p w:rsidR="00CF2C13" w:rsidP="007F0763" w:rsidRDefault="00353C23" w14:paraId="4F551AD6" w14:textId="331D522C">
      <w:pPr>
        <w:pStyle w:val="Standard"/>
      </w:pPr>
      <w:r>
        <w:t xml:space="preserve">In addition, CEERT </w:t>
      </w:r>
      <w:r w:rsidR="00FA4E73">
        <w:t xml:space="preserve">raises the </w:t>
      </w:r>
      <w:r w:rsidR="007950CB">
        <w:t>hypothesis that</w:t>
      </w:r>
      <w:r>
        <w:t xml:space="preserve"> </w:t>
      </w:r>
      <w:r w:rsidR="007950CB">
        <w:t>gas traders and Southern California Gas Company may be exercising market power, not gas generators, which is leading to price spikes and revenues above marginal costs.</w:t>
      </w:r>
      <w:r>
        <w:t xml:space="preserve"> </w:t>
      </w:r>
      <w:r w:rsidR="007950CB">
        <w:t xml:space="preserve"> CEERT </w:t>
      </w:r>
      <w:r w:rsidR="007950CB">
        <w:lastRenderedPageBreak/>
        <w:t xml:space="preserve">recommends a workshop to analyze the </w:t>
      </w:r>
      <w:r>
        <w:t xml:space="preserve">interaction between natural gas </w:t>
      </w:r>
      <w:r w:rsidR="008A4785">
        <w:t xml:space="preserve">spot </w:t>
      </w:r>
      <w:r>
        <w:t>prices</w:t>
      </w:r>
      <w:r w:rsidR="007950CB">
        <w:t xml:space="preserve"> and</w:t>
      </w:r>
      <w:r>
        <w:t xml:space="preserve"> electricity </w:t>
      </w:r>
      <w:r w:rsidR="007950CB">
        <w:t xml:space="preserve">spot </w:t>
      </w:r>
      <w:r>
        <w:t>prices, a</w:t>
      </w:r>
      <w:r w:rsidR="007950CB">
        <w:t xml:space="preserve">s a function of </w:t>
      </w:r>
      <w:r>
        <w:t>electric load levels.</w:t>
      </w:r>
      <w:r w:rsidR="00F47934">
        <w:t xml:space="preserve">  The Commission recognizes </w:t>
      </w:r>
      <w:r w:rsidR="00E95DC3">
        <w:t>this</w:t>
      </w:r>
      <w:r w:rsidR="00F47934">
        <w:t xml:space="preserve"> hypothesis could be part of the overall problem and encourages CEERT </w:t>
      </w:r>
      <w:r w:rsidR="007F0763">
        <w:t>or</w:t>
      </w:r>
      <w:r w:rsidR="00F47934">
        <w:t xml:space="preserve"> other parties to prepare an analysis to be considered in workshops</w:t>
      </w:r>
      <w:r w:rsidR="002327AE">
        <w:t xml:space="preserve"> that discuss the hedging requirement</w:t>
      </w:r>
      <w:r w:rsidR="00F47934">
        <w:t>.</w:t>
      </w:r>
      <w:r>
        <w:t xml:space="preserve"> </w:t>
      </w:r>
    </w:p>
    <w:p w:rsidR="00FE3991" w:rsidP="002327AE" w:rsidRDefault="00C23CCB" w14:paraId="5919AA5F" w14:textId="6B063B9B">
      <w:pPr>
        <w:pStyle w:val="Standard"/>
      </w:pPr>
      <w:r>
        <w:t xml:space="preserve">Several parties </w:t>
      </w:r>
      <w:r w:rsidR="003439D1">
        <w:t>comment</w:t>
      </w:r>
      <w:r>
        <w:t xml:space="preserve"> that the proposed framework should be better aligned with the IRP proceeding</w:t>
      </w:r>
      <w:r w:rsidR="00CD31C7">
        <w:t xml:space="preserve">, including ACP, </w:t>
      </w:r>
      <w:r w:rsidR="00F83FA2">
        <w:t xml:space="preserve">CAISO, </w:t>
      </w:r>
      <w:r w:rsidR="00CD31C7">
        <w:t xml:space="preserve">Form Energy, </w:t>
      </w:r>
      <w:proofErr w:type="spellStart"/>
      <w:r w:rsidR="00CD31C7">
        <w:t>Hydrostor</w:t>
      </w:r>
      <w:proofErr w:type="spellEnd"/>
      <w:r>
        <w:t xml:space="preserve">.  </w:t>
      </w:r>
      <w:r w:rsidR="005C2329">
        <w:t xml:space="preserve">ACP states that </w:t>
      </w:r>
      <w:r w:rsidR="002327AE">
        <w:t>workshops</w:t>
      </w:r>
      <w:r w:rsidR="0028618C">
        <w:t xml:space="preserve"> should address how PG&amp;E</w:t>
      </w:r>
      <w:r w:rsidR="003439D1">
        <w:t xml:space="preserve">’s proposal </w:t>
      </w:r>
      <w:r w:rsidR="0028618C">
        <w:t>would be coordinated with procurement directives in the IRP proceeding.</w:t>
      </w:r>
      <w:r>
        <w:t xml:space="preserve">  Form Energy states that the Commission</w:t>
      </w:r>
      <w:r w:rsidR="00FE3991">
        <w:t xml:space="preserve"> should</w:t>
      </w:r>
      <w:r>
        <w:t xml:space="preserve"> </w:t>
      </w:r>
      <w:r w:rsidR="005002E5">
        <w:t>clarify</w:t>
      </w:r>
      <w:r>
        <w:t xml:space="preserve"> whether RA or IRP is the appropriate venue to address long-term reliability.</w:t>
      </w:r>
      <w:r w:rsidR="003F4285">
        <w:t xml:space="preserve"> </w:t>
      </w:r>
      <w:r w:rsidR="00FE3991">
        <w:t>CAISO recommends that the proceedings be aligned to ensure that the RA program takes as an input, requirements developed in the IRP proceeding.</w:t>
      </w:r>
      <w:r w:rsidR="002327AE">
        <w:t xml:space="preserve">  We</w:t>
      </w:r>
      <w:r w:rsidR="00FE3991">
        <w:t xml:space="preserve"> acknowledge that the IRP and RA proceedings should be more closely aligned.  In workshops, we encourage parties to consider the recent </w:t>
      </w:r>
      <w:r w:rsidR="00AA7769">
        <w:t>directives</w:t>
      </w:r>
      <w:r w:rsidR="00FE3991">
        <w:t xml:space="preserve"> </w:t>
      </w:r>
      <w:r w:rsidR="00AA7769">
        <w:t>adopted</w:t>
      </w:r>
      <w:r w:rsidR="00FE3991">
        <w:t xml:space="preserve"> in the IRP proceeding in developing a final framework. </w:t>
      </w:r>
    </w:p>
    <w:p w:rsidR="008C4C9E" w:rsidP="000F05B0" w:rsidRDefault="009706A9" w14:paraId="5FEB5E8F" w14:textId="1EB17E93">
      <w:pPr>
        <w:pStyle w:val="Standard"/>
      </w:pPr>
      <w:r>
        <w:t xml:space="preserve">CEJA comments that the decision should require examining other environmental requirements through workshops, such as accounting of GHG and pollution emissions during slices of day and minimizing GHG emissions and air pollution.  As discussed in the decision, the principles are based in part on the objectives of the RA program, as provided in Pub. Util. Code Section 380.  Section 380 provides that the Commission shall ensure reliable electrical service while advancing, to the extent possible, California’s goals for clean energy, reducing air pollution and emissions of greenhouse gases.  </w:t>
      </w:r>
    </w:p>
    <w:p w:rsidR="00A30BD6" w:rsidP="000F05B0" w:rsidRDefault="007F0763" w14:paraId="3785AF22" w14:textId="1A519B41">
      <w:pPr>
        <w:pStyle w:val="Standard"/>
      </w:pPr>
      <w:r>
        <w:t xml:space="preserve">MRP comments that the Commission should be flexible with respect to timing of the workshop schedule based on the progress made (or lack thereof) in </w:t>
      </w:r>
      <w:r>
        <w:lastRenderedPageBreak/>
        <w:t xml:space="preserve">workshops, and that more workshops may be required.  PG&amp;E supports MRP.  The Commission </w:t>
      </w:r>
      <w:r w:rsidR="009B3E62">
        <w:t>concurs</w:t>
      </w:r>
      <w:r>
        <w:t xml:space="preserve"> that flexibility in terms of the schedule and number of workshops will be afforded to parties depending on the progress made</w:t>
      </w:r>
      <w:r w:rsidR="00786018">
        <w:t>.</w:t>
      </w:r>
    </w:p>
    <w:p w:rsidR="005939A5" w:rsidP="002A4556" w:rsidRDefault="005939A5" w14:paraId="11ABB8F9" w14:textId="77777777">
      <w:pPr>
        <w:pStyle w:val="Heading1"/>
      </w:pPr>
      <w:bookmarkStart w:name="_Toc8123724" w:id="45"/>
      <w:bookmarkStart w:name="_Toc74206133" w:id="46"/>
      <w:r>
        <w:t>Assignment of Proceeding</w:t>
      </w:r>
      <w:bookmarkEnd w:id="45"/>
      <w:bookmarkEnd w:id="46"/>
    </w:p>
    <w:p w:rsidR="005939A5" w:rsidP="006E6574" w:rsidRDefault="006A6C7A" w14:paraId="03E3E9B9" w14:textId="438E507A">
      <w:pPr>
        <w:pStyle w:val="Standard"/>
      </w:pPr>
      <w:r>
        <w:t xml:space="preserve">Marybel Batjer </w:t>
      </w:r>
      <w:r w:rsidR="005939A5">
        <w:t xml:space="preserve">is the assigned Commissioner and </w:t>
      </w:r>
      <w:r>
        <w:t xml:space="preserve">Debbie </w:t>
      </w:r>
      <w:proofErr w:type="gramStart"/>
      <w:r>
        <w:t>Chiv</w:t>
      </w:r>
      <w:proofErr w:type="gramEnd"/>
      <w:r>
        <w:t xml:space="preserve"> and Amin</w:t>
      </w:r>
      <w:r w:rsidR="00E02BEA">
        <w:t> </w:t>
      </w:r>
      <w:r>
        <w:t>Nojan</w:t>
      </w:r>
      <w:r w:rsidR="005939A5">
        <w:t xml:space="preserve"> </w:t>
      </w:r>
      <w:r>
        <w:t>are</w:t>
      </w:r>
      <w:r w:rsidR="005939A5">
        <w:t xml:space="preserve"> the assigned Administrative Law Judge</w:t>
      </w:r>
      <w:r>
        <w:t>s</w:t>
      </w:r>
      <w:r w:rsidR="005939A5">
        <w:t xml:space="preserve"> in this proceeding.</w:t>
      </w:r>
    </w:p>
    <w:p w:rsidR="005939A5" w:rsidP="005939A5" w:rsidRDefault="005939A5" w14:paraId="598A19B3" w14:textId="77777777">
      <w:pPr>
        <w:pStyle w:val="Dummy"/>
      </w:pPr>
      <w:bookmarkStart w:name="_Toc8123725" w:id="47"/>
      <w:bookmarkStart w:name="_Toc74206134" w:id="48"/>
      <w:r>
        <w:t>Findings of Fact</w:t>
      </w:r>
      <w:bookmarkEnd w:id="47"/>
      <w:bookmarkEnd w:id="48"/>
    </w:p>
    <w:p w:rsidR="00731815" w:rsidP="00731815" w:rsidRDefault="00731815" w14:paraId="5A39BA02" w14:textId="11A123B9">
      <w:pPr>
        <w:pStyle w:val="FoF"/>
      </w:pPr>
      <w:r>
        <w:t>Track 3B.2 of this proceeding was scoped to address the e</w:t>
      </w:r>
      <w:r w:rsidRPr="000041D2">
        <w:t>xamination of the broader RA capacity structure to</w:t>
      </w:r>
      <w:r>
        <w:t xml:space="preserve"> </w:t>
      </w:r>
      <w:r w:rsidRPr="000041D2">
        <w:t>address energy attributes and hourly capacity</w:t>
      </w:r>
      <w:r>
        <w:t xml:space="preserve"> </w:t>
      </w:r>
      <w:r w:rsidRPr="000041D2">
        <w:t>requirements, given the increasing penetration of use</w:t>
      </w:r>
      <w:r>
        <w:t>-</w:t>
      </w:r>
      <w:r w:rsidRPr="000041D2">
        <w:t>limited</w:t>
      </w:r>
      <w:r>
        <w:t xml:space="preserve"> </w:t>
      </w:r>
      <w:r w:rsidRPr="000041D2">
        <w:t>resources, greater reliance on preferred resources,</w:t>
      </w:r>
      <w:r>
        <w:t xml:space="preserve"> </w:t>
      </w:r>
      <w:r w:rsidRPr="000041D2">
        <w:t xml:space="preserve">rolling </w:t>
      </w:r>
      <w:proofErr w:type="gramStart"/>
      <w:r w:rsidRPr="000041D2">
        <w:t>off of</w:t>
      </w:r>
      <w:proofErr w:type="gramEnd"/>
      <w:r w:rsidRPr="000041D2">
        <w:t xml:space="preserve"> a significant amount of long-term tolling</w:t>
      </w:r>
      <w:r>
        <w:t xml:space="preserve"> </w:t>
      </w:r>
      <w:r w:rsidRPr="000041D2">
        <w:t>contracts held by utilities, and material increases in energy</w:t>
      </w:r>
      <w:r>
        <w:t xml:space="preserve"> </w:t>
      </w:r>
      <w:r w:rsidRPr="000041D2">
        <w:t>and capacity prices experienced in California over the past</w:t>
      </w:r>
      <w:r>
        <w:t xml:space="preserve"> </w:t>
      </w:r>
      <w:r w:rsidRPr="000041D2">
        <w:t>years.</w:t>
      </w:r>
    </w:p>
    <w:p w:rsidRPr="001E2A62" w:rsidR="00A87370" w:rsidP="001E2A62" w:rsidRDefault="00A87370" w14:paraId="64AD6075" w14:textId="4206593D">
      <w:pPr>
        <w:pStyle w:val="FoF"/>
      </w:pPr>
      <w:r>
        <w:t xml:space="preserve">PG&amp;E’s slice-of-day proposal best addresses the identified principles and the concerns with the current RA framework and </w:t>
      </w:r>
      <w:r>
        <w:rPr>
          <w:rFonts w:eastAsiaTheme="minorEastAsia"/>
          <w:szCs w:val="26"/>
        </w:rPr>
        <w:t>if further developed, is best positioned to be implemented in 2023 for the 2024 compliance year</w:t>
      </w:r>
      <w:r>
        <w:t xml:space="preserve">.  </w:t>
      </w:r>
    </w:p>
    <w:p w:rsidR="005939A5" w:rsidP="005939A5" w:rsidRDefault="005939A5" w14:paraId="01C42C0E" w14:textId="77777777">
      <w:pPr>
        <w:pStyle w:val="Dummy"/>
      </w:pPr>
      <w:bookmarkStart w:name="_Toc8123726" w:id="49"/>
      <w:bookmarkStart w:name="_Toc74206135" w:id="50"/>
      <w:r>
        <w:t>Conclusions of Law</w:t>
      </w:r>
      <w:bookmarkEnd w:id="49"/>
      <w:bookmarkEnd w:id="50"/>
    </w:p>
    <w:p w:rsidR="000B280C" w:rsidP="001E2A62" w:rsidRDefault="00731815" w14:paraId="5038EC2E" w14:textId="37660739">
      <w:pPr>
        <w:pStyle w:val="CoL"/>
      </w:pPr>
      <w:r>
        <w:t>A new</w:t>
      </w:r>
      <w:r w:rsidR="000B280C">
        <w:t xml:space="preserve"> RA framework </w:t>
      </w:r>
      <w:r>
        <w:t xml:space="preserve">that addresses the Commission’s key principles </w:t>
      </w:r>
      <w:r w:rsidR="00BB0048">
        <w:t xml:space="preserve">and implementation details </w:t>
      </w:r>
      <w:r w:rsidR="000B280C">
        <w:t xml:space="preserve">should be considered </w:t>
      </w:r>
      <w:r w:rsidR="00BB0048">
        <w:t>to begin</w:t>
      </w:r>
      <w:r w:rsidR="000B280C">
        <w:t xml:space="preserve"> </w:t>
      </w:r>
      <w:r>
        <w:t xml:space="preserve">implementation in </w:t>
      </w:r>
      <w:r w:rsidR="00546499">
        <w:t xml:space="preserve">2023 for </w:t>
      </w:r>
      <w:r w:rsidR="000B280C">
        <w:t>the 2024 RA compliance year</w:t>
      </w:r>
      <w:r w:rsidR="004021D2">
        <w:t>.</w:t>
      </w:r>
    </w:p>
    <w:p w:rsidRPr="001E2A62" w:rsidR="00932865" w:rsidP="001E2A62" w:rsidRDefault="000B280C" w14:paraId="5DDACF01" w14:textId="268B042D">
      <w:pPr>
        <w:pStyle w:val="CoL"/>
      </w:pPr>
      <w:r>
        <w:t xml:space="preserve">Parties should engage in a series of workshops to </w:t>
      </w:r>
      <w:r w:rsidR="00762035">
        <w:t xml:space="preserve">further </w:t>
      </w:r>
      <w:r w:rsidR="00E44A82">
        <w:t>develop</w:t>
      </w:r>
      <w:r>
        <w:t xml:space="preserve"> PG&amp;E’s slice-of-day proposal </w:t>
      </w:r>
      <w:r w:rsidR="000F7506">
        <w:t>for</w:t>
      </w:r>
      <w:r>
        <w:t xml:space="preserve"> a final proposed framework. </w:t>
      </w:r>
    </w:p>
    <w:p w:rsidR="00BB0243" w:rsidP="000A6E05" w:rsidRDefault="005939A5" w14:paraId="45E91026" w14:textId="77777777">
      <w:pPr>
        <w:pStyle w:val="Mainex"/>
      </w:pPr>
      <w:bookmarkStart w:name="_Toc74206136" w:id="51"/>
      <w:r>
        <w:t>O</w:t>
      </w:r>
      <w:r w:rsidR="00722850">
        <w:t>RDER</w:t>
      </w:r>
      <w:bookmarkEnd w:id="51"/>
    </w:p>
    <w:p w:rsidR="00BB0243" w:rsidP="000A6E05" w:rsidRDefault="00BB0243" w14:paraId="191D526E" w14:textId="77777777">
      <w:pPr>
        <w:keepNext/>
      </w:pPr>
      <w:r w:rsidRPr="00BB0243">
        <w:rPr>
          <w:b/>
        </w:rPr>
        <w:t>IT IS ORDERED</w:t>
      </w:r>
      <w:r>
        <w:t xml:space="preserve"> that:</w:t>
      </w:r>
    </w:p>
    <w:p w:rsidRPr="00C31F69" w:rsidR="00C31F69" w:rsidP="00C31F69" w:rsidRDefault="001C4BB6" w14:paraId="69AEC00A" w14:textId="64402159">
      <w:pPr>
        <w:pStyle w:val="OP"/>
      </w:pPr>
      <w:r>
        <w:t xml:space="preserve">Parties shall undertake a minimum of five workshops over the next approximately six months to develop implementation details based on </w:t>
      </w:r>
      <w:r w:rsidR="00E02BEA">
        <w:t xml:space="preserve">Pacific </w:t>
      </w:r>
      <w:r w:rsidR="00E02BEA">
        <w:lastRenderedPageBreak/>
        <w:t>Gas and Electric Company’s</w:t>
      </w:r>
      <w:r>
        <w:t xml:space="preserve"> slice-of-day proposal.  The workshops shall cover the following implementation details:</w:t>
      </w:r>
      <w:r w:rsidRPr="00624CDF">
        <w:rPr>
          <w:rFonts w:eastAsia="Times New Roman" w:cs="Calibri"/>
          <w:szCs w:val="26"/>
        </w:rPr>
        <w:t xml:space="preserve"> </w:t>
      </w:r>
      <w:r>
        <w:rPr>
          <w:rFonts w:eastAsia="Times New Roman" w:cs="Calibri"/>
          <w:szCs w:val="26"/>
        </w:rPr>
        <w:t>(</w:t>
      </w:r>
      <w:r w:rsidRPr="00624CDF">
        <w:rPr>
          <w:rFonts w:eastAsia="Times New Roman" w:cs="Calibri"/>
          <w:szCs w:val="26"/>
        </w:rPr>
        <w:t>1)</w:t>
      </w:r>
      <w:r>
        <w:rPr>
          <w:rFonts w:eastAsia="Times New Roman" w:cs="Calibri"/>
          <w:szCs w:val="26"/>
        </w:rPr>
        <w:t xml:space="preserve"> Structural Elements; (2)</w:t>
      </w:r>
      <w:r w:rsidRPr="00624CDF">
        <w:rPr>
          <w:rFonts w:eastAsia="Times New Roman" w:cs="Calibri"/>
          <w:szCs w:val="26"/>
        </w:rPr>
        <w:t xml:space="preserve"> </w:t>
      </w:r>
      <w:r>
        <w:rPr>
          <w:rFonts w:eastAsia="Times New Roman" w:cs="Calibri"/>
          <w:szCs w:val="26"/>
        </w:rPr>
        <w:t xml:space="preserve">Resource Counting; (3) Need Determination and Allocation; (4) Hedging Component; and (5) </w:t>
      </w:r>
      <w:r>
        <w:t xml:space="preserve">Unforced Capacity Evaluation </w:t>
      </w:r>
      <w:r>
        <w:rPr>
          <w:rFonts w:eastAsia="Times New Roman" w:cs="Calibri"/>
          <w:szCs w:val="26"/>
        </w:rPr>
        <w:t xml:space="preserve">and Multi-Year Requirement </w:t>
      </w:r>
      <w:r w:rsidR="001B1684">
        <w:rPr>
          <w:rFonts w:eastAsia="Times New Roman" w:cs="Calibri"/>
          <w:szCs w:val="26"/>
        </w:rPr>
        <w:t>Proposals</w:t>
      </w:r>
      <w:r>
        <w:rPr>
          <w:rFonts w:eastAsia="Times New Roman" w:cs="Calibri"/>
          <w:szCs w:val="26"/>
        </w:rPr>
        <w:t>.</w:t>
      </w:r>
      <w:r w:rsidR="00134AED">
        <w:rPr>
          <w:rFonts w:eastAsia="Times New Roman" w:cs="Calibri"/>
          <w:szCs w:val="26"/>
        </w:rPr>
        <w:t xml:space="preserve">  Workshops shall also cover the transactability of Resource Adequacy (RA) products, </w:t>
      </w:r>
      <w:r w:rsidR="00C358C2">
        <w:rPr>
          <w:rFonts w:eastAsia="Times New Roman" w:cs="Calibri"/>
          <w:szCs w:val="26"/>
        </w:rPr>
        <w:t xml:space="preserve">multi-day reliability event concerns, </w:t>
      </w:r>
      <w:r w:rsidR="00134AED">
        <w:rPr>
          <w:rFonts w:eastAsia="Times New Roman" w:cs="Calibri"/>
          <w:szCs w:val="26"/>
        </w:rPr>
        <w:t xml:space="preserve">and </w:t>
      </w:r>
      <w:r w:rsidR="00134AED">
        <w:t xml:space="preserve">alignment of RA compliance penalties and California Independent System Operator backstop procurement.  </w:t>
      </w:r>
    </w:p>
    <w:p w:rsidR="00BB0048" w:rsidP="00BB0048" w:rsidRDefault="00C31F69" w14:paraId="3AE12EE8" w14:textId="50CC799C">
      <w:pPr>
        <w:pStyle w:val="OP"/>
      </w:pPr>
      <w:r>
        <w:t>An implementable R</w:t>
      </w:r>
      <w:r w:rsidR="00E02BEA">
        <w:t xml:space="preserve">esource </w:t>
      </w:r>
      <w:r>
        <w:t>A</w:t>
      </w:r>
      <w:r w:rsidR="00E02BEA">
        <w:t>dequacy</w:t>
      </w:r>
      <w:r>
        <w:t xml:space="preserve"> framework is one that addresses the implementation details in Ordering Paragraph 1, as well as </w:t>
      </w:r>
      <w:r w:rsidR="006C5D49">
        <w:t xml:space="preserve">five </w:t>
      </w:r>
      <w:r>
        <w:t>key principles</w:t>
      </w:r>
      <w:r w:rsidR="00BB0048">
        <w:t>, as follows:</w:t>
      </w:r>
    </w:p>
    <w:p w:rsidR="00BB0048" w:rsidP="007E1624" w:rsidRDefault="00BB0048" w14:paraId="6E0ED9DE" w14:textId="1B7FBD50">
      <w:pPr>
        <w:pStyle w:val="ListBullet"/>
      </w:pPr>
      <w:r w:rsidRPr="005B3B45">
        <w:t>Principle 1:</w:t>
      </w:r>
      <w:r>
        <w:t xml:space="preserve"> To balance </w:t>
      </w:r>
      <w:r w:rsidR="00350080">
        <w:t xml:space="preserve">ensuring </w:t>
      </w:r>
      <w:r>
        <w:t>a reliable</w:t>
      </w:r>
      <w:r w:rsidRPr="000F2AE2">
        <w:t xml:space="preserve"> electrical grid</w:t>
      </w:r>
      <w:r>
        <w:t xml:space="preserve"> </w:t>
      </w:r>
      <w:r w:rsidR="00350080">
        <w:t xml:space="preserve">with </w:t>
      </w:r>
      <w:r w:rsidR="005B3B45">
        <w:t>minimiz</w:t>
      </w:r>
      <w:r w:rsidR="00350080">
        <w:t>ing</w:t>
      </w:r>
      <w:r w:rsidR="005B3B45">
        <w:t xml:space="preserve"> costs to customers</w:t>
      </w:r>
      <w:r>
        <w:t>.</w:t>
      </w:r>
    </w:p>
    <w:p w:rsidR="00BB0048" w:rsidP="007E1624" w:rsidRDefault="00BB0048" w14:paraId="5D9E8818" w14:textId="07B461CC">
      <w:pPr>
        <w:pStyle w:val="ListBullet"/>
      </w:pPr>
      <w:r>
        <w:t>Principle 2: To</w:t>
      </w:r>
      <w:r w:rsidR="00350080">
        <w:t xml:space="preserve"> balance</w:t>
      </w:r>
      <w:r>
        <w:t xml:space="preserve"> address</w:t>
      </w:r>
      <w:r w:rsidR="00350080">
        <w:t>ing</w:t>
      </w:r>
      <w:r w:rsidRPr="000F2AE2">
        <w:t xml:space="preserve"> hourly energy sufficiency </w:t>
      </w:r>
      <w:r w:rsidR="00350080">
        <w:t>for</w:t>
      </w:r>
      <w:r w:rsidRPr="000F2AE2" w:rsidR="00350080">
        <w:t xml:space="preserve"> </w:t>
      </w:r>
      <w:r w:rsidRPr="000F2AE2">
        <w:t xml:space="preserve">reliable operations </w:t>
      </w:r>
      <w:r w:rsidR="00350080">
        <w:t>with advancing California’s environmental goals</w:t>
      </w:r>
      <w:r>
        <w:t>.</w:t>
      </w:r>
    </w:p>
    <w:p w:rsidR="00BB0048" w:rsidP="007E1624" w:rsidRDefault="00BB0048" w14:paraId="37A533F8" w14:textId="64371CD0">
      <w:pPr>
        <w:pStyle w:val="ListBullet"/>
      </w:pPr>
      <w:r>
        <w:t>Principle 3: To balance</w:t>
      </w:r>
      <w:r w:rsidRPr="000F2AE2">
        <w:t xml:space="preserve"> granularity and precision in meeting hourly RA needs with a reasonable level of simplicity</w:t>
      </w:r>
      <w:r w:rsidR="00807312">
        <w:t>,</w:t>
      </w:r>
      <w:r w:rsidRPr="000F2AE2">
        <w:t xml:space="preserve"> and transactability</w:t>
      </w:r>
      <w:r>
        <w:t>.</w:t>
      </w:r>
    </w:p>
    <w:p w:rsidR="00BB0048" w:rsidP="007E1624" w:rsidRDefault="00BB0048" w14:paraId="6B0462DF" w14:textId="31594B7A">
      <w:pPr>
        <w:pStyle w:val="ListBullet"/>
      </w:pPr>
      <w:r>
        <w:t>Principle 4: To be i</w:t>
      </w:r>
      <w:r w:rsidRPr="000F2AE2">
        <w:t>mplementable in the near</w:t>
      </w:r>
      <w:r>
        <w:t xml:space="preserve">-term </w:t>
      </w:r>
      <w:r w:rsidRPr="000F2AE2">
        <w:t>(</w:t>
      </w:r>
      <w:r w:rsidRPr="00DB2886" w:rsidR="00DB2886">
        <w:rPr>
          <w:i/>
          <w:iCs/>
        </w:rPr>
        <w:t>e.g.</w:t>
      </w:r>
      <w:r w:rsidRPr="00BB0048">
        <w:rPr>
          <w:i/>
          <w:iCs/>
        </w:rPr>
        <w:t>,</w:t>
      </w:r>
      <w:r w:rsidRPr="000F2AE2">
        <w:t xml:space="preserve"> 2024)</w:t>
      </w:r>
      <w:r>
        <w:t>.</w:t>
      </w:r>
    </w:p>
    <w:p w:rsidR="00CC4889" w:rsidP="007E1624" w:rsidRDefault="00CC4889" w14:paraId="49B16116" w14:textId="1C6255EC">
      <w:pPr>
        <w:pStyle w:val="ListBullet"/>
      </w:pPr>
      <w:r>
        <w:t>Principle 5: To be durable and adaptable to a changing electric grid.</w:t>
      </w:r>
    </w:p>
    <w:p w:rsidR="00C31F69" w:rsidP="00BB0048" w:rsidRDefault="00C31F69" w14:paraId="2515FB6B" w14:textId="1D067E75">
      <w:pPr>
        <w:pStyle w:val="OP"/>
        <w:numPr>
          <w:ilvl w:val="0"/>
          <w:numId w:val="0"/>
        </w:numPr>
        <w:ind w:firstLine="540"/>
      </w:pPr>
      <w:r>
        <w:t xml:space="preserve">Parties shall also consider a final proposed framework’s compatibility with existing Commission planning goals and programs, such as the </w:t>
      </w:r>
      <w:r w:rsidR="00AE786B">
        <w:rPr>
          <w:rFonts w:cs="TimesNewRomanPSMT"/>
        </w:rPr>
        <w:t>Integrated Resource Plan</w:t>
      </w:r>
      <w:r>
        <w:t xml:space="preserve"> and </w:t>
      </w:r>
      <w:r w:rsidR="00AE786B">
        <w:rPr>
          <w:rFonts w:cs="Calibri"/>
          <w:szCs w:val="26"/>
        </w:rPr>
        <w:t>Renewables Portfolio Standard</w:t>
      </w:r>
      <w:r>
        <w:t xml:space="preserve"> proceedings.</w:t>
      </w:r>
    </w:p>
    <w:p w:rsidR="004E601C" w:rsidP="004E601C" w:rsidRDefault="00C31F69" w14:paraId="56B06651" w14:textId="596A9D28">
      <w:pPr>
        <w:pStyle w:val="OP"/>
      </w:pPr>
      <w:r>
        <w:t xml:space="preserve">At the conclusion of the workshops, an identified party or parties shall submit a Workshop Report that provides the final proposed framework (identifying consensus and non-consensus items) and how the final proposal addresses the implementation details and the key principles.  The Workshop Report shall be </w:t>
      </w:r>
      <w:r w:rsidR="006D459D">
        <w:t xml:space="preserve">filed and served </w:t>
      </w:r>
      <w:r>
        <w:t>in the R</w:t>
      </w:r>
      <w:r w:rsidR="00AE786B">
        <w:t xml:space="preserve">esource </w:t>
      </w:r>
      <w:r>
        <w:t>A</w:t>
      </w:r>
      <w:r w:rsidR="00AE786B">
        <w:t>dequacy</w:t>
      </w:r>
      <w:r>
        <w:t xml:space="preserve"> proceeding in February</w:t>
      </w:r>
      <w:r w:rsidR="00AE786B">
        <w:t> </w:t>
      </w:r>
      <w:r>
        <w:t xml:space="preserve">2022.  </w:t>
      </w:r>
    </w:p>
    <w:p w:rsidR="00C31F69" w:rsidP="004E601C" w:rsidRDefault="00C31F69" w14:paraId="1F76B074" w14:textId="23237DFB">
      <w:pPr>
        <w:pStyle w:val="OP"/>
      </w:pPr>
      <w:r>
        <w:lastRenderedPageBreak/>
        <w:t xml:space="preserve">Within 30 days of </w:t>
      </w:r>
      <w:r w:rsidR="008A531A">
        <w:t xml:space="preserve">the effective date of </w:t>
      </w:r>
      <w:r>
        <w:t>this decision, parties shall reach agreement and inform the Commission (with service to the service list) of the following:</w:t>
      </w:r>
    </w:p>
    <w:p w:rsidRPr="00AE786B" w:rsidR="00C31F69" w:rsidP="00E8642B" w:rsidRDefault="00C31F69" w14:paraId="275C0E3C" w14:textId="77777777">
      <w:pPr>
        <w:pStyle w:val="standard0"/>
        <w:numPr>
          <w:ilvl w:val="0"/>
          <w:numId w:val="44"/>
        </w:numPr>
        <w:spacing w:after="120" w:line="240" w:lineRule="auto"/>
        <w:ind w:right="1440"/>
        <w:rPr>
          <w:rFonts w:ascii="Book Antiqua" w:hAnsi="Book Antiqua"/>
        </w:rPr>
      </w:pPr>
      <w:r w:rsidRPr="00AE786B">
        <w:rPr>
          <w:rFonts w:ascii="Book Antiqua" w:hAnsi="Book Antiqua"/>
        </w:rPr>
        <w:t xml:space="preserve">The date for the first workshop and placeholder dates for at least two subsequent </w:t>
      </w:r>
      <w:proofErr w:type="gramStart"/>
      <w:r w:rsidRPr="00AE786B">
        <w:rPr>
          <w:rFonts w:ascii="Book Antiqua" w:hAnsi="Book Antiqua"/>
        </w:rPr>
        <w:t>workshops;</w:t>
      </w:r>
      <w:proofErr w:type="gramEnd"/>
      <w:r w:rsidRPr="00AE786B">
        <w:rPr>
          <w:rFonts w:ascii="Book Antiqua" w:hAnsi="Book Antiqua"/>
        </w:rPr>
        <w:t xml:space="preserve"> </w:t>
      </w:r>
    </w:p>
    <w:p w:rsidRPr="00AE786B" w:rsidR="00C31F69" w:rsidP="00E8642B" w:rsidRDefault="00C31F69" w14:paraId="119AE133" w14:textId="77777777">
      <w:pPr>
        <w:pStyle w:val="standard0"/>
        <w:numPr>
          <w:ilvl w:val="0"/>
          <w:numId w:val="44"/>
        </w:numPr>
        <w:spacing w:after="120" w:line="240" w:lineRule="auto"/>
        <w:ind w:left="1166" w:right="1440" w:hanging="446"/>
        <w:rPr>
          <w:rFonts w:ascii="Book Antiqua" w:hAnsi="Book Antiqua"/>
        </w:rPr>
      </w:pPr>
      <w:r w:rsidRPr="00AE786B">
        <w:rPr>
          <w:rFonts w:ascii="Book Antiqua" w:hAnsi="Book Antiqua"/>
        </w:rPr>
        <w:t xml:space="preserve">The scope of issues for each </w:t>
      </w:r>
      <w:proofErr w:type="gramStart"/>
      <w:r w:rsidRPr="00AE786B">
        <w:rPr>
          <w:rFonts w:ascii="Book Antiqua" w:hAnsi="Book Antiqua"/>
        </w:rPr>
        <w:t>workshop;</w:t>
      </w:r>
      <w:proofErr w:type="gramEnd"/>
      <w:r w:rsidRPr="00AE786B">
        <w:rPr>
          <w:rFonts w:ascii="Book Antiqua" w:hAnsi="Book Antiqua"/>
        </w:rPr>
        <w:t xml:space="preserve"> </w:t>
      </w:r>
    </w:p>
    <w:p w:rsidRPr="00AE786B" w:rsidR="00C31F69" w:rsidP="00E8642B" w:rsidRDefault="00C31F69" w14:paraId="7DBE2D5A" w14:textId="77777777">
      <w:pPr>
        <w:pStyle w:val="standard0"/>
        <w:numPr>
          <w:ilvl w:val="0"/>
          <w:numId w:val="44"/>
        </w:numPr>
        <w:spacing w:after="120" w:line="240" w:lineRule="auto"/>
        <w:ind w:left="1166" w:right="1440" w:hanging="446"/>
        <w:rPr>
          <w:rFonts w:ascii="Book Antiqua" w:hAnsi="Book Antiqua"/>
        </w:rPr>
      </w:pPr>
      <w:r w:rsidRPr="00AE786B">
        <w:rPr>
          <w:rFonts w:ascii="Book Antiqua" w:hAnsi="Book Antiqua"/>
        </w:rPr>
        <w:t>Identified part(</w:t>
      </w:r>
      <w:proofErr w:type="spellStart"/>
      <w:r w:rsidRPr="00AE786B">
        <w:rPr>
          <w:rFonts w:ascii="Book Antiqua" w:hAnsi="Book Antiqua"/>
        </w:rPr>
        <w:t>ies</w:t>
      </w:r>
      <w:proofErr w:type="spellEnd"/>
      <w:r w:rsidRPr="00AE786B">
        <w:rPr>
          <w:rFonts w:ascii="Book Antiqua" w:hAnsi="Book Antiqua"/>
        </w:rPr>
        <w:t>) to facilitate each workshop; and</w:t>
      </w:r>
    </w:p>
    <w:p w:rsidRPr="00AE786B" w:rsidR="00C31F69" w:rsidP="00E8642B" w:rsidRDefault="00C31F69" w14:paraId="213AA1BD" w14:textId="66570252">
      <w:pPr>
        <w:pStyle w:val="standard0"/>
        <w:numPr>
          <w:ilvl w:val="0"/>
          <w:numId w:val="44"/>
        </w:numPr>
        <w:spacing w:after="120" w:line="240" w:lineRule="auto"/>
        <w:ind w:left="1166" w:right="1440" w:hanging="446"/>
        <w:rPr>
          <w:rFonts w:ascii="Book Antiqua" w:hAnsi="Book Antiqua"/>
        </w:rPr>
      </w:pPr>
      <w:r w:rsidRPr="00AE786B">
        <w:rPr>
          <w:rFonts w:ascii="Book Antiqua" w:hAnsi="Book Antiqua"/>
        </w:rPr>
        <w:t>Identified part(</w:t>
      </w:r>
      <w:proofErr w:type="spellStart"/>
      <w:r w:rsidRPr="00AE786B">
        <w:rPr>
          <w:rFonts w:ascii="Book Antiqua" w:hAnsi="Book Antiqua"/>
        </w:rPr>
        <w:t>ies</w:t>
      </w:r>
      <w:proofErr w:type="spellEnd"/>
      <w:r w:rsidRPr="00AE786B">
        <w:rPr>
          <w:rFonts w:ascii="Book Antiqua" w:hAnsi="Book Antiqua"/>
        </w:rPr>
        <w:t>) to prepare and submit the Workshop Report to the Commission.</w:t>
      </w:r>
    </w:p>
    <w:p w:rsidR="00F6397D" w:rsidP="00AE786B" w:rsidRDefault="001F25FD" w14:paraId="57D071DF" w14:textId="2BE9B4C4">
      <w:pPr>
        <w:pStyle w:val="OP"/>
        <w:keepNext/>
        <w:keepLines/>
      </w:pPr>
      <w:r>
        <w:t>Rulemaking 19-11-009</w:t>
      </w:r>
      <w:r w:rsidRPr="001E2A62" w:rsidR="00E23CBB">
        <w:t xml:space="preserve"> </w:t>
      </w:r>
      <w:r w:rsidR="000B280C">
        <w:t>remains open</w:t>
      </w:r>
      <w:r w:rsidRPr="001E2A62" w:rsidR="00E23CBB">
        <w:t>.</w:t>
      </w:r>
    </w:p>
    <w:p w:rsidR="008F0116" w:rsidP="00AE786B" w:rsidRDefault="008F0116" w14:paraId="72AD64E1" w14:textId="77777777">
      <w:pPr>
        <w:keepNext/>
        <w:keepLines/>
      </w:pPr>
      <w:r>
        <w:t>This order is effective today.</w:t>
      </w:r>
    </w:p>
    <w:p w:rsidR="00426014" w:rsidP="00AE786B" w:rsidRDefault="008F0116" w14:paraId="4E818AC7" w14:textId="38813C8D">
      <w:pPr>
        <w:keepNext/>
        <w:keepLines/>
      </w:pPr>
      <w:r>
        <w:t xml:space="preserve">Dated </w:t>
      </w:r>
      <w:r w:rsidR="00835EDD">
        <w:t>July 15, 2021</w:t>
      </w:r>
      <w:r>
        <w:t>, at San Francisco, California</w:t>
      </w:r>
      <w:r w:rsidR="005445A1">
        <w:t>.</w:t>
      </w:r>
    </w:p>
    <w:p w:rsidRPr="00353367" w:rsidR="00353367" w:rsidP="00353367" w:rsidRDefault="00353367" w14:paraId="09A3B7B2" w14:textId="77777777"/>
    <w:p w:rsidRPr="00835EDD" w:rsidR="00835EDD" w:rsidP="00835EDD" w:rsidRDefault="00835EDD" w14:paraId="01D5FD05" w14:textId="77777777">
      <w:pPr>
        <w:autoSpaceDE w:val="0"/>
        <w:autoSpaceDN w:val="0"/>
        <w:adjustRightInd w:val="0"/>
        <w:spacing w:line="240" w:lineRule="auto"/>
        <w:ind w:left="4320" w:firstLine="0"/>
        <w:jc w:val="both"/>
        <w:rPr>
          <w:rFonts w:eastAsia="Times New Roman" w:cs="Times New Roman"/>
          <w:szCs w:val="20"/>
        </w:rPr>
      </w:pPr>
      <w:bookmarkStart w:name="_Hlk17215919" w:id="52"/>
      <w:r w:rsidRPr="00835EDD">
        <w:rPr>
          <w:rFonts w:eastAsia="Times New Roman" w:cs="Times New Roman"/>
          <w:szCs w:val="20"/>
        </w:rPr>
        <w:t>MARYBEL BATJER</w:t>
      </w:r>
    </w:p>
    <w:p w:rsidRPr="00835EDD" w:rsidR="00835EDD" w:rsidP="00835EDD" w:rsidRDefault="00835EDD" w14:paraId="09584CDC" w14:textId="77777777">
      <w:pPr>
        <w:autoSpaceDE w:val="0"/>
        <w:autoSpaceDN w:val="0"/>
        <w:adjustRightInd w:val="0"/>
        <w:spacing w:line="240" w:lineRule="auto"/>
        <w:jc w:val="both"/>
        <w:rPr>
          <w:rFonts w:eastAsia="Times New Roman" w:cs="Times New Roman"/>
          <w:szCs w:val="20"/>
        </w:rPr>
      </w:pPr>
      <w:r w:rsidRPr="00835EDD">
        <w:rPr>
          <w:rFonts w:eastAsia="Times New Roman" w:cs="Times New Roman"/>
          <w:szCs w:val="20"/>
        </w:rPr>
        <w:tab/>
      </w:r>
      <w:r w:rsidRPr="00835EDD">
        <w:rPr>
          <w:rFonts w:eastAsia="Times New Roman" w:cs="Times New Roman"/>
          <w:szCs w:val="20"/>
        </w:rPr>
        <w:tab/>
      </w:r>
      <w:r w:rsidRPr="00835EDD">
        <w:rPr>
          <w:rFonts w:eastAsia="Times New Roman" w:cs="Times New Roman"/>
          <w:szCs w:val="20"/>
        </w:rPr>
        <w:tab/>
      </w:r>
      <w:r w:rsidRPr="00835EDD">
        <w:rPr>
          <w:rFonts w:eastAsia="Times New Roman" w:cs="Times New Roman"/>
          <w:szCs w:val="20"/>
        </w:rPr>
        <w:tab/>
      </w:r>
      <w:r w:rsidRPr="00835EDD">
        <w:rPr>
          <w:rFonts w:eastAsia="Times New Roman" w:cs="Times New Roman"/>
          <w:szCs w:val="20"/>
        </w:rPr>
        <w:tab/>
        <w:t xml:space="preserve">                       President</w:t>
      </w:r>
    </w:p>
    <w:p w:rsidRPr="00835EDD" w:rsidR="00835EDD" w:rsidP="00835EDD" w:rsidRDefault="00835EDD" w14:paraId="1B895590" w14:textId="77777777">
      <w:pPr>
        <w:autoSpaceDE w:val="0"/>
        <w:autoSpaceDN w:val="0"/>
        <w:adjustRightInd w:val="0"/>
        <w:spacing w:line="240" w:lineRule="auto"/>
        <w:ind w:left="4320" w:firstLine="0"/>
        <w:jc w:val="both"/>
        <w:rPr>
          <w:rFonts w:eastAsia="Times New Roman" w:cs="Times New Roman"/>
          <w:szCs w:val="20"/>
        </w:rPr>
      </w:pPr>
      <w:r w:rsidRPr="00835EDD">
        <w:rPr>
          <w:rFonts w:eastAsia="Times New Roman" w:cs="Times New Roman"/>
          <w:szCs w:val="20"/>
        </w:rPr>
        <w:t>MARTHA GUZMAN ACEVES</w:t>
      </w:r>
    </w:p>
    <w:p w:rsidRPr="00835EDD" w:rsidR="00835EDD" w:rsidP="00835EDD" w:rsidRDefault="00835EDD" w14:paraId="7EA44446" w14:textId="77777777">
      <w:pPr>
        <w:autoSpaceDE w:val="0"/>
        <w:autoSpaceDN w:val="0"/>
        <w:adjustRightInd w:val="0"/>
        <w:spacing w:line="240" w:lineRule="auto"/>
        <w:ind w:left="4320" w:firstLine="0"/>
        <w:jc w:val="both"/>
        <w:rPr>
          <w:rFonts w:eastAsia="Times New Roman" w:cs="Times New Roman"/>
          <w:szCs w:val="20"/>
        </w:rPr>
      </w:pPr>
      <w:r w:rsidRPr="00835EDD">
        <w:rPr>
          <w:rFonts w:eastAsia="Times New Roman" w:cs="Times New Roman"/>
          <w:szCs w:val="20"/>
        </w:rPr>
        <w:t>CLIFFORD RECHTSCHAFFEN</w:t>
      </w:r>
    </w:p>
    <w:p w:rsidRPr="00835EDD" w:rsidR="00835EDD" w:rsidP="00835EDD" w:rsidRDefault="00835EDD" w14:paraId="7EDC339D" w14:textId="77777777">
      <w:pPr>
        <w:autoSpaceDE w:val="0"/>
        <w:autoSpaceDN w:val="0"/>
        <w:adjustRightInd w:val="0"/>
        <w:spacing w:line="240" w:lineRule="auto"/>
        <w:ind w:left="4320" w:firstLine="0"/>
        <w:jc w:val="both"/>
        <w:rPr>
          <w:rFonts w:eastAsia="Times New Roman" w:cs="Times New Roman"/>
          <w:szCs w:val="20"/>
        </w:rPr>
      </w:pPr>
      <w:r w:rsidRPr="00835EDD">
        <w:rPr>
          <w:rFonts w:eastAsia="Times New Roman" w:cs="Times New Roman"/>
          <w:szCs w:val="20"/>
        </w:rPr>
        <w:t>GENEVIEVE SHIROMA</w:t>
      </w:r>
    </w:p>
    <w:p w:rsidRPr="00835EDD" w:rsidR="00835EDD" w:rsidP="00835EDD" w:rsidRDefault="00835EDD" w14:paraId="60B51222" w14:textId="77777777">
      <w:pPr>
        <w:autoSpaceDE w:val="0"/>
        <w:autoSpaceDN w:val="0"/>
        <w:adjustRightInd w:val="0"/>
        <w:spacing w:line="240" w:lineRule="auto"/>
        <w:ind w:left="3600"/>
        <w:jc w:val="both"/>
        <w:rPr>
          <w:rFonts w:eastAsia="Times New Roman" w:cs="Times New Roman"/>
          <w:szCs w:val="20"/>
        </w:rPr>
      </w:pPr>
      <w:r w:rsidRPr="00835EDD">
        <w:rPr>
          <w:rFonts w:eastAsia="Times New Roman" w:cs="Times New Roman"/>
          <w:szCs w:val="20"/>
        </w:rPr>
        <w:t>DARCIE HOUCK</w:t>
      </w:r>
    </w:p>
    <w:p w:rsidRPr="00835EDD" w:rsidR="00835EDD" w:rsidP="00835EDD" w:rsidRDefault="00835EDD" w14:paraId="1D85852F" w14:textId="77777777">
      <w:pPr>
        <w:autoSpaceDE w:val="0"/>
        <w:autoSpaceDN w:val="0"/>
        <w:adjustRightInd w:val="0"/>
        <w:spacing w:line="240" w:lineRule="auto"/>
        <w:ind w:left="4320"/>
        <w:jc w:val="both"/>
        <w:rPr>
          <w:rFonts w:eastAsia="Times New Roman" w:cs="Times New Roman"/>
          <w:szCs w:val="20"/>
        </w:rPr>
      </w:pPr>
      <w:r w:rsidRPr="00835EDD">
        <w:rPr>
          <w:rFonts w:eastAsia="Times New Roman" w:cs="Times New Roman"/>
          <w:szCs w:val="20"/>
        </w:rPr>
        <w:t xml:space="preserve">                 Commissioners</w:t>
      </w:r>
    </w:p>
    <w:bookmarkEnd w:id="52"/>
    <w:p w:rsidRPr="00714CF2" w:rsidR="00714CF2" w:rsidP="00DC4425" w:rsidRDefault="00714CF2" w14:paraId="76E8D5DE" w14:textId="16DB0FA3">
      <w:pPr>
        <w:tabs>
          <w:tab w:val="left" w:pos="6321"/>
        </w:tabs>
        <w:ind w:firstLine="0"/>
      </w:pPr>
    </w:p>
    <w:sectPr w:rsidRPr="00714CF2" w:rsidR="00714CF2" w:rsidSect="00A3007D">
      <w:footerReference w:type="default" r:id="rId12"/>
      <w:pgSz w:w="12240" w:h="15840"/>
      <w:pgMar w:top="172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18A8" w14:textId="77777777" w:rsidR="00F12264" w:rsidRDefault="00F12264" w:rsidP="0098138E">
      <w:pPr>
        <w:spacing w:line="240" w:lineRule="auto"/>
      </w:pPr>
      <w:r>
        <w:separator/>
      </w:r>
    </w:p>
  </w:endnote>
  <w:endnote w:type="continuationSeparator" w:id="0">
    <w:p w14:paraId="70BC1EAD" w14:textId="77777777" w:rsidR="00F12264" w:rsidRDefault="00F12264"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Antiqua">
    <w:altName w:val="Book Antiqu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6C8" w14:textId="087EFFAE" w:rsidR="00F4387C" w:rsidRDefault="006145F2" w:rsidP="00A778F4">
    <w:pPr>
      <w:pStyle w:val="Footer"/>
      <w:tabs>
        <w:tab w:val="left" w:pos="1035"/>
        <w:tab w:val="center" w:pos="5040"/>
      </w:tabs>
      <w:ind w:firstLine="0"/>
    </w:pPr>
    <w:r w:rsidRPr="006145F2">
      <w:rPr>
        <w:sz w:val="18"/>
        <w:szCs w:val="18"/>
      </w:rPr>
      <w:t>393334426</w:t>
    </w:r>
    <w:sdt>
      <w:sdtPr>
        <w:rPr>
          <w:sz w:val="18"/>
          <w:szCs w:val="18"/>
        </w:rPr>
        <w:id w:val="-570881234"/>
        <w:docPartObj>
          <w:docPartGallery w:val="Page Numbers (Bottom of Page)"/>
          <w:docPartUnique/>
        </w:docPartObj>
      </w:sdtPr>
      <w:sdtEndPr>
        <w:rPr>
          <w:noProof/>
          <w:sz w:val="26"/>
          <w:szCs w:val="22"/>
        </w:rPr>
      </w:sdtEndPr>
      <w:sdtContent>
        <w:r w:rsidR="00A778F4">
          <w:tab/>
        </w:r>
        <w:r w:rsidR="00A778F4">
          <w:tab/>
        </w:r>
        <w:r w:rsidR="00A3007D">
          <w:fldChar w:fldCharType="begin"/>
        </w:r>
        <w:r w:rsidR="00A3007D">
          <w:instrText xml:space="preserve"> PAGE   \* MERGEFORMAT </w:instrText>
        </w:r>
        <w:r w:rsidR="00A3007D">
          <w:fldChar w:fldCharType="separate"/>
        </w:r>
        <w:r w:rsidR="00A3007D">
          <w:rPr>
            <w:noProof/>
          </w:rPr>
          <w:t>2</w:t>
        </w:r>
        <w:r w:rsidR="00A3007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113" w14:textId="77777777" w:rsidR="00615C47" w:rsidRDefault="00615C47"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068055"/>
      <w:docPartObj>
        <w:docPartGallery w:val="Page Numbers (Bottom of Page)"/>
        <w:docPartUnique/>
      </w:docPartObj>
    </w:sdtPr>
    <w:sdtEndPr>
      <w:rPr>
        <w:noProof/>
      </w:rPr>
    </w:sdtEndPr>
    <w:sdtContent>
      <w:p w14:paraId="00594E80" w14:textId="22120CFA" w:rsidR="00615C47" w:rsidRDefault="008D6702" w:rsidP="00EF5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3694" w14:textId="77777777" w:rsidR="00F12264" w:rsidRDefault="00F12264" w:rsidP="00DF58E7">
      <w:pPr>
        <w:spacing w:line="240" w:lineRule="auto"/>
        <w:ind w:firstLine="0"/>
      </w:pPr>
      <w:r>
        <w:separator/>
      </w:r>
    </w:p>
  </w:footnote>
  <w:footnote w:type="continuationSeparator" w:id="0">
    <w:p w14:paraId="70F78807" w14:textId="77777777" w:rsidR="00F12264" w:rsidRDefault="00F12264" w:rsidP="00DF58E7">
      <w:pPr>
        <w:spacing w:line="240" w:lineRule="auto"/>
        <w:ind w:firstLine="0"/>
      </w:pPr>
      <w:r>
        <w:continuationSeparator/>
      </w:r>
    </w:p>
  </w:footnote>
  <w:footnote w:type="continuationNotice" w:id="1">
    <w:p w14:paraId="6F886CA6" w14:textId="77777777" w:rsidR="00F12264" w:rsidRPr="00DF58E7" w:rsidRDefault="00F12264" w:rsidP="00DF58E7">
      <w:pPr>
        <w:spacing w:line="240" w:lineRule="auto"/>
        <w:ind w:firstLine="0"/>
        <w:jc w:val="right"/>
        <w:rPr>
          <w:i/>
          <w:sz w:val="22"/>
        </w:rPr>
      </w:pPr>
    </w:p>
  </w:footnote>
  <w:footnote w:id="2">
    <w:p w14:paraId="352FA985" w14:textId="4100C885" w:rsidR="00615C47" w:rsidRDefault="00615C47" w:rsidP="00351053">
      <w:pPr>
        <w:pStyle w:val="FootnoteText"/>
        <w:ind w:left="288" w:hanging="288"/>
      </w:pPr>
      <w:r>
        <w:rPr>
          <w:rStyle w:val="FootnoteReference"/>
        </w:rPr>
        <w:footnoteRef/>
      </w:r>
      <w:r>
        <w:t xml:space="preserve"> </w:t>
      </w:r>
      <w:r w:rsidR="00EF5FC0">
        <w:t xml:space="preserve"> </w:t>
      </w:r>
      <w:r w:rsidR="00351053">
        <w:tab/>
      </w:r>
      <w:r w:rsidRPr="00617D64">
        <w:rPr>
          <w:szCs w:val="22"/>
        </w:rPr>
        <w:t>Proposals submitted prior to the splitting of Track 3B into Tracks 3B.1 and 3B.2 on December</w:t>
      </w:r>
      <w:r>
        <w:rPr>
          <w:szCs w:val="22"/>
        </w:rPr>
        <w:t> </w:t>
      </w:r>
      <w:r w:rsidRPr="00617D64">
        <w:rPr>
          <w:szCs w:val="22"/>
        </w:rPr>
        <w:t>11, 2021 are referred to as “Track 3B Proposals.”  Proposals and comments submitted thereafter are referenced based on their designated track.</w:t>
      </w:r>
    </w:p>
  </w:footnote>
  <w:footnote w:id="3">
    <w:p w14:paraId="0F5272F1" w14:textId="408A1E6A" w:rsidR="00E20454" w:rsidRDefault="00E20454" w:rsidP="00FB0755">
      <w:pPr>
        <w:pStyle w:val="FootnoteText"/>
        <w:ind w:left="288" w:hanging="288"/>
      </w:pPr>
      <w:r>
        <w:rPr>
          <w:rStyle w:val="FootnoteReference"/>
        </w:rPr>
        <w:footnoteRef/>
      </w:r>
      <w:r>
        <w:t xml:space="preserve"> </w:t>
      </w:r>
      <w:r>
        <w:tab/>
      </w:r>
      <w:r w:rsidRPr="00150AE8">
        <w:rPr>
          <w:i/>
          <w:iCs/>
        </w:rPr>
        <w:t>See</w:t>
      </w:r>
      <w:r>
        <w:t xml:space="preserve"> </w:t>
      </w:r>
      <w:r w:rsidRPr="00E20454">
        <w:t>Energy Division Track</w:t>
      </w:r>
      <w:r>
        <w:t xml:space="preserve"> 3B Proposal, August 7, 2020, at 18.  Figure 2 indicates that</w:t>
      </w:r>
      <w:r w:rsidR="00FB0755">
        <w:t xml:space="preserve"> IOU tolling arrangements in the early 2000s </w:t>
      </w:r>
      <w:r w:rsidR="00801A9E">
        <w:t>accounted for</w:t>
      </w:r>
      <w:r w:rsidR="00FB0755">
        <w:t xml:space="preserve"> approximately 10,000 MW of gas-fired generation, in addition to approximately 10,000 MW of IOU generation.</w:t>
      </w:r>
    </w:p>
  </w:footnote>
  <w:footnote w:id="4">
    <w:p w14:paraId="3BD913EC" w14:textId="4283695C" w:rsidR="00940793" w:rsidRDefault="00940793" w:rsidP="00E8642B">
      <w:pPr>
        <w:pStyle w:val="FootnoteText"/>
        <w:ind w:left="288" w:hanging="288"/>
      </w:pPr>
      <w:r>
        <w:rPr>
          <w:rStyle w:val="FootnoteReference"/>
        </w:rPr>
        <w:footnoteRef/>
      </w:r>
      <w:r>
        <w:t xml:space="preserve"> </w:t>
      </w:r>
      <w:r>
        <w:tab/>
      </w:r>
      <w:r w:rsidRPr="005666BB">
        <w:t xml:space="preserve">In implementing </w:t>
      </w:r>
      <w:r>
        <w:t>Assembly Bill</w:t>
      </w:r>
      <w:r w:rsidRPr="005666BB">
        <w:t xml:space="preserve"> 57 (</w:t>
      </w:r>
      <w:r>
        <w:t xml:space="preserve">the </w:t>
      </w:r>
      <w:r w:rsidRPr="005666BB">
        <w:t xml:space="preserve">procurement framework following the </w:t>
      </w:r>
      <w:r>
        <w:t xml:space="preserve">2000 </w:t>
      </w:r>
      <w:r w:rsidRPr="005666BB">
        <w:t xml:space="preserve">energy crisis), D.02-10-062 adopted minimum standards of conduct (SOC) to guide IOU procurement. </w:t>
      </w:r>
      <w:r>
        <w:t xml:space="preserve"> </w:t>
      </w:r>
      <w:r w:rsidRPr="005666BB">
        <w:t>SOC #4 requires the utilities to prudently administer all contracts and generation resources and dispatch the energy in a least-cost manner.</w:t>
      </w:r>
      <w:r>
        <w:t xml:space="preserve"> </w:t>
      </w:r>
      <w:r w:rsidRPr="005666BB">
        <w:t xml:space="preserve"> Prudent contract administration includes administration of all contracts within the terms and conditions of those contracts, including dispatching contracts when it is economical to do so.</w:t>
      </w:r>
      <w:r>
        <w:t xml:space="preserve">  </w:t>
      </w:r>
      <w:r w:rsidRPr="00004976">
        <w:rPr>
          <w:i/>
          <w:iCs/>
        </w:rPr>
        <w:t>See</w:t>
      </w:r>
      <w:r>
        <w:t xml:space="preserve"> D.02</w:t>
      </w:r>
      <w:r w:rsidR="00E8642B">
        <w:noBreakHyphen/>
      </w:r>
      <w:r>
        <w:t>10</w:t>
      </w:r>
      <w:r w:rsidR="00E8642B">
        <w:noBreakHyphen/>
      </w:r>
      <w:r>
        <w:t xml:space="preserve">062 at </w:t>
      </w:r>
      <w:r w:rsidRPr="005666BB">
        <w:t>51</w:t>
      </w:r>
      <w:r>
        <w:t>-52</w:t>
      </w:r>
      <w:r w:rsidRPr="005666BB">
        <w:t xml:space="preserve">, </w:t>
      </w:r>
      <w:r>
        <w:t>Conclusion</w:t>
      </w:r>
      <w:r w:rsidR="00F32EE2">
        <w:t>s</w:t>
      </w:r>
      <w:r>
        <w:t xml:space="preserve"> of Law</w:t>
      </w:r>
      <w:r w:rsidRPr="005666BB">
        <w:t xml:space="preserve"> 11</w:t>
      </w:r>
      <w:r>
        <w:t xml:space="preserve">.  </w:t>
      </w:r>
    </w:p>
  </w:footnote>
  <w:footnote w:id="5">
    <w:p w14:paraId="22CC3364" w14:textId="463CCC00" w:rsidR="00D52B9B" w:rsidRDefault="00D52B9B" w:rsidP="00351053">
      <w:pPr>
        <w:pStyle w:val="FootnoteText"/>
        <w:ind w:left="288" w:hanging="288"/>
      </w:pPr>
      <w:r>
        <w:rPr>
          <w:rStyle w:val="FootnoteReference"/>
        </w:rPr>
        <w:footnoteRef/>
      </w:r>
      <w:r>
        <w:t xml:space="preserve">  </w:t>
      </w:r>
      <w:r w:rsidR="00351053">
        <w:tab/>
      </w:r>
      <w:r w:rsidRPr="00150AE8">
        <w:rPr>
          <w:i/>
          <w:iCs/>
        </w:rPr>
        <w:t>See</w:t>
      </w:r>
      <w:r>
        <w:t xml:space="preserve"> </w:t>
      </w:r>
      <w:r w:rsidR="00A37D8C" w:rsidRPr="00E20454">
        <w:t>Energy Division Track</w:t>
      </w:r>
      <w:r w:rsidR="00A37D8C">
        <w:t xml:space="preserve"> 3B Proposal, August 7, 2020,</w:t>
      </w:r>
      <w:r>
        <w:t xml:space="preserve"> at 27.  Figure 8 reflects that in 2015, 89</w:t>
      </w:r>
      <w:r w:rsidR="004508F5">
        <w:t>%</w:t>
      </w:r>
      <w:r>
        <w:t xml:space="preserve"> of load was served by IOUs, 2</w:t>
      </w:r>
      <w:r w:rsidR="00351053">
        <w:t xml:space="preserve">% </w:t>
      </w:r>
      <w:r>
        <w:t>by CCAs, and 9</w:t>
      </w:r>
      <w:r w:rsidR="00351053">
        <w:t xml:space="preserve">% </w:t>
      </w:r>
      <w:r>
        <w:t>by ESPs.  In 2021, by contrast, 6</w:t>
      </w:r>
      <w:r w:rsidR="00351053">
        <w:t xml:space="preserve">1% </w:t>
      </w:r>
      <w:r w:rsidR="004508F5">
        <w:t xml:space="preserve">of load </w:t>
      </w:r>
      <w:r>
        <w:t>is served by IOUs, 30</w:t>
      </w:r>
      <w:r w:rsidR="00351053">
        <w:t>%</w:t>
      </w:r>
      <w:r w:rsidR="00EF5FC0">
        <w:t xml:space="preserve"> </w:t>
      </w:r>
      <w:r>
        <w:t>by CCAs, and 9</w:t>
      </w:r>
      <w:r w:rsidR="00351053">
        <w:t xml:space="preserve">% </w:t>
      </w:r>
      <w:r>
        <w:t>by ESPs.</w:t>
      </w:r>
    </w:p>
  </w:footnote>
  <w:footnote w:id="6">
    <w:p w14:paraId="26C88AC0" w14:textId="3678DA6D" w:rsidR="005F6425" w:rsidRDefault="005F6425" w:rsidP="00351053">
      <w:pPr>
        <w:pStyle w:val="FootnoteText"/>
        <w:ind w:left="288" w:hanging="288"/>
      </w:pPr>
      <w:r>
        <w:rPr>
          <w:rStyle w:val="FootnoteReference"/>
        </w:rPr>
        <w:footnoteRef/>
      </w:r>
      <w:r>
        <w:t xml:space="preserve"> </w:t>
      </w:r>
      <w:r w:rsidR="00EF5FC0">
        <w:t xml:space="preserve"> </w:t>
      </w:r>
      <w:r w:rsidR="00351053">
        <w:tab/>
      </w:r>
      <w:r w:rsidR="00764BBA">
        <w:t xml:space="preserve">Parties </w:t>
      </w:r>
      <w:r>
        <w:t xml:space="preserve">were </w:t>
      </w:r>
      <w:r w:rsidR="00474B34">
        <w:t>permitted</w:t>
      </w:r>
      <w:r>
        <w:t xml:space="preserve"> to submit </w:t>
      </w:r>
      <w:r w:rsidR="00474B34">
        <w:t>a Track 3B.2 proposal and two revisions</w:t>
      </w:r>
      <w:r>
        <w:t xml:space="preserve"> (on December</w:t>
      </w:r>
      <w:r w:rsidR="00DB2886">
        <w:t> </w:t>
      </w:r>
      <w:r>
        <w:t>18,</w:t>
      </w:r>
      <w:r w:rsidR="00DB2886">
        <w:t> </w:t>
      </w:r>
      <w:r>
        <w:t>2020 and February 26, 2021)</w:t>
      </w:r>
      <w:r w:rsidR="00474B34">
        <w:t xml:space="preserve">. </w:t>
      </w:r>
    </w:p>
  </w:footnote>
  <w:footnote w:id="7">
    <w:p w14:paraId="0A436F62" w14:textId="570BA243" w:rsidR="00615C47" w:rsidRPr="004A53EB" w:rsidRDefault="00615C47" w:rsidP="00351053">
      <w:pPr>
        <w:pStyle w:val="FootnoteText"/>
        <w:ind w:left="288" w:hanging="288"/>
      </w:pPr>
      <w:r>
        <w:rPr>
          <w:rStyle w:val="FootnoteReference"/>
        </w:rPr>
        <w:footnoteRef/>
      </w:r>
      <w:r>
        <w:t xml:space="preserve"> </w:t>
      </w:r>
      <w:r w:rsidR="00EF5FC0">
        <w:t xml:space="preserve"> </w:t>
      </w:r>
      <w:r w:rsidR="00694798">
        <w:tab/>
      </w:r>
      <w:r w:rsidRPr="009A3AF0">
        <w:rPr>
          <w:i/>
          <w:iCs/>
        </w:rPr>
        <w:t>See</w:t>
      </w:r>
      <w:r>
        <w:t xml:space="preserve"> </w:t>
      </w:r>
      <w:r w:rsidRPr="00911414">
        <w:rPr>
          <w:i/>
          <w:iCs/>
        </w:rPr>
        <w:t>generally</w:t>
      </w:r>
      <w:r>
        <w:t xml:space="preserve"> </w:t>
      </w:r>
      <w:r w:rsidR="00B5078D">
        <w:t>SCE/CalCCA</w:t>
      </w:r>
      <w:r>
        <w:t xml:space="preserve"> Track 3B.2 Proposal, August 7, 2020; </w:t>
      </w:r>
      <w:r w:rsidR="00B5078D">
        <w:t>SCE/CalCCA</w:t>
      </w:r>
      <w:r>
        <w:t xml:space="preserve"> Track 3B.2 Revised Proposal, December 18, 2020; </w:t>
      </w:r>
      <w:r w:rsidR="00B5078D">
        <w:t>SCE/CalCCA</w:t>
      </w:r>
      <w:r>
        <w:t xml:space="preserve"> Track 3B.2 Revised Proposal, Februar</w:t>
      </w:r>
      <w:r w:rsidR="00EF5FC0">
        <w:t>y </w:t>
      </w:r>
      <w:r>
        <w:t>26,</w:t>
      </w:r>
      <w:r w:rsidR="00EF5FC0">
        <w:t> </w:t>
      </w:r>
      <w:r>
        <w:t>2021.</w:t>
      </w:r>
    </w:p>
  </w:footnote>
  <w:footnote w:id="8">
    <w:p w14:paraId="6810A856" w14:textId="192D1A7F" w:rsidR="00072ED0" w:rsidRDefault="00072ED0" w:rsidP="00351053">
      <w:pPr>
        <w:pStyle w:val="FootnoteText"/>
        <w:ind w:left="288" w:hanging="288"/>
      </w:pPr>
      <w:r>
        <w:rPr>
          <w:rStyle w:val="FootnoteReference"/>
        </w:rPr>
        <w:footnoteRef/>
      </w:r>
      <w:r>
        <w:t xml:space="preserve"> </w:t>
      </w:r>
      <w:r w:rsidR="00EF5FC0">
        <w:t xml:space="preserve"> </w:t>
      </w:r>
      <w:r w:rsidR="00660BFB">
        <w:tab/>
      </w:r>
      <w:r>
        <w:t>SCE/CalCCA Track 3B Proposal, August 7, 2020, at 6.</w:t>
      </w:r>
    </w:p>
  </w:footnote>
  <w:footnote w:id="9">
    <w:p w14:paraId="43D25D9F" w14:textId="0C42BA13" w:rsidR="00615C47" w:rsidRDefault="00615C47" w:rsidP="00351053">
      <w:pPr>
        <w:pStyle w:val="FootnoteText"/>
        <w:ind w:left="288" w:hanging="288"/>
      </w:pPr>
      <w:r>
        <w:rPr>
          <w:rStyle w:val="FootnoteReference"/>
        </w:rPr>
        <w:footnoteRef/>
      </w:r>
      <w:r>
        <w:t xml:space="preserve"> </w:t>
      </w:r>
      <w:r w:rsidR="00EF5FC0">
        <w:t xml:space="preserve"> </w:t>
      </w:r>
      <w:r w:rsidR="00660BFB">
        <w:tab/>
      </w:r>
      <w:r w:rsidR="00EC111E" w:rsidRPr="00EC111E">
        <w:rPr>
          <w:i/>
          <w:iCs/>
        </w:rPr>
        <w:t>Id</w:t>
      </w:r>
      <w:r w:rsidR="00EC111E">
        <w:t>.</w:t>
      </w:r>
      <w:r>
        <w:t xml:space="preserve"> at 7.</w:t>
      </w:r>
    </w:p>
  </w:footnote>
  <w:footnote w:id="10">
    <w:p w14:paraId="0C4C5BFD" w14:textId="76E925DE" w:rsidR="00615C47" w:rsidRDefault="00615C47" w:rsidP="00351053">
      <w:pPr>
        <w:pStyle w:val="FootnoteText"/>
        <w:ind w:left="288" w:hanging="288"/>
      </w:pPr>
      <w:r>
        <w:rPr>
          <w:rStyle w:val="FootnoteReference"/>
        </w:rPr>
        <w:footnoteRef/>
      </w:r>
      <w:r>
        <w:t xml:space="preserve"> </w:t>
      </w:r>
      <w:r w:rsidR="00EF5FC0">
        <w:t xml:space="preserve"> </w:t>
      </w:r>
      <w:r w:rsidR="00660BFB">
        <w:tab/>
      </w:r>
      <w:r w:rsidRPr="006F1349">
        <w:rPr>
          <w:i/>
          <w:iCs/>
        </w:rPr>
        <w:t>Id</w:t>
      </w:r>
      <w:r>
        <w:t>. at 11.</w:t>
      </w:r>
    </w:p>
  </w:footnote>
  <w:footnote w:id="11">
    <w:p w14:paraId="008D5251" w14:textId="712B613F" w:rsidR="00615C47" w:rsidRDefault="00615C47" w:rsidP="00351053">
      <w:pPr>
        <w:pStyle w:val="FootnoteText"/>
        <w:ind w:left="288" w:hanging="288"/>
      </w:pPr>
      <w:r>
        <w:rPr>
          <w:rStyle w:val="FootnoteReference"/>
        </w:rPr>
        <w:footnoteRef/>
      </w:r>
      <w:r>
        <w:t xml:space="preserve"> </w:t>
      </w:r>
      <w:r w:rsidR="00EF5FC0">
        <w:t xml:space="preserve"> </w:t>
      </w:r>
      <w:r w:rsidR="00660BFB">
        <w:tab/>
      </w:r>
      <w:r w:rsidRPr="00D56BF3">
        <w:rPr>
          <w:i/>
          <w:iCs/>
        </w:rPr>
        <w:t>Id</w:t>
      </w:r>
      <w:r>
        <w:t>. at 8.</w:t>
      </w:r>
    </w:p>
  </w:footnote>
  <w:footnote w:id="12">
    <w:p w14:paraId="1353E539" w14:textId="07E017B9" w:rsidR="00615C47" w:rsidRDefault="00615C47" w:rsidP="00351053">
      <w:pPr>
        <w:pStyle w:val="FootnoteText"/>
        <w:ind w:left="288" w:hanging="288"/>
      </w:pPr>
      <w:r>
        <w:rPr>
          <w:rStyle w:val="FootnoteReference"/>
        </w:rPr>
        <w:footnoteRef/>
      </w:r>
      <w:r>
        <w:t xml:space="preserve"> </w:t>
      </w:r>
      <w:r w:rsidR="00EF5FC0">
        <w:t xml:space="preserve"> </w:t>
      </w:r>
      <w:r w:rsidR="00660BFB">
        <w:tab/>
      </w:r>
      <w:r w:rsidRPr="004433AA">
        <w:t>ACP Tracks 3B.1, 3B.2, and 4 Comments, March 12, 2021, at 3; BRTM Tracks 3B.1 and 3B.2 Comments, March 12, 2021, at 4; Cal Advocates Track 3B.2 Comments, March 12, 2021, at 3; CAISO Track 3B.2 Comments, March 12, 2021, at 3; Calpine Track 3B.2 Reply Comments, March</w:t>
      </w:r>
      <w:r w:rsidR="00EF5FC0">
        <w:t> </w:t>
      </w:r>
      <w:r w:rsidRPr="004433AA">
        <w:t>23, 2021, at 2; CEJA/Sierra Club Tracks 3B.1, 3B.2, and 4 Comments, March 12, 2021, at 3; CEERT Track 3B.2 Reply Comments, March 23, 2021, at 2; CESA Tracks 3B.1, 3B.2, and 4 Comments, March 12, 2021, at 19; Hydrostor Tracks 3B and 4 Comments, March 12, 2021, at 6; MRP Tracks 3B.1, 3B.2, and 4 Comments, March 12, 2021, at 6; Shell Track 3B.2 Comments, March 12, 2021, at 10; Solar Parties Track 3B.2 Reply Comments, March 23, 2021, at 2.</w:t>
      </w:r>
    </w:p>
  </w:footnote>
  <w:footnote w:id="13">
    <w:p w14:paraId="2AE98D8A" w14:textId="102EB9D9" w:rsidR="00C40B50" w:rsidRDefault="00C40B50" w:rsidP="00351053">
      <w:pPr>
        <w:pStyle w:val="FootnoteText"/>
        <w:ind w:left="288" w:hanging="288"/>
      </w:pPr>
      <w:r>
        <w:rPr>
          <w:rStyle w:val="FootnoteReference"/>
        </w:rPr>
        <w:footnoteRef/>
      </w:r>
      <w:r>
        <w:t xml:space="preserve"> </w:t>
      </w:r>
      <w:r w:rsidR="003F33DE">
        <w:tab/>
      </w:r>
      <w:r w:rsidRPr="008F3A27">
        <w:rPr>
          <w:i/>
          <w:iCs/>
        </w:rPr>
        <w:t xml:space="preserve">See, </w:t>
      </w:r>
      <w:bookmarkStart w:id="17" w:name="_Hlk72998684"/>
      <w:r w:rsidR="00DB2886" w:rsidRPr="00DB2886">
        <w:rPr>
          <w:i/>
          <w:iCs/>
        </w:rPr>
        <w:t>e.g.</w:t>
      </w:r>
      <w:r>
        <w:t xml:space="preserve">, BRTM Tracks 3B.1 and 3B.2 Comments, March 12, 2021, at 6; </w:t>
      </w:r>
      <w:r w:rsidRPr="004433AA">
        <w:t xml:space="preserve">Cal Advocates Track 3B.2 Comments, March 12, 2021, at </w:t>
      </w:r>
      <w:r>
        <w:t>1</w:t>
      </w:r>
      <w:r w:rsidRPr="004433AA">
        <w:t xml:space="preserve">; </w:t>
      </w:r>
      <w:r>
        <w:t>Calpine Track 3B.2 Reply Comments, March 23, 2021, at 1; CalCCA Track 3B.2 Comments, March 12, 2021, at 4; CalWEA Tracks 3B and 4 Reply Comments, March 23, 2021, at 4; CEERT Track 3B.2 Reply Comments, March 23, 2021, at 2; CEJA/Sierra Club Tracks 3B.1, 3B.2, and 4 Comments, March 12, 2021, at 6;</w:t>
      </w:r>
      <w:r w:rsidRPr="00044376">
        <w:t xml:space="preserve"> </w:t>
      </w:r>
      <w:r w:rsidRPr="004433AA">
        <w:t xml:space="preserve">CESA Tracks 3B.1, 3B.2, and 4 Comments, March 12, 2021, at </w:t>
      </w:r>
      <w:r>
        <w:t>3</w:t>
      </w:r>
      <w:r w:rsidRPr="004433AA">
        <w:t>;</w:t>
      </w:r>
      <w:r>
        <w:t xml:space="preserve"> </w:t>
      </w:r>
      <w:r w:rsidR="00A134D2" w:rsidRPr="004433AA">
        <w:t>MRP Tracks 3B.1, 3B.2, and 4 Comments, March</w:t>
      </w:r>
      <w:r w:rsidR="00FD213B">
        <w:t> </w:t>
      </w:r>
      <w:r w:rsidR="00A134D2" w:rsidRPr="004433AA">
        <w:t>12,</w:t>
      </w:r>
      <w:r w:rsidR="00FD213B">
        <w:t> </w:t>
      </w:r>
      <w:r w:rsidR="00A134D2" w:rsidRPr="004433AA">
        <w:t xml:space="preserve">2021, at 6; </w:t>
      </w:r>
      <w:r>
        <w:t>SCE Track 3B.2 Reply Comments, March 23, 2021, at 7; Solar Parties Track 3B2 Comments, March 12, 2021, at 4.</w:t>
      </w:r>
      <w:bookmarkEnd w:id="17"/>
    </w:p>
  </w:footnote>
  <w:footnote w:id="14">
    <w:p w14:paraId="10B086EA" w14:textId="6A1A6CE1" w:rsidR="00615C47" w:rsidRDefault="00615C47" w:rsidP="00351053">
      <w:pPr>
        <w:pStyle w:val="FootnoteText"/>
        <w:ind w:left="288" w:hanging="288"/>
      </w:pPr>
      <w:r>
        <w:rPr>
          <w:rStyle w:val="FootnoteReference"/>
        </w:rPr>
        <w:footnoteRef/>
      </w:r>
      <w:r w:rsidR="00FD213B">
        <w:t xml:space="preserve"> </w:t>
      </w:r>
      <w:r>
        <w:t xml:space="preserve"> </w:t>
      </w:r>
      <w:r w:rsidR="00932318">
        <w:tab/>
      </w:r>
      <w:r w:rsidRPr="00880471">
        <w:rPr>
          <w:i/>
          <w:iCs/>
        </w:rPr>
        <w:t xml:space="preserve">See, </w:t>
      </w:r>
      <w:r w:rsidR="00DB2886" w:rsidRPr="00DB2886">
        <w:rPr>
          <w:i/>
          <w:iCs/>
        </w:rPr>
        <w:t>e.g.</w:t>
      </w:r>
      <w:r>
        <w:t>, Cal Advocates Track 3B.2 Comments, March 12, 2021, at 4; CESA Tracks 3B.1, 3B.2, and 4 Comments, March 12, 2021, at 19; Hydrostor Tracks 3B.1, 3B.2, and 4 Comments, March</w:t>
      </w:r>
      <w:r w:rsidR="00FD213B">
        <w:t> </w:t>
      </w:r>
      <w:r>
        <w:t>12, 2021, at 6; CAISO Track 3B.2 Comments, March 12, 2021, at 3.</w:t>
      </w:r>
    </w:p>
  </w:footnote>
  <w:footnote w:id="15">
    <w:p w14:paraId="693BE4C9" w14:textId="538F65DD" w:rsidR="00615C47" w:rsidRDefault="00615C47" w:rsidP="00351053">
      <w:pPr>
        <w:pStyle w:val="FootnoteText"/>
        <w:ind w:left="288" w:hanging="288"/>
      </w:pPr>
      <w:r>
        <w:rPr>
          <w:rStyle w:val="FootnoteReference"/>
        </w:rPr>
        <w:footnoteRef/>
      </w:r>
      <w:r>
        <w:t xml:space="preserve"> </w:t>
      </w:r>
      <w:r w:rsidR="00FD213B">
        <w:t xml:space="preserve"> </w:t>
      </w:r>
      <w:r w:rsidR="00932318">
        <w:tab/>
      </w:r>
      <w:r>
        <w:t>AReM Track 3B.2 Comments, March 12, 2021, at 2;</w:t>
      </w:r>
      <w:r w:rsidRPr="009359BC">
        <w:t xml:space="preserve"> </w:t>
      </w:r>
      <w:r>
        <w:t>IEP Track 3B.2 Comments, March 12, 2021, at 7.</w:t>
      </w:r>
    </w:p>
  </w:footnote>
  <w:footnote w:id="16">
    <w:p w14:paraId="270E9060" w14:textId="3F43C466" w:rsidR="00615C47" w:rsidRDefault="00615C47" w:rsidP="00351053">
      <w:pPr>
        <w:pStyle w:val="FootnoteText"/>
        <w:ind w:left="288" w:hanging="288"/>
      </w:pPr>
      <w:r>
        <w:rPr>
          <w:rStyle w:val="FootnoteReference"/>
        </w:rPr>
        <w:footnoteRef/>
      </w:r>
      <w:r>
        <w:t xml:space="preserve"> </w:t>
      </w:r>
      <w:r w:rsidR="00FD213B">
        <w:t xml:space="preserve"> </w:t>
      </w:r>
      <w:r w:rsidR="00932318">
        <w:tab/>
      </w:r>
      <w:r w:rsidRPr="009A3AF0">
        <w:rPr>
          <w:i/>
          <w:iCs/>
        </w:rPr>
        <w:t>See</w:t>
      </w:r>
      <w:r>
        <w:t xml:space="preserve"> </w:t>
      </w:r>
      <w:r w:rsidRPr="00911414">
        <w:rPr>
          <w:i/>
          <w:iCs/>
        </w:rPr>
        <w:t>generally</w:t>
      </w:r>
      <w:r>
        <w:t xml:space="preserve"> PG&amp;E Track 3B.2 Proposal, August 7, 2020; PG&amp;E Track 3B.2 Revised Proposal, December 18, 2020; PG&amp;E Track 3B.2 Revised Proposal, February 26, 2021.</w:t>
      </w:r>
    </w:p>
  </w:footnote>
  <w:footnote w:id="17">
    <w:p w14:paraId="000C1554" w14:textId="6487D255" w:rsidR="00CF6631" w:rsidRDefault="00CF6631" w:rsidP="00E8642B">
      <w:pPr>
        <w:pStyle w:val="FootnoteText"/>
        <w:ind w:left="288" w:hanging="288"/>
      </w:pPr>
      <w:r>
        <w:rPr>
          <w:rStyle w:val="FootnoteReference"/>
        </w:rPr>
        <w:footnoteRef/>
      </w:r>
      <w:r>
        <w:t xml:space="preserve"> </w:t>
      </w:r>
      <w:r>
        <w:tab/>
        <w:t xml:space="preserve">PG&amp;E Track 3B.2 Revised Proposal, February 26, 2021, at A1-19. </w:t>
      </w:r>
    </w:p>
  </w:footnote>
  <w:footnote w:id="18">
    <w:p w14:paraId="48629D17" w14:textId="7DF8D03D" w:rsidR="00615C47" w:rsidRDefault="00615C47" w:rsidP="00351053">
      <w:pPr>
        <w:pStyle w:val="FootnoteText"/>
        <w:ind w:left="288" w:hanging="288"/>
      </w:pPr>
      <w:r>
        <w:rPr>
          <w:rStyle w:val="FootnoteReference"/>
        </w:rPr>
        <w:footnoteRef/>
      </w:r>
      <w:r>
        <w:t xml:space="preserve"> </w:t>
      </w:r>
      <w:r w:rsidR="00FD213B">
        <w:t xml:space="preserve"> </w:t>
      </w:r>
      <w:r w:rsidR="00932318">
        <w:tab/>
      </w:r>
      <w:r w:rsidR="00CF6631" w:rsidRPr="00E8642B">
        <w:rPr>
          <w:i/>
          <w:iCs/>
        </w:rPr>
        <w:t>Id</w:t>
      </w:r>
      <w:r w:rsidR="00CF6631">
        <w:t>.</w:t>
      </w:r>
      <w:r>
        <w:t xml:space="preserve"> at A1-7.</w:t>
      </w:r>
    </w:p>
  </w:footnote>
  <w:footnote w:id="19">
    <w:p w14:paraId="0F44FF6D" w14:textId="1E81DFF6" w:rsidR="0062414A" w:rsidRDefault="0062414A" w:rsidP="00351053">
      <w:pPr>
        <w:pStyle w:val="FootnoteText"/>
        <w:ind w:left="288" w:hanging="288"/>
      </w:pPr>
      <w:r>
        <w:rPr>
          <w:rStyle w:val="FootnoteReference"/>
        </w:rPr>
        <w:footnoteRef/>
      </w:r>
      <w:r>
        <w:t xml:space="preserve"> </w:t>
      </w:r>
      <w:r w:rsidR="00FD213B">
        <w:t xml:space="preserve"> </w:t>
      </w:r>
      <w:r w:rsidR="00932318">
        <w:tab/>
      </w:r>
      <w:r w:rsidR="006C0218" w:rsidRPr="006C0218">
        <w:rPr>
          <w:i/>
          <w:iCs/>
        </w:rPr>
        <w:t>Id</w:t>
      </w:r>
      <w:r w:rsidR="006C0218">
        <w:t>.</w:t>
      </w:r>
      <w:r>
        <w:t xml:space="preserve"> at A1-28.</w:t>
      </w:r>
    </w:p>
  </w:footnote>
  <w:footnote w:id="20">
    <w:p w14:paraId="778EB707" w14:textId="7779A659" w:rsidR="00615C47" w:rsidRDefault="00615C47" w:rsidP="00351053">
      <w:pPr>
        <w:pStyle w:val="FootnoteText"/>
        <w:ind w:left="288" w:hanging="288"/>
      </w:pPr>
      <w:r>
        <w:rPr>
          <w:rStyle w:val="FootnoteReference"/>
        </w:rPr>
        <w:footnoteRef/>
      </w:r>
      <w:r w:rsidR="00FD213B">
        <w:t xml:space="preserve">  </w:t>
      </w:r>
      <w:r w:rsidR="00932318">
        <w:tab/>
      </w:r>
      <w:r>
        <w:t>AReM Track 3B.2 Comments, March 12, 2021, at 2; BRTM Tracks 3B.1 and 3B.2 Comments, March 12, 2021, at 6; Calpine Track 3B.2 Reply Comments, March 23, 2021, at 2;</w:t>
      </w:r>
      <w:r w:rsidRPr="001436AC">
        <w:t xml:space="preserve"> </w:t>
      </w:r>
      <w:r>
        <w:t>CalWEA Tracks 3B and 4 Reply Comments, March 23, 2021, at 4; Cal Advocates Track 3B.2 Comments, March</w:t>
      </w:r>
      <w:r w:rsidR="00FD213B">
        <w:t> </w:t>
      </w:r>
      <w:r>
        <w:t xml:space="preserve">12, 2021, at 5; CEERT Track 3B.2 Reply Comments, March 23, 2021, at 2; </w:t>
      </w:r>
      <w:r w:rsidR="00AC67ED">
        <w:t xml:space="preserve">CEJA/Sierra Club Tracks 3B.1, 3B.2, and 4 Comments, March 12, 2021, at 6; </w:t>
      </w:r>
      <w:r>
        <w:t>CLECA Track 3B.2 Comments, March</w:t>
      </w:r>
      <w:r w:rsidR="00FD213B">
        <w:t> </w:t>
      </w:r>
      <w:r>
        <w:t>12, 2021, at 3; Coalition Parties Track 3B.2 Reply Comments, March 23, 2021, at 2; DMM Track 3B.2 Comments, March 12, 2021, at 3; MRP Tracks 3B.1, 3B.2, and 4 Comments, March</w:t>
      </w:r>
      <w:r w:rsidR="00FD213B">
        <w:t> </w:t>
      </w:r>
      <w:r>
        <w:t>12,</w:t>
      </w:r>
      <w:r w:rsidR="00FD213B">
        <w:t> </w:t>
      </w:r>
      <w:r>
        <w:t xml:space="preserve">2021, at 6; SDG&amp;E Track 3B.2 Comments, March 12, 2021, at 2. </w:t>
      </w:r>
    </w:p>
  </w:footnote>
  <w:footnote w:id="21">
    <w:p w14:paraId="0BD7287C" w14:textId="12CFE2B6" w:rsidR="00615C47" w:rsidRDefault="00615C47" w:rsidP="00351053">
      <w:pPr>
        <w:pStyle w:val="FootnoteText"/>
        <w:ind w:left="288" w:hanging="288"/>
      </w:pPr>
      <w:r>
        <w:rPr>
          <w:rStyle w:val="FootnoteReference"/>
        </w:rPr>
        <w:footnoteRef/>
      </w:r>
      <w:r>
        <w:t xml:space="preserve"> </w:t>
      </w:r>
      <w:r w:rsidR="00FD213B">
        <w:t xml:space="preserve"> </w:t>
      </w:r>
      <w:r w:rsidR="00FE656B">
        <w:tab/>
      </w:r>
      <w:r w:rsidRPr="00A938E7">
        <w:rPr>
          <w:i/>
          <w:iCs/>
        </w:rPr>
        <w:t xml:space="preserve">See, </w:t>
      </w:r>
      <w:r w:rsidR="00DB2886" w:rsidRPr="00DB2886">
        <w:rPr>
          <w:i/>
          <w:iCs/>
        </w:rPr>
        <w:t>e.g.</w:t>
      </w:r>
      <w:r w:rsidRPr="00A938E7">
        <w:rPr>
          <w:i/>
          <w:iCs/>
        </w:rPr>
        <w:t>,</w:t>
      </w:r>
      <w:r>
        <w:t xml:space="preserve"> IEP Track 3B.2 Comments, March 12, 2021, at 8; </w:t>
      </w:r>
      <w:r w:rsidRPr="000B43EE">
        <w:t>Calpine</w:t>
      </w:r>
      <w:r>
        <w:t xml:space="preserve"> T</w:t>
      </w:r>
      <w:r w:rsidR="00FE656B">
        <w:t xml:space="preserve">rack </w:t>
      </w:r>
      <w:r>
        <w:t>3B</w:t>
      </w:r>
      <w:r w:rsidR="00FE656B">
        <w:t>.</w:t>
      </w:r>
      <w:r>
        <w:t>2 Comments, March</w:t>
      </w:r>
      <w:r w:rsidR="00FD213B">
        <w:t> </w:t>
      </w:r>
      <w:r>
        <w:t>12,</w:t>
      </w:r>
      <w:r w:rsidR="00FD213B">
        <w:t> </w:t>
      </w:r>
      <w:r>
        <w:t>2021, at 5;</w:t>
      </w:r>
      <w:r w:rsidRPr="002B7573">
        <w:t xml:space="preserve"> </w:t>
      </w:r>
      <w:r>
        <w:t>Shell Track 3B.2 Comments, March 12, 2021, at 8; SCE Tracks 3B.1, 3B.2, and 4 Comments, March 12, 2021, at 10.</w:t>
      </w:r>
    </w:p>
  </w:footnote>
  <w:footnote w:id="22">
    <w:p w14:paraId="47FCFAD1" w14:textId="3B6D44FC" w:rsidR="00615C47" w:rsidRDefault="00615C47" w:rsidP="00351053">
      <w:pPr>
        <w:pStyle w:val="FootnoteText"/>
        <w:ind w:left="288" w:hanging="288"/>
      </w:pPr>
      <w:r>
        <w:rPr>
          <w:rStyle w:val="FootnoteReference"/>
        </w:rPr>
        <w:footnoteRef/>
      </w:r>
      <w:r w:rsidR="00FD213B">
        <w:t xml:space="preserve">  </w:t>
      </w:r>
      <w:r w:rsidR="00FE656B">
        <w:tab/>
      </w:r>
      <w:r>
        <w:t xml:space="preserve">CAISO Track 3B.2 Comments, March 12, 2021, at 2. </w:t>
      </w:r>
    </w:p>
  </w:footnote>
  <w:footnote w:id="23">
    <w:p w14:paraId="42265D8F" w14:textId="1F49233F" w:rsidR="00615C47" w:rsidRDefault="00615C47" w:rsidP="00351053">
      <w:pPr>
        <w:pStyle w:val="FootnoteText"/>
        <w:ind w:left="288" w:hanging="288"/>
      </w:pPr>
      <w:r>
        <w:rPr>
          <w:rStyle w:val="FootnoteReference"/>
        </w:rPr>
        <w:footnoteRef/>
      </w:r>
      <w:r>
        <w:t xml:space="preserve"> </w:t>
      </w:r>
      <w:r w:rsidR="00FD213B">
        <w:t xml:space="preserve"> </w:t>
      </w:r>
      <w:r w:rsidR="001955BE">
        <w:tab/>
      </w:r>
      <w:r w:rsidRPr="00164230">
        <w:rPr>
          <w:i/>
          <w:iCs/>
        </w:rPr>
        <w:t>See generally</w:t>
      </w:r>
      <w:r>
        <w:t xml:space="preserve"> SDG&amp;E Track 3B.2 Proposal, February 26, 2021.</w:t>
      </w:r>
    </w:p>
  </w:footnote>
  <w:footnote w:id="24">
    <w:p w14:paraId="706D3434" w14:textId="53D9E51A" w:rsidR="00B55938" w:rsidRDefault="00B55938" w:rsidP="00351053">
      <w:pPr>
        <w:pStyle w:val="FootnoteText"/>
        <w:ind w:left="288" w:hanging="288"/>
      </w:pPr>
      <w:r>
        <w:rPr>
          <w:rStyle w:val="FootnoteReference"/>
        </w:rPr>
        <w:footnoteRef/>
      </w:r>
      <w:r>
        <w:t xml:space="preserve"> </w:t>
      </w:r>
      <w:r w:rsidR="00FD213B">
        <w:t xml:space="preserve"> </w:t>
      </w:r>
      <w:r w:rsidR="001955BE">
        <w:tab/>
      </w:r>
      <w:r w:rsidR="00A059A1" w:rsidRPr="00A059A1">
        <w:rPr>
          <w:i/>
          <w:iCs/>
        </w:rPr>
        <w:t>Id</w:t>
      </w:r>
      <w:r w:rsidR="00A059A1">
        <w:t>.</w:t>
      </w:r>
      <w:r>
        <w:t xml:space="preserve"> at A-8.</w:t>
      </w:r>
    </w:p>
  </w:footnote>
  <w:footnote w:id="25">
    <w:p w14:paraId="7B13DB4C" w14:textId="6936FFA4" w:rsidR="00615C47" w:rsidRDefault="00615C47" w:rsidP="00351053">
      <w:pPr>
        <w:pStyle w:val="FootnoteText"/>
        <w:ind w:left="288" w:hanging="288"/>
      </w:pPr>
      <w:r>
        <w:rPr>
          <w:rStyle w:val="FootnoteReference"/>
        </w:rPr>
        <w:footnoteRef/>
      </w:r>
      <w:r>
        <w:t xml:space="preserve"> </w:t>
      </w:r>
      <w:r w:rsidR="00FD213B">
        <w:t xml:space="preserve"> </w:t>
      </w:r>
      <w:r w:rsidR="001955BE">
        <w:tab/>
      </w:r>
      <w:r>
        <w:t>AReM Track 3B.2 Comments, March 12, 2021, at 2; BRTM Tracks 3B.1 and 3B.2 Comments, March 12, 2021, at 6; CEJA/Sierra Club Tracks 3B.1, 3B.2, and 4 Comments, March 12, 2021, at 7; CLECA Track 3B.2 Comments, March 12, 2021, at 2; MRP Tracks 3B.1, 3B.2, and 4 Comments, March 12, 2021, at 6.</w:t>
      </w:r>
    </w:p>
  </w:footnote>
  <w:footnote w:id="26">
    <w:p w14:paraId="1FB1B056" w14:textId="0FE438AD" w:rsidR="00615C47" w:rsidRDefault="00615C47" w:rsidP="00351053">
      <w:pPr>
        <w:pStyle w:val="FootnoteText"/>
        <w:ind w:left="288" w:hanging="288"/>
      </w:pPr>
      <w:r>
        <w:rPr>
          <w:rStyle w:val="FootnoteReference"/>
        </w:rPr>
        <w:footnoteRef/>
      </w:r>
      <w:r>
        <w:t xml:space="preserve"> </w:t>
      </w:r>
      <w:r w:rsidR="00FD213B">
        <w:t xml:space="preserve"> </w:t>
      </w:r>
      <w:r w:rsidR="001955BE">
        <w:tab/>
      </w:r>
      <w:r w:rsidRPr="00B12229">
        <w:rPr>
          <w:i/>
          <w:iCs/>
        </w:rPr>
        <w:t xml:space="preserve">See, </w:t>
      </w:r>
      <w:r w:rsidR="00DB2886" w:rsidRPr="00DB2886">
        <w:rPr>
          <w:i/>
          <w:iCs/>
        </w:rPr>
        <w:t>e.g.</w:t>
      </w:r>
      <w:r>
        <w:t>, CEJA/Sierra Club Tracks 3B.1, 3B.2, and 4 Comments, March 12, 2021, at 3; CLECA Track 3B.2 Comments, March 12, 2021, at 2.</w:t>
      </w:r>
    </w:p>
  </w:footnote>
  <w:footnote w:id="27">
    <w:p w14:paraId="7427EDE3" w14:textId="415EEE95" w:rsidR="00615C47" w:rsidRDefault="00615C47" w:rsidP="00351053">
      <w:pPr>
        <w:pStyle w:val="FootnoteText"/>
        <w:ind w:left="288" w:hanging="288"/>
      </w:pPr>
      <w:r>
        <w:rPr>
          <w:rStyle w:val="FootnoteReference"/>
        </w:rPr>
        <w:footnoteRef/>
      </w:r>
      <w:r>
        <w:t xml:space="preserve"> </w:t>
      </w:r>
      <w:r w:rsidR="00FD213B">
        <w:t xml:space="preserve"> </w:t>
      </w:r>
      <w:r w:rsidR="001955BE">
        <w:tab/>
      </w:r>
      <w:r w:rsidRPr="00C62E9B">
        <w:rPr>
          <w:i/>
          <w:iCs/>
        </w:rPr>
        <w:t xml:space="preserve">See, </w:t>
      </w:r>
      <w:r w:rsidR="00DB2886" w:rsidRPr="00DB2886">
        <w:rPr>
          <w:i/>
          <w:iCs/>
        </w:rPr>
        <w:t>e.g.</w:t>
      </w:r>
      <w:r>
        <w:t>, Calpine Track 3B.2 Comments, March 12, 2021, at 8; CESA Tracks 3B.1, 3B.2, and 4 Comments, March 12, 2021, at 13</w:t>
      </w:r>
      <w:r w:rsidR="00413FA1">
        <w:t>; Hydrostor Tracks 3B and 4 Comments, March 12, 2021, at 8.</w:t>
      </w:r>
    </w:p>
  </w:footnote>
  <w:footnote w:id="28">
    <w:p w14:paraId="0181C252" w14:textId="6C402EBE" w:rsidR="00B55938" w:rsidRDefault="00B55938" w:rsidP="00351053">
      <w:pPr>
        <w:pStyle w:val="FootnoteText"/>
        <w:ind w:left="288" w:hanging="288"/>
      </w:pPr>
      <w:r>
        <w:rPr>
          <w:rStyle w:val="FootnoteReference"/>
        </w:rPr>
        <w:footnoteRef/>
      </w:r>
      <w:r>
        <w:t xml:space="preserve"> </w:t>
      </w:r>
      <w:r w:rsidR="00FD213B">
        <w:t xml:space="preserve"> </w:t>
      </w:r>
      <w:r w:rsidR="001955BE">
        <w:tab/>
      </w:r>
      <w:r>
        <w:t>PG&amp;E Track 3B.2 Comments, March 12, 2021, at A1-7.</w:t>
      </w:r>
    </w:p>
  </w:footnote>
  <w:footnote w:id="29">
    <w:p w14:paraId="4275C1EF" w14:textId="754E0FAE" w:rsidR="00615C47" w:rsidRDefault="00615C47" w:rsidP="00351053">
      <w:pPr>
        <w:pStyle w:val="FootnoteText"/>
        <w:ind w:left="288" w:hanging="288"/>
      </w:pPr>
      <w:r>
        <w:rPr>
          <w:rStyle w:val="FootnoteReference"/>
        </w:rPr>
        <w:footnoteRef/>
      </w:r>
      <w:r w:rsidR="00FD213B">
        <w:t xml:space="preserve"> </w:t>
      </w:r>
      <w:r>
        <w:t xml:space="preserve"> </w:t>
      </w:r>
      <w:r w:rsidR="001955BE">
        <w:tab/>
      </w:r>
      <w:r>
        <w:t>SCE Tracks 3B.1, 3B.2, and 4 Comments, March 12, 2021, at 13.</w:t>
      </w:r>
    </w:p>
  </w:footnote>
  <w:footnote w:id="30">
    <w:p w14:paraId="2BFC3F76" w14:textId="4EBC8344" w:rsidR="00615C47" w:rsidRPr="00D719CC" w:rsidRDefault="00615C47" w:rsidP="00351053">
      <w:pPr>
        <w:pStyle w:val="FootnoteText"/>
        <w:ind w:left="288" w:hanging="288"/>
      </w:pPr>
      <w:r>
        <w:rPr>
          <w:rStyle w:val="FootnoteReference"/>
        </w:rPr>
        <w:footnoteRef/>
      </w:r>
      <w:r>
        <w:t xml:space="preserve"> </w:t>
      </w:r>
      <w:r w:rsidR="00FD213B">
        <w:t xml:space="preserve"> </w:t>
      </w:r>
      <w:r w:rsidR="001955BE">
        <w:tab/>
      </w:r>
      <w:r w:rsidRPr="009A3AF0">
        <w:rPr>
          <w:i/>
          <w:iCs/>
        </w:rPr>
        <w:t>See</w:t>
      </w:r>
      <w:r>
        <w:t xml:space="preserve"> </w:t>
      </w:r>
      <w:r w:rsidRPr="00911414">
        <w:rPr>
          <w:i/>
          <w:iCs/>
        </w:rPr>
        <w:t>generally</w:t>
      </w:r>
      <w:r>
        <w:t xml:space="preserve"> Energy Division Track 3B.2 Proposal, August 7, 2020; Energy Division Track 3B.2 Revised Proposal, December 18, 2020; Energy Division Track 3B.2 Revised Proposal, February</w:t>
      </w:r>
      <w:r w:rsidR="00FD213B">
        <w:t> </w:t>
      </w:r>
      <w:r>
        <w:t>26, 2021.</w:t>
      </w:r>
    </w:p>
  </w:footnote>
  <w:footnote w:id="31">
    <w:p w14:paraId="071B6DCF" w14:textId="217BABF2" w:rsidR="00615C47" w:rsidRDefault="00615C47" w:rsidP="00351053">
      <w:pPr>
        <w:pStyle w:val="FootnoteText"/>
        <w:ind w:left="288" w:hanging="288"/>
      </w:pPr>
      <w:r>
        <w:rPr>
          <w:rStyle w:val="FootnoteReference"/>
        </w:rPr>
        <w:footnoteRef/>
      </w:r>
      <w:r>
        <w:t xml:space="preserve"> </w:t>
      </w:r>
      <w:r w:rsidR="00FD213B">
        <w:t xml:space="preserve"> </w:t>
      </w:r>
      <w:r w:rsidR="001955BE">
        <w:tab/>
      </w:r>
      <w:r>
        <w:t>AReM Track 3B.2 Comments, March 12, 2021, at 2; BRTM Tracks 3B.1 and 3B.2 Comments, March 12, 2021, at 8; Cal Advocates Track 3B.2 Comments, March 12, 2021, at 3; CalCCA Track</w:t>
      </w:r>
      <w:r w:rsidR="00FD213B">
        <w:t> </w:t>
      </w:r>
      <w:r>
        <w:t>3B.2 Comments, March 12, 2021, at 4; Calpine Track 3B.2 Comments, March 12, 2021, at 2; CalWEA Track</w:t>
      </w:r>
      <w:r w:rsidR="001955BE">
        <w:t>s</w:t>
      </w:r>
      <w:r>
        <w:t xml:space="preserve"> 3B</w:t>
      </w:r>
      <w:r w:rsidR="001955BE">
        <w:t>.</w:t>
      </w:r>
      <w:r>
        <w:t>2 and 4 Reply Comments, March 23, 2021, at 2; CEERT Track 3B.2 Reply Comments, March 23, 2021, at 1; CEJA/Sierra Club Tracks 3B.1, 3B.2, and 4 Comments, March</w:t>
      </w:r>
      <w:r w:rsidR="00FD213B">
        <w:t> </w:t>
      </w:r>
      <w:r>
        <w:t>12, 2021, at 3; CESA Tracks 3B.1, 3B.2, and 4 Comments, March 12, 2021, at 16; CLECA Track</w:t>
      </w:r>
      <w:r w:rsidR="00FD213B">
        <w:t> </w:t>
      </w:r>
      <w:r>
        <w:t>3B.2 Comments, March 12, 2021, at 3; CMUA Track 3B.2 Comments, March 12, 2021, at 1; Hydrostor Tracks 3B and 4 Comments, March 12, 2021, at 8; IEP Track 3B.2 Comments, March</w:t>
      </w:r>
      <w:r w:rsidR="00FD213B">
        <w:t> </w:t>
      </w:r>
      <w:r>
        <w:t>12, 2021, at 4; MRP Tracks 3B.1, 3B.2, and 4 Comments, March 12, 2021, at 21; SDG&amp;E Track 3B.2 Comments, March 12, 2021, at 1; Solar Parties Track 3B.2 Reply Comments, March</w:t>
      </w:r>
      <w:r w:rsidR="00FD213B">
        <w:t> </w:t>
      </w:r>
      <w:r>
        <w:t>23, 2021, at 2; SCE Tracks 3B.1, 3B.2, and 4 Comments, March 12, 2021, at 9.</w:t>
      </w:r>
      <w:r w:rsidRPr="00FE31AC">
        <w:t xml:space="preserve"> </w:t>
      </w:r>
    </w:p>
  </w:footnote>
  <w:footnote w:id="32">
    <w:p w14:paraId="26B16D9B" w14:textId="20801A70" w:rsidR="009E512C" w:rsidRDefault="009E512C" w:rsidP="00351053">
      <w:pPr>
        <w:pStyle w:val="FootnoteText"/>
        <w:ind w:left="288" w:hanging="288"/>
      </w:pPr>
      <w:r>
        <w:rPr>
          <w:rStyle w:val="FootnoteReference"/>
        </w:rPr>
        <w:footnoteRef/>
      </w:r>
      <w:r>
        <w:t xml:space="preserve"> </w:t>
      </w:r>
      <w:r w:rsidR="00FD213B">
        <w:t xml:space="preserve"> </w:t>
      </w:r>
      <w:r w:rsidR="001955BE">
        <w:tab/>
      </w:r>
      <w:r>
        <w:t>CEJA/Sierra Club Tracks 3B.1, 3B.2, and 4 Comments, March 12, 2021, at 3</w:t>
      </w:r>
      <w:r w:rsidR="000A47E1">
        <w:t>.</w:t>
      </w:r>
    </w:p>
  </w:footnote>
  <w:footnote w:id="33">
    <w:p w14:paraId="42504CCE" w14:textId="6D830504" w:rsidR="00615C47" w:rsidRDefault="00615C47" w:rsidP="00351053">
      <w:pPr>
        <w:pStyle w:val="FootnoteText"/>
        <w:ind w:left="288" w:hanging="288"/>
      </w:pPr>
      <w:r>
        <w:rPr>
          <w:rStyle w:val="FootnoteReference"/>
        </w:rPr>
        <w:footnoteRef/>
      </w:r>
      <w:r>
        <w:t xml:space="preserve"> </w:t>
      </w:r>
      <w:r w:rsidR="00FD213B">
        <w:t xml:space="preserve"> </w:t>
      </w:r>
      <w:r w:rsidR="001955BE">
        <w:tab/>
      </w:r>
      <w:r>
        <w:t>TURN Tracks 3B.1 and 3B.2 Comments, March 12, 2021, at 9;</w:t>
      </w:r>
      <w:r w:rsidRPr="00847827">
        <w:t xml:space="preserve"> </w:t>
      </w:r>
      <w:r>
        <w:t>DMM Track 3B.2 Comments, March 12, 2021, at 4.</w:t>
      </w:r>
    </w:p>
  </w:footnote>
  <w:footnote w:id="34">
    <w:p w14:paraId="79D9AA57" w14:textId="56644B7C" w:rsidR="00615C47" w:rsidRDefault="00615C47" w:rsidP="00351053">
      <w:pPr>
        <w:pStyle w:val="FootnoteText"/>
        <w:ind w:left="288" w:hanging="288"/>
      </w:pPr>
      <w:r>
        <w:rPr>
          <w:rStyle w:val="FootnoteReference"/>
        </w:rPr>
        <w:footnoteRef/>
      </w:r>
      <w:r>
        <w:t xml:space="preserve"> </w:t>
      </w:r>
      <w:r w:rsidR="00FD213B">
        <w:t xml:space="preserve"> </w:t>
      </w:r>
      <w:r w:rsidR="001955BE">
        <w:tab/>
      </w:r>
      <w:r>
        <w:t xml:space="preserve">PG&amp;E </w:t>
      </w:r>
      <w:r w:rsidR="00C6148E">
        <w:t xml:space="preserve">Track 3B.2 </w:t>
      </w:r>
      <w:r>
        <w:t>Revised Proposal, February 26, 2021, at A1-29.</w:t>
      </w:r>
    </w:p>
  </w:footnote>
  <w:footnote w:id="35">
    <w:p w14:paraId="08C6C0DE" w14:textId="3C305745" w:rsidR="00615C47" w:rsidRDefault="00615C47" w:rsidP="00351053">
      <w:pPr>
        <w:pStyle w:val="FootnoteText"/>
        <w:ind w:left="288" w:hanging="288"/>
      </w:pPr>
      <w:r>
        <w:rPr>
          <w:rStyle w:val="FootnoteReference"/>
        </w:rPr>
        <w:footnoteRef/>
      </w:r>
      <w:r>
        <w:t xml:space="preserve"> </w:t>
      </w:r>
      <w:r w:rsidR="00FD213B">
        <w:t xml:space="preserve"> </w:t>
      </w:r>
      <w:r w:rsidR="00CC498D">
        <w:tab/>
      </w:r>
      <w:r>
        <w:t>AReM Track 3B.2 Comments, March 12, 2021, at 9; BRTM Track</w:t>
      </w:r>
      <w:r w:rsidR="00CC498D">
        <w:t>s</w:t>
      </w:r>
      <w:r>
        <w:t xml:space="preserve"> 3B.1 and 3B.2 Comments, March 12, 2021, at 14; Calpine Track 3B.2 Comments, March 12, 2021, at 6;</w:t>
      </w:r>
      <w:r w:rsidRPr="00330309">
        <w:t xml:space="preserve"> </w:t>
      </w:r>
      <w:r>
        <w:t>CESA Tracks 3B.1, 3B.2, and 4 Comments, March 12, 2021, at 7; LS Power Tracks 3B.1, 3B.2, and 4 Comments, March 12, 2021, at 5; MRP Track 3B.2 Comments, January 15, 2021, at 13.</w:t>
      </w:r>
    </w:p>
  </w:footnote>
  <w:footnote w:id="36">
    <w:p w14:paraId="5815F285" w14:textId="71F3AAA2" w:rsidR="00615C47" w:rsidRDefault="00615C47" w:rsidP="00351053">
      <w:pPr>
        <w:pStyle w:val="FootnoteText"/>
        <w:ind w:left="288" w:hanging="288"/>
      </w:pPr>
      <w:r>
        <w:rPr>
          <w:rStyle w:val="FootnoteReference"/>
        </w:rPr>
        <w:footnoteRef/>
      </w:r>
      <w:r>
        <w:t xml:space="preserve"> </w:t>
      </w:r>
      <w:r w:rsidR="00FD213B">
        <w:t xml:space="preserve"> </w:t>
      </w:r>
      <w:r w:rsidR="00CC498D">
        <w:tab/>
      </w:r>
      <w:r w:rsidRPr="001E1D15">
        <w:rPr>
          <w:i/>
          <w:iCs/>
        </w:rPr>
        <w:t xml:space="preserve">See, </w:t>
      </w:r>
      <w:r w:rsidR="00DB2886" w:rsidRPr="00DB2886">
        <w:rPr>
          <w:i/>
          <w:iCs/>
        </w:rPr>
        <w:t>e.g.</w:t>
      </w:r>
      <w:r>
        <w:t>, DMM T</w:t>
      </w:r>
      <w:r w:rsidR="00CC498D">
        <w:t xml:space="preserve">rack </w:t>
      </w:r>
      <w:r>
        <w:t>3B</w:t>
      </w:r>
      <w:r w:rsidR="00CC498D">
        <w:t>.</w:t>
      </w:r>
      <w:r>
        <w:t>2 Comments, March 12, 2021, at 3; Vistra Comments, March 12, 2021, at 4; CalCCA Track 3B.2 Comments, March 12, 2021, at 13.</w:t>
      </w:r>
    </w:p>
  </w:footnote>
  <w:footnote w:id="37">
    <w:p w14:paraId="007A6468" w14:textId="49EC036F" w:rsidR="00615C47" w:rsidRDefault="00615C47" w:rsidP="00351053">
      <w:pPr>
        <w:pStyle w:val="FootnoteText"/>
        <w:ind w:left="288" w:hanging="288"/>
      </w:pPr>
      <w:r>
        <w:rPr>
          <w:rStyle w:val="FootnoteReference"/>
        </w:rPr>
        <w:footnoteRef/>
      </w:r>
      <w:r>
        <w:t xml:space="preserve"> </w:t>
      </w:r>
      <w:r w:rsidR="00FD213B">
        <w:t xml:space="preserve"> </w:t>
      </w:r>
      <w:r w:rsidR="001254D2">
        <w:tab/>
      </w:r>
      <w:r>
        <w:t xml:space="preserve">Energy Division Track 3B.2 </w:t>
      </w:r>
      <w:r w:rsidR="00B847E6">
        <w:t xml:space="preserve">Revised </w:t>
      </w:r>
      <w:r>
        <w:t xml:space="preserve">Proposal, </w:t>
      </w:r>
      <w:r w:rsidRPr="003E4A51">
        <w:t>December 18, 2020,</w:t>
      </w:r>
      <w:r>
        <w:t xml:space="preserve"> at 15.</w:t>
      </w:r>
    </w:p>
  </w:footnote>
  <w:footnote w:id="38">
    <w:p w14:paraId="49609E32" w14:textId="7E4C8D2A" w:rsidR="00615C47" w:rsidRDefault="00615C47" w:rsidP="00351053">
      <w:pPr>
        <w:pStyle w:val="FootnoteText"/>
        <w:ind w:left="288" w:hanging="288"/>
      </w:pPr>
      <w:r>
        <w:rPr>
          <w:rStyle w:val="FootnoteReference"/>
        </w:rPr>
        <w:footnoteRef/>
      </w:r>
      <w:r>
        <w:t xml:space="preserve"> </w:t>
      </w:r>
      <w:r w:rsidR="00FD213B">
        <w:t xml:space="preserve"> </w:t>
      </w:r>
      <w:r w:rsidR="001254D2">
        <w:tab/>
      </w:r>
      <w:r w:rsidRPr="00054671">
        <w:rPr>
          <w:i/>
          <w:iCs/>
        </w:rPr>
        <w:t>See</w:t>
      </w:r>
      <w:r>
        <w:t xml:space="preserve"> </w:t>
      </w:r>
      <w:r w:rsidRPr="006B752A">
        <w:t>AReM Track 3B.2 Comments, March 12, 2021, at 7; BRTM Track 3B.1 and 3B.2 Comments, March 12, 2021, at 14; LS Power Tracks 3B.1, 3B.2, and 4 Comments, March 12, 2021, at 5; MRP Tracks 3B.1, 3B.2, and 4 Comments, March 12, 2021, at 23; PG&amp;E Track 3B.2 Comments, March</w:t>
      </w:r>
      <w:r w:rsidR="00FD213B">
        <w:t> </w:t>
      </w:r>
      <w:r w:rsidRPr="006B752A">
        <w:t>12, 2021, at A1-8; Shell Track 3B.2 Comments, March 12, 2021, at 5.</w:t>
      </w:r>
    </w:p>
  </w:footnote>
  <w:footnote w:id="39">
    <w:p w14:paraId="1A28521D" w14:textId="358BF2E2" w:rsidR="00615C47" w:rsidRDefault="00615C47" w:rsidP="00351053">
      <w:pPr>
        <w:pStyle w:val="FootnoteText"/>
        <w:ind w:left="288" w:hanging="288"/>
      </w:pPr>
      <w:r>
        <w:rPr>
          <w:rStyle w:val="FootnoteReference"/>
        </w:rPr>
        <w:footnoteRef/>
      </w:r>
      <w:r>
        <w:t xml:space="preserve"> </w:t>
      </w:r>
      <w:r w:rsidR="00FD213B">
        <w:t xml:space="preserve"> </w:t>
      </w:r>
      <w:r w:rsidR="00F85CEC">
        <w:tab/>
      </w:r>
      <w:r>
        <w:t>Amended Track 3B and Track 4 Scoping Memo, December</w:t>
      </w:r>
      <w:r w:rsidR="00FD213B">
        <w:t> </w:t>
      </w:r>
      <w:r>
        <w:t>11,</w:t>
      </w:r>
      <w:r w:rsidR="00FD213B">
        <w:t> </w:t>
      </w:r>
      <w:r>
        <w:t>2020, at 4.</w:t>
      </w:r>
    </w:p>
  </w:footnote>
  <w:footnote w:id="40">
    <w:p w14:paraId="7843F8D4" w14:textId="750F5395" w:rsidR="00615C47" w:rsidRDefault="00615C47" w:rsidP="00351053">
      <w:pPr>
        <w:pStyle w:val="FootnoteText"/>
        <w:ind w:left="288" w:hanging="288"/>
      </w:pPr>
      <w:r>
        <w:rPr>
          <w:rStyle w:val="FootnoteReference"/>
        </w:rPr>
        <w:footnoteRef/>
      </w:r>
      <w:r>
        <w:t xml:space="preserve"> </w:t>
      </w:r>
      <w:r w:rsidR="00FD213B">
        <w:t xml:space="preserve"> </w:t>
      </w:r>
      <w:r w:rsidRPr="00313A23">
        <w:rPr>
          <w:i/>
          <w:iCs/>
        </w:rPr>
        <w:t>Id</w:t>
      </w:r>
      <w:r>
        <w:t>.</w:t>
      </w:r>
    </w:p>
  </w:footnote>
  <w:footnote w:id="41">
    <w:p w14:paraId="7AF1307F" w14:textId="68067A0E" w:rsidR="00615C47" w:rsidRDefault="00615C47" w:rsidP="00351053">
      <w:pPr>
        <w:pStyle w:val="FootnoteText"/>
        <w:ind w:left="288" w:hanging="288"/>
      </w:pPr>
      <w:r>
        <w:rPr>
          <w:rStyle w:val="FootnoteReference"/>
        </w:rPr>
        <w:footnoteRef/>
      </w:r>
      <w:r>
        <w:t xml:space="preserve"> </w:t>
      </w:r>
      <w:r w:rsidR="00FD213B">
        <w:t xml:space="preserve"> </w:t>
      </w:r>
      <w:r w:rsidRPr="00313A23">
        <w:rPr>
          <w:i/>
          <w:iCs/>
        </w:rPr>
        <w:t>Id</w:t>
      </w:r>
      <w:r>
        <w:t>.</w:t>
      </w:r>
    </w:p>
  </w:footnote>
  <w:footnote w:id="42">
    <w:p w14:paraId="7184DA91" w14:textId="54F1877D" w:rsidR="003D536B" w:rsidRDefault="003D536B" w:rsidP="00351053">
      <w:pPr>
        <w:pStyle w:val="FootnoteText"/>
        <w:ind w:left="288" w:hanging="288"/>
      </w:pPr>
      <w:r>
        <w:rPr>
          <w:rStyle w:val="FootnoteReference"/>
        </w:rPr>
        <w:footnoteRef/>
      </w:r>
      <w:r>
        <w:t xml:space="preserve"> </w:t>
      </w:r>
      <w:r w:rsidR="00FD213B">
        <w:t xml:space="preserve"> </w:t>
      </w:r>
      <w:r w:rsidR="00F85CEC">
        <w:tab/>
      </w:r>
      <w:r>
        <w:t>The methodology was initially adopted in D.04-10-035 and D.05-10-042, and most recently revised in D.19-06-026.</w:t>
      </w:r>
    </w:p>
  </w:footnote>
  <w:footnote w:id="43">
    <w:p w14:paraId="34074DED" w14:textId="5A2F8217" w:rsidR="00615C47" w:rsidRPr="00656D37" w:rsidRDefault="00615C47" w:rsidP="00351053">
      <w:pPr>
        <w:autoSpaceDE w:val="0"/>
        <w:autoSpaceDN w:val="0"/>
        <w:adjustRightInd w:val="0"/>
        <w:spacing w:line="240" w:lineRule="auto"/>
        <w:ind w:left="288" w:hanging="288"/>
        <w:rPr>
          <w:rFonts w:ascii="TimesNewRomanPSMT" w:hAnsi="TimesNewRomanPSMT" w:cs="TimesNewRomanPSMT"/>
          <w:sz w:val="24"/>
          <w:szCs w:val="24"/>
        </w:rPr>
      </w:pPr>
      <w:r>
        <w:rPr>
          <w:rStyle w:val="FootnoteReference"/>
        </w:rPr>
        <w:footnoteRef/>
      </w:r>
      <w:r>
        <w:t xml:space="preserve"> </w:t>
      </w:r>
      <w:r w:rsidR="00FD213B">
        <w:t xml:space="preserve"> </w:t>
      </w:r>
      <w:r w:rsidRPr="00065B3A">
        <w:rPr>
          <w:i/>
          <w:iCs/>
          <w:sz w:val="22"/>
        </w:rPr>
        <w:t>See</w:t>
      </w:r>
      <w:r w:rsidRPr="00065B3A">
        <w:rPr>
          <w:sz w:val="22"/>
        </w:rPr>
        <w:t xml:space="preserve"> </w:t>
      </w:r>
      <w:r w:rsidR="00B5078D">
        <w:rPr>
          <w:sz w:val="22"/>
        </w:rPr>
        <w:t>SCE/CalCCA</w:t>
      </w:r>
      <w:r w:rsidRPr="00065B3A">
        <w:rPr>
          <w:sz w:val="22"/>
        </w:rPr>
        <w:t xml:space="preserve"> </w:t>
      </w:r>
      <w:r w:rsidR="00F85CEC">
        <w:rPr>
          <w:sz w:val="22"/>
        </w:rPr>
        <w:t xml:space="preserve">Track 3B.2 </w:t>
      </w:r>
      <w:r w:rsidRPr="00065B3A">
        <w:rPr>
          <w:sz w:val="22"/>
        </w:rPr>
        <w:t>Revised Proposal, February 26, 2021, at A-20:</w:t>
      </w:r>
      <w:r w:rsidR="0038731D">
        <w:rPr>
          <w:sz w:val="22"/>
        </w:rPr>
        <w:t xml:space="preserve"> “</w:t>
      </w:r>
      <w:r w:rsidRPr="00065B3A">
        <w:rPr>
          <w:rFonts w:cs="TimesNewRomanPSMT"/>
          <w:sz w:val="22"/>
        </w:rPr>
        <w:t xml:space="preserve">The Joint Parties do not explicitly include within this proposal the ability to transact the NQC and NQE separately. However, if these products are not tradeable, LSEs may be forced to over-procure collectively, driving up customer costs. </w:t>
      </w:r>
      <w:r w:rsidR="00FD213B">
        <w:rPr>
          <w:rFonts w:cs="TimesNewRomanPSMT"/>
          <w:sz w:val="22"/>
        </w:rPr>
        <w:t xml:space="preserve"> </w:t>
      </w:r>
      <w:r w:rsidRPr="00065B3A">
        <w:rPr>
          <w:rFonts w:cs="TimesNewRomanPSMT"/>
          <w:sz w:val="22"/>
        </w:rPr>
        <w:t>This proposal is structural; the implementation of separable and tradeable products should be discussed and evaluated within working groups or workshops</w:t>
      </w:r>
      <w:r>
        <w:rPr>
          <w:rFonts w:cs="TimesNewRomanPSMT"/>
          <w:sz w:val="22"/>
        </w:rPr>
        <w:t>.”</w:t>
      </w:r>
    </w:p>
  </w:footnote>
  <w:footnote w:id="44">
    <w:p w14:paraId="5A631D2F" w14:textId="681325BE" w:rsidR="00615C47" w:rsidRDefault="00615C47" w:rsidP="00351053">
      <w:pPr>
        <w:pStyle w:val="FootnoteText"/>
        <w:ind w:left="288" w:hanging="288"/>
      </w:pPr>
      <w:r>
        <w:rPr>
          <w:rStyle w:val="FootnoteReference"/>
        </w:rPr>
        <w:footnoteRef/>
      </w:r>
      <w:r>
        <w:t xml:space="preserve"> </w:t>
      </w:r>
      <w:r w:rsidR="00FD213B">
        <w:t xml:space="preserve"> </w:t>
      </w:r>
      <w:r w:rsidR="00B5078D">
        <w:t>SCE/CalCCA</w:t>
      </w:r>
      <w:r>
        <w:t xml:space="preserve"> Track 3B.2 </w:t>
      </w:r>
      <w:r w:rsidR="004E75A7">
        <w:t xml:space="preserve">Revised </w:t>
      </w:r>
      <w:r>
        <w:t>Proposal, December 18, 2020, at 4.</w:t>
      </w:r>
    </w:p>
  </w:footnote>
  <w:footnote w:id="45">
    <w:p w14:paraId="17333DFA" w14:textId="63C391AA" w:rsidR="00615C47" w:rsidRDefault="00615C47" w:rsidP="00351053">
      <w:pPr>
        <w:pStyle w:val="FootnoteText"/>
        <w:ind w:left="288" w:hanging="288"/>
      </w:pPr>
      <w:r>
        <w:rPr>
          <w:rStyle w:val="FootnoteReference"/>
        </w:rPr>
        <w:footnoteRef/>
      </w:r>
      <w:r>
        <w:t xml:space="preserve"> </w:t>
      </w:r>
      <w:r w:rsidR="00FD213B">
        <w:t xml:space="preserve"> </w:t>
      </w:r>
      <w:r>
        <w:t xml:space="preserve">PG&amp;E Track 3B.2 </w:t>
      </w:r>
      <w:r w:rsidR="004E75A7">
        <w:t xml:space="preserve">Revised </w:t>
      </w:r>
      <w:r>
        <w:t>Proposal, February 26, 2021, at A1-2.</w:t>
      </w:r>
    </w:p>
  </w:footnote>
  <w:footnote w:id="46">
    <w:p w14:paraId="046427ED" w14:textId="278F7AE4" w:rsidR="00615C47" w:rsidRDefault="00615C47" w:rsidP="00351053">
      <w:pPr>
        <w:pStyle w:val="FootnoteText"/>
        <w:ind w:left="288" w:hanging="288"/>
      </w:pPr>
      <w:r>
        <w:rPr>
          <w:rStyle w:val="FootnoteReference"/>
        </w:rPr>
        <w:footnoteRef/>
      </w:r>
      <w:r>
        <w:t xml:space="preserve"> </w:t>
      </w:r>
      <w:r w:rsidR="00FD213B">
        <w:t xml:space="preserve"> </w:t>
      </w:r>
      <w:r>
        <w:t xml:space="preserve">Energy Division Track 3B.2 </w:t>
      </w:r>
      <w:r w:rsidR="004E75A7">
        <w:t xml:space="preserve">Revised </w:t>
      </w:r>
      <w:r>
        <w:t xml:space="preserve">Proposal, February 26, 2021, at </w:t>
      </w:r>
      <w:r w:rsidR="00674490">
        <w:t>17</w:t>
      </w:r>
      <w:r>
        <w:t>.</w:t>
      </w:r>
    </w:p>
  </w:footnote>
  <w:footnote w:id="47">
    <w:p w14:paraId="211D3F00" w14:textId="0F8AB354" w:rsidR="00615C47" w:rsidRDefault="00615C47" w:rsidP="00351053">
      <w:pPr>
        <w:pStyle w:val="FootnoteText"/>
        <w:ind w:left="288" w:hanging="288"/>
      </w:pPr>
      <w:r>
        <w:rPr>
          <w:rStyle w:val="FootnoteReference"/>
        </w:rPr>
        <w:footnoteRef/>
      </w:r>
      <w:r>
        <w:t xml:space="preserve"> </w:t>
      </w:r>
      <w:r w:rsidR="00E02BEA">
        <w:t xml:space="preserve"> </w:t>
      </w:r>
      <w:r w:rsidR="00970DB5">
        <w:tab/>
      </w:r>
      <w:r>
        <w:t xml:space="preserve">CAISO Track 3B.2 </w:t>
      </w:r>
      <w:r w:rsidR="00970DB5">
        <w:t xml:space="preserve">Revised </w:t>
      </w:r>
      <w:r>
        <w:t xml:space="preserve">Proposal, February 26, 2021, at 3. </w:t>
      </w:r>
    </w:p>
  </w:footnote>
  <w:footnote w:id="48">
    <w:p w14:paraId="7A06981F" w14:textId="570E5FE7" w:rsidR="00615C47" w:rsidRDefault="00615C47" w:rsidP="00351053">
      <w:pPr>
        <w:pStyle w:val="FootnoteText"/>
        <w:ind w:left="288" w:hanging="288"/>
      </w:pPr>
      <w:r>
        <w:rPr>
          <w:rStyle w:val="FootnoteReference"/>
        </w:rPr>
        <w:footnoteRef/>
      </w:r>
      <w:r>
        <w:t xml:space="preserve"> </w:t>
      </w:r>
      <w:r w:rsidR="00E02BEA">
        <w:t xml:space="preserve"> </w:t>
      </w:r>
      <w:r w:rsidR="00970DB5">
        <w:tab/>
      </w:r>
      <w:r>
        <w:t>CEJA/Sierra Club Tracks 3B.1, 3B.2, and 4 Comments, March 12, 2021, at 12; Cal Advocates Track 3B.2 Comments, March 12, 2021, at 7;</w:t>
      </w:r>
      <w:r w:rsidRPr="00887BF3">
        <w:t xml:space="preserve"> </w:t>
      </w:r>
      <w:r>
        <w:t>MRP Tracks 3B.1, 3B.2, and 4 Comments, March</w:t>
      </w:r>
      <w:r w:rsidR="00E02BEA">
        <w:t> </w:t>
      </w:r>
      <w:r>
        <w:t>12,</w:t>
      </w:r>
      <w:r w:rsidR="00E02BEA">
        <w:t> </w:t>
      </w:r>
      <w:r>
        <w:t>2021, at 22;</w:t>
      </w:r>
      <w:r w:rsidRPr="00887BF3">
        <w:t xml:space="preserve"> </w:t>
      </w:r>
      <w:r>
        <w:t>SDG&amp;E Track 3B.2 Comments, March 12, 2021, at 5;</w:t>
      </w:r>
      <w:r w:rsidRPr="00887BF3">
        <w:t xml:space="preserve"> </w:t>
      </w:r>
      <w:r>
        <w:t>PCF Track 3B Comments, March 12, 2021, at 10.</w:t>
      </w:r>
    </w:p>
  </w:footnote>
  <w:footnote w:id="49">
    <w:p w14:paraId="3B70A866" w14:textId="5D81F835" w:rsidR="00615C47" w:rsidRDefault="00615C47" w:rsidP="00351053">
      <w:pPr>
        <w:pStyle w:val="FootnoteText"/>
        <w:ind w:left="288" w:hanging="288"/>
      </w:pPr>
      <w:r>
        <w:rPr>
          <w:rStyle w:val="FootnoteReference"/>
        </w:rPr>
        <w:footnoteRef/>
      </w:r>
      <w:r>
        <w:t xml:space="preserve"> </w:t>
      </w:r>
      <w:r w:rsidR="00E02BEA">
        <w:t xml:space="preserve"> </w:t>
      </w:r>
      <w:r w:rsidR="00970DB5">
        <w:tab/>
      </w:r>
      <w:r>
        <w:t>Calpine Track 3B.2 Comments, March 12, 2021, at 10.</w:t>
      </w:r>
    </w:p>
  </w:footnote>
  <w:footnote w:id="50">
    <w:p w14:paraId="6A06D525" w14:textId="5E1BFA8B" w:rsidR="00615C47" w:rsidRDefault="00615C47" w:rsidP="00351053">
      <w:pPr>
        <w:pStyle w:val="FootnoteText"/>
        <w:ind w:left="288" w:hanging="288"/>
      </w:pPr>
      <w:r>
        <w:rPr>
          <w:rStyle w:val="FootnoteReference"/>
        </w:rPr>
        <w:footnoteRef/>
      </w:r>
      <w:r>
        <w:t xml:space="preserve"> </w:t>
      </w:r>
      <w:r w:rsidR="00E02BEA">
        <w:t xml:space="preserve"> </w:t>
      </w:r>
      <w:r w:rsidR="00970DB5">
        <w:tab/>
      </w:r>
      <w:r>
        <w:t>Shell Track 3B.2 Comments, March 12, 2021, at 7; BRTM Tracks 3B.1, 3B.2 and 4 Comments, March 12, 2021, at 10.</w:t>
      </w:r>
    </w:p>
  </w:footnote>
  <w:footnote w:id="51">
    <w:p w14:paraId="7452C06A" w14:textId="726798E9" w:rsidR="00615C47" w:rsidRDefault="00615C47" w:rsidP="00351053">
      <w:pPr>
        <w:pStyle w:val="FootnoteText"/>
        <w:ind w:left="288" w:hanging="288"/>
      </w:pPr>
      <w:r>
        <w:rPr>
          <w:rStyle w:val="FootnoteReference"/>
        </w:rPr>
        <w:footnoteRef/>
      </w:r>
      <w:r>
        <w:t xml:space="preserve"> </w:t>
      </w:r>
      <w:r w:rsidR="00E02BEA">
        <w:t xml:space="preserve"> </w:t>
      </w:r>
      <w:r w:rsidR="00970DB5">
        <w:tab/>
      </w:r>
      <w:r>
        <w:t>CAISO Track 3B.2 Revised Proposal, February 26, 2021, at 10; WPTF Track 3B.2 Revised Proposal, December 18, 2020, at 7; IEP Track 3B Proposal, August 7, 2020, at 2.</w:t>
      </w:r>
    </w:p>
  </w:footnote>
  <w:footnote w:id="52">
    <w:p w14:paraId="25AC9BE5" w14:textId="77246F87" w:rsidR="00615C47" w:rsidRDefault="00615C47" w:rsidP="00351053">
      <w:pPr>
        <w:pStyle w:val="FootnoteText"/>
        <w:ind w:left="288" w:hanging="288"/>
      </w:pPr>
      <w:r>
        <w:rPr>
          <w:rStyle w:val="FootnoteReference"/>
        </w:rPr>
        <w:footnoteRef/>
      </w:r>
      <w:r>
        <w:t xml:space="preserve"> </w:t>
      </w:r>
      <w:r w:rsidR="00E02BEA">
        <w:t xml:space="preserve"> </w:t>
      </w:r>
      <w:r w:rsidR="00970DB5">
        <w:tab/>
      </w:r>
      <w:r>
        <w:t>BRTM Tracks 3B.1 and 3B.2 Comments, March 12, 2021, at 6; Calpine Track 3B.2 Comments, January 15, 2021, at 15; LS Power Tracks 3B.1, 3B.2, and 4 Comments, March 12, 2021, at 7.</w:t>
      </w:r>
    </w:p>
  </w:footnote>
  <w:footnote w:id="53">
    <w:p w14:paraId="69E55D8E" w14:textId="4B397AAF" w:rsidR="00615C47" w:rsidRDefault="00615C47" w:rsidP="00351053">
      <w:pPr>
        <w:pStyle w:val="FootnoteText"/>
        <w:ind w:left="288" w:hanging="288"/>
      </w:pPr>
      <w:r>
        <w:rPr>
          <w:rStyle w:val="FootnoteReference"/>
        </w:rPr>
        <w:footnoteRef/>
      </w:r>
      <w:r>
        <w:t xml:space="preserve"> </w:t>
      </w:r>
      <w:r w:rsidR="00E02BEA">
        <w:t xml:space="preserve"> </w:t>
      </w:r>
      <w:r w:rsidR="00970DB5">
        <w:tab/>
      </w:r>
      <w:r>
        <w:t>AReM Track 3B.2 Comments, March 12, 2021, at 6.</w:t>
      </w:r>
    </w:p>
  </w:footnote>
  <w:footnote w:id="54">
    <w:p w14:paraId="1F4307B9" w14:textId="0B620A80" w:rsidR="00615C47" w:rsidRDefault="00615C47" w:rsidP="00351053">
      <w:pPr>
        <w:pStyle w:val="FootnoteText"/>
        <w:ind w:left="288" w:hanging="288"/>
      </w:pPr>
      <w:r>
        <w:rPr>
          <w:rStyle w:val="FootnoteReference"/>
        </w:rPr>
        <w:footnoteRef/>
      </w:r>
      <w:r>
        <w:t xml:space="preserve"> </w:t>
      </w:r>
      <w:r w:rsidR="00E02BEA">
        <w:t xml:space="preserve"> </w:t>
      </w:r>
      <w:r w:rsidR="00970DB5">
        <w:tab/>
      </w:r>
      <w:r>
        <w:t>Cal Advocates Track 3B.2 Comments, March 12, 2021, at 9; PG&amp;E Track 3B.2 Comments, January 15, 2021, at 5.</w:t>
      </w:r>
    </w:p>
  </w:footnote>
  <w:footnote w:id="55">
    <w:p w14:paraId="6B5B4512" w14:textId="5F89CE8F" w:rsidR="00615C47" w:rsidRDefault="00615C47" w:rsidP="00351053">
      <w:pPr>
        <w:pStyle w:val="FootnoteText"/>
        <w:ind w:left="288" w:hanging="288"/>
      </w:pPr>
      <w:r>
        <w:rPr>
          <w:rStyle w:val="FootnoteReference"/>
        </w:rPr>
        <w:footnoteRef/>
      </w:r>
      <w:r>
        <w:t xml:space="preserve"> </w:t>
      </w:r>
      <w:r w:rsidR="00D375AB">
        <w:tab/>
      </w:r>
      <w:r>
        <w:t>D.19-02-022 at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85B7" w14:textId="662BBA7C" w:rsidR="00F4387C" w:rsidRPr="00F92385" w:rsidRDefault="00F4387C"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8BB7" w14:textId="358100AC" w:rsidR="00615C47" w:rsidRDefault="00CD0E1F" w:rsidP="00EE4315">
    <w:pPr>
      <w:pStyle w:val="Header"/>
      <w:tabs>
        <w:tab w:val="clear" w:pos="4680"/>
      </w:tabs>
      <w:ind w:firstLine="0"/>
      <w:rPr>
        <w:b/>
      </w:rPr>
    </w:pPr>
    <w:r>
      <w:t>R.19-11-</w:t>
    </w:r>
    <w:proofErr w:type="gramStart"/>
    <w:r>
      <w:t>009</w:t>
    </w:r>
    <w:r w:rsidR="00615C47">
      <w:t xml:space="preserve">  </w:t>
    </w:r>
    <w:r>
      <w:t>ALJ</w:t>
    </w:r>
    <w:proofErr w:type="gramEnd"/>
    <w:r w:rsidR="00615C47">
      <w:t>/</w:t>
    </w:r>
    <w:r>
      <w:t>DBB</w:t>
    </w:r>
    <w:r w:rsidR="00615C47">
      <w:t>/</w:t>
    </w:r>
    <w:r w:rsidR="00E02BEA">
      <w:t>AN4/</w:t>
    </w:r>
    <w:r>
      <w:t>gp2</w:t>
    </w:r>
    <w:r w:rsidR="00615C47">
      <w:tab/>
    </w:r>
  </w:p>
  <w:p w14:paraId="7AEE1213" w14:textId="77777777" w:rsidR="00CD0E1F" w:rsidRPr="00B3087D" w:rsidRDefault="00CD0E1F"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A7B107A"/>
    <w:multiLevelType w:val="hybridMultilevel"/>
    <w:tmpl w:val="1EB0CEB4"/>
    <w:lvl w:ilvl="0" w:tplc="D93EB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242C9"/>
    <w:multiLevelType w:val="multilevel"/>
    <w:tmpl w:val="81169AF6"/>
    <w:numStyleLink w:val="Headings"/>
  </w:abstractNum>
  <w:abstractNum w:abstractNumId="5" w15:restartNumberingAfterBreak="0">
    <w:nsid w:val="2C1E316E"/>
    <w:multiLevelType w:val="hybridMultilevel"/>
    <w:tmpl w:val="B044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8A9"/>
    <w:multiLevelType w:val="hybridMultilevel"/>
    <w:tmpl w:val="5128DFD8"/>
    <w:lvl w:ilvl="0" w:tplc="3544F63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F7DA7"/>
    <w:multiLevelType w:val="hybridMultilevel"/>
    <w:tmpl w:val="5128DFD8"/>
    <w:lvl w:ilvl="0" w:tplc="3544F63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1F6D42"/>
    <w:multiLevelType w:val="multilevel"/>
    <w:tmpl w:val="81169AF6"/>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35147F07"/>
    <w:multiLevelType w:val="hybridMultilevel"/>
    <w:tmpl w:val="3B98BCDE"/>
    <w:lvl w:ilvl="0" w:tplc="C8F61D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A0B6E"/>
    <w:multiLevelType w:val="hybridMultilevel"/>
    <w:tmpl w:val="E11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F0940"/>
    <w:multiLevelType w:val="hybridMultilevel"/>
    <w:tmpl w:val="72AA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0397C"/>
    <w:multiLevelType w:val="multilevel"/>
    <w:tmpl w:val="2916B580"/>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D042D7"/>
    <w:multiLevelType w:val="multilevel"/>
    <w:tmpl w:val="18F4A5AC"/>
    <w:numStyleLink w:val="FoFCoLOP"/>
  </w:abstractNum>
  <w:abstractNum w:abstractNumId="14"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668C6160"/>
    <w:multiLevelType w:val="hybridMultilevel"/>
    <w:tmpl w:val="361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6B97"/>
    <w:multiLevelType w:val="hybridMultilevel"/>
    <w:tmpl w:val="77B24728"/>
    <w:lvl w:ilvl="0" w:tplc="ACF0E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A0AFE"/>
    <w:multiLevelType w:val="multilevel"/>
    <w:tmpl w:val="18F4A5AC"/>
    <w:numStyleLink w:val="FoFCoLOP"/>
  </w:abstractNum>
  <w:abstractNum w:abstractNumId="20" w15:restartNumberingAfterBreak="0">
    <w:nsid w:val="78B74CEB"/>
    <w:multiLevelType w:val="hybridMultilevel"/>
    <w:tmpl w:val="10EC9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BC2E3D"/>
    <w:multiLevelType w:val="hybridMultilevel"/>
    <w:tmpl w:val="A3EC1DE4"/>
    <w:lvl w:ilvl="0" w:tplc="E3B8B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2"/>
  </w:num>
  <w:num w:numId="5">
    <w:abstractNumId w:val="19"/>
  </w:num>
  <w:num w:numId="6">
    <w:abstractNumId w:val="8"/>
  </w:num>
  <w:num w:numId="7">
    <w:abstractNumId w:val="4"/>
  </w:num>
  <w:num w:numId="8">
    <w:abstractNumId w:val="18"/>
  </w:num>
  <w:num w:numId="9">
    <w:abstractNumId w:val="0"/>
  </w:num>
  <w:num w:numId="10">
    <w:abstractNumId w:val="9"/>
  </w:num>
  <w:num w:numId="11">
    <w:abstractNumId w:val="20"/>
  </w:num>
  <w:num w:numId="12">
    <w:abstractNumId w:val="5"/>
  </w:num>
  <w:num w:numId="13">
    <w:abstractNumId w:val="12"/>
  </w:num>
  <w:num w:numId="14">
    <w:abstractNumId w:val="11"/>
  </w:num>
  <w:num w:numId="15">
    <w:abstractNumId w:val="1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17"/>
  </w:num>
  <w:num w:numId="38">
    <w:abstractNumId w:val="2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6"/>
  </w:num>
  <w:num w:numId="44">
    <w:abstractNumId w:val="7"/>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11"/>
    <w:rsid w:val="000006B4"/>
    <w:rsid w:val="00000F6A"/>
    <w:rsid w:val="000014DC"/>
    <w:rsid w:val="000017C6"/>
    <w:rsid w:val="00001C49"/>
    <w:rsid w:val="00001C69"/>
    <w:rsid w:val="00001DC4"/>
    <w:rsid w:val="00002383"/>
    <w:rsid w:val="00003464"/>
    <w:rsid w:val="000045EB"/>
    <w:rsid w:val="0000482F"/>
    <w:rsid w:val="00004976"/>
    <w:rsid w:val="000077A7"/>
    <w:rsid w:val="00012CBD"/>
    <w:rsid w:val="000137FA"/>
    <w:rsid w:val="000200BC"/>
    <w:rsid w:val="0002053E"/>
    <w:rsid w:val="00020BE6"/>
    <w:rsid w:val="00022C02"/>
    <w:rsid w:val="0002424E"/>
    <w:rsid w:val="00024E50"/>
    <w:rsid w:val="000255FD"/>
    <w:rsid w:val="00026139"/>
    <w:rsid w:val="00027A45"/>
    <w:rsid w:val="00031478"/>
    <w:rsid w:val="00031BCA"/>
    <w:rsid w:val="00032CB8"/>
    <w:rsid w:val="0003432F"/>
    <w:rsid w:val="00035156"/>
    <w:rsid w:val="00035371"/>
    <w:rsid w:val="00035B11"/>
    <w:rsid w:val="00035FD4"/>
    <w:rsid w:val="000367D8"/>
    <w:rsid w:val="00036C53"/>
    <w:rsid w:val="00037452"/>
    <w:rsid w:val="00040634"/>
    <w:rsid w:val="000433EB"/>
    <w:rsid w:val="00045D61"/>
    <w:rsid w:val="000467C4"/>
    <w:rsid w:val="00051BFA"/>
    <w:rsid w:val="0005233F"/>
    <w:rsid w:val="000534FE"/>
    <w:rsid w:val="000539EF"/>
    <w:rsid w:val="00054251"/>
    <w:rsid w:val="00054671"/>
    <w:rsid w:val="00054F74"/>
    <w:rsid w:val="00055359"/>
    <w:rsid w:val="000564AB"/>
    <w:rsid w:val="00056F8C"/>
    <w:rsid w:val="0006320B"/>
    <w:rsid w:val="0006328F"/>
    <w:rsid w:val="00063C9C"/>
    <w:rsid w:val="000645AD"/>
    <w:rsid w:val="00064AA8"/>
    <w:rsid w:val="00065347"/>
    <w:rsid w:val="00065B3A"/>
    <w:rsid w:val="0006676E"/>
    <w:rsid w:val="00066D6C"/>
    <w:rsid w:val="000706AA"/>
    <w:rsid w:val="0007115A"/>
    <w:rsid w:val="00071225"/>
    <w:rsid w:val="00072641"/>
    <w:rsid w:val="00072ED0"/>
    <w:rsid w:val="00073CFA"/>
    <w:rsid w:val="00073DA4"/>
    <w:rsid w:val="00075895"/>
    <w:rsid w:val="000758D7"/>
    <w:rsid w:val="0007631C"/>
    <w:rsid w:val="0007785C"/>
    <w:rsid w:val="00077F31"/>
    <w:rsid w:val="00080A1C"/>
    <w:rsid w:val="00080EDE"/>
    <w:rsid w:val="00081D2B"/>
    <w:rsid w:val="0008218D"/>
    <w:rsid w:val="0009056E"/>
    <w:rsid w:val="000906C9"/>
    <w:rsid w:val="00095B76"/>
    <w:rsid w:val="00096437"/>
    <w:rsid w:val="00096712"/>
    <w:rsid w:val="00097218"/>
    <w:rsid w:val="000973C8"/>
    <w:rsid w:val="000A0407"/>
    <w:rsid w:val="000A08B3"/>
    <w:rsid w:val="000A12DE"/>
    <w:rsid w:val="000A2A89"/>
    <w:rsid w:val="000A2AA9"/>
    <w:rsid w:val="000A2DD1"/>
    <w:rsid w:val="000A3C56"/>
    <w:rsid w:val="000A47E1"/>
    <w:rsid w:val="000A4F45"/>
    <w:rsid w:val="000A56F2"/>
    <w:rsid w:val="000A6256"/>
    <w:rsid w:val="000A6E05"/>
    <w:rsid w:val="000B014E"/>
    <w:rsid w:val="000B116F"/>
    <w:rsid w:val="000B12FA"/>
    <w:rsid w:val="000B280C"/>
    <w:rsid w:val="000B43EE"/>
    <w:rsid w:val="000B53F2"/>
    <w:rsid w:val="000C086E"/>
    <w:rsid w:val="000C08BF"/>
    <w:rsid w:val="000C292C"/>
    <w:rsid w:val="000C3B9A"/>
    <w:rsid w:val="000C3E08"/>
    <w:rsid w:val="000C548B"/>
    <w:rsid w:val="000C784C"/>
    <w:rsid w:val="000D08D0"/>
    <w:rsid w:val="000D0C84"/>
    <w:rsid w:val="000D13B3"/>
    <w:rsid w:val="000D25A8"/>
    <w:rsid w:val="000D49C7"/>
    <w:rsid w:val="000D4D72"/>
    <w:rsid w:val="000D4EC7"/>
    <w:rsid w:val="000D525D"/>
    <w:rsid w:val="000D53BC"/>
    <w:rsid w:val="000D5DE4"/>
    <w:rsid w:val="000D61BF"/>
    <w:rsid w:val="000D641B"/>
    <w:rsid w:val="000D6808"/>
    <w:rsid w:val="000E18FE"/>
    <w:rsid w:val="000E295A"/>
    <w:rsid w:val="000E4C53"/>
    <w:rsid w:val="000E5414"/>
    <w:rsid w:val="000E5640"/>
    <w:rsid w:val="000E573E"/>
    <w:rsid w:val="000E5CB4"/>
    <w:rsid w:val="000F0449"/>
    <w:rsid w:val="000F05B0"/>
    <w:rsid w:val="000F153E"/>
    <w:rsid w:val="000F187F"/>
    <w:rsid w:val="000F2AE2"/>
    <w:rsid w:val="000F3A63"/>
    <w:rsid w:val="000F57AD"/>
    <w:rsid w:val="000F7437"/>
    <w:rsid w:val="000F7506"/>
    <w:rsid w:val="000F7860"/>
    <w:rsid w:val="001000F6"/>
    <w:rsid w:val="00101AA5"/>
    <w:rsid w:val="00102FA2"/>
    <w:rsid w:val="001037CA"/>
    <w:rsid w:val="00104E8F"/>
    <w:rsid w:val="001062ED"/>
    <w:rsid w:val="0010767D"/>
    <w:rsid w:val="00107708"/>
    <w:rsid w:val="001108DE"/>
    <w:rsid w:val="001120FF"/>
    <w:rsid w:val="00112605"/>
    <w:rsid w:val="00112871"/>
    <w:rsid w:val="00116BE9"/>
    <w:rsid w:val="00117F62"/>
    <w:rsid w:val="0012039D"/>
    <w:rsid w:val="001209A7"/>
    <w:rsid w:val="00120A0A"/>
    <w:rsid w:val="00120CC1"/>
    <w:rsid w:val="00121089"/>
    <w:rsid w:val="00122DC9"/>
    <w:rsid w:val="001243A9"/>
    <w:rsid w:val="00124722"/>
    <w:rsid w:val="001254D2"/>
    <w:rsid w:val="00125EAA"/>
    <w:rsid w:val="00125F2D"/>
    <w:rsid w:val="00127C39"/>
    <w:rsid w:val="001308DB"/>
    <w:rsid w:val="00131459"/>
    <w:rsid w:val="001319B7"/>
    <w:rsid w:val="00132500"/>
    <w:rsid w:val="00132921"/>
    <w:rsid w:val="00133ABC"/>
    <w:rsid w:val="001342BB"/>
    <w:rsid w:val="00134953"/>
    <w:rsid w:val="00134AED"/>
    <w:rsid w:val="00134B8B"/>
    <w:rsid w:val="001365FF"/>
    <w:rsid w:val="00136624"/>
    <w:rsid w:val="00137CED"/>
    <w:rsid w:val="00140159"/>
    <w:rsid w:val="00140736"/>
    <w:rsid w:val="00140D24"/>
    <w:rsid w:val="00142011"/>
    <w:rsid w:val="001436AC"/>
    <w:rsid w:val="00143F59"/>
    <w:rsid w:val="001448AB"/>
    <w:rsid w:val="00145F34"/>
    <w:rsid w:val="00146CB1"/>
    <w:rsid w:val="00146D6F"/>
    <w:rsid w:val="00147A29"/>
    <w:rsid w:val="00147FE1"/>
    <w:rsid w:val="0015097D"/>
    <w:rsid w:val="00150AE8"/>
    <w:rsid w:val="00150DD0"/>
    <w:rsid w:val="00151A4E"/>
    <w:rsid w:val="00152707"/>
    <w:rsid w:val="00152A9C"/>
    <w:rsid w:val="0015497A"/>
    <w:rsid w:val="00154B19"/>
    <w:rsid w:val="00154CB6"/>
    <w:rsid w:val="00155088"/>
    <w:rsid w:val="00156891"/>
    <w:rsid w:val="00156EE2"/>
    <w:rsid w:val="001612AB"/>
    <w:rsid w:val="00161F56"/>
    <w:rsid w:val="001622E8"/>
    <w:rsid w:val="001632D8"/>
    <w:rsid w:val="001640AA"/>
    <w:rsid w:val="00164230"/>
    <w:rsid w:val="001643EE"/>
    <w:rsid w:val="001645A0"/>
    <w:rsid w:val="00165190"/>
    <w:rsid w:val="00166BB6"/>
    <w:rsid w:val="0017110E"/>
    <w:rsid w:val="00173B55"/>
    <w:rsid w:val="00173FC6"/>
    <w:rsid w:val="0017427B"/>
    <w:rsid w:val="001751FF"/>
    <w:rsid w:val="0017644A"/>
    <w:rsid w:val="001764CF"/>
    <w:rsid w:val="00177183"/>
    <w:rsid w:val="00180760"/>
    <w:rsid w:val="00181636"/>
    <w:rsid w:val="00181F6A"/>
    <w:rsid w:val="00183D66"/>
    <w:rsid w:val="00184B39"/>
    <w:rsid w:val="00184E5B"/>
    <w:rsid w:val="00185DFC"/>
    <w:rsid w:val="0019044B"/>
    <w:rsid w:val="00190486"/>
    <w:rsid w:val="00190AAB"/>
    <w:rsid w:val="001916A3"/>
    <w:rsid w:val="001926AD"/>
    <w:rsid w:val="00192C2B"/>
    <w:rsid w:val="00192C31"/>
    <w:rsid w:val="00192E82"/>
    <w:rsid w:val="00193A9A"/>
    <w:rsid w:val="00193B81"/>
    <w:rsid w:val="00194D30"/>
    <w:rsid w:val="001955BE"/>
    <w:rsid w:val="001955E7"/>
    <w:rsid w:val="00195EA8"/>
    <w:rsid w:val="00196EF6"/>
    <w:rsid w:val="001A06CD"/>
    <w:rsid w:val="001A3032"/>
    <w:rsid w:val="001A41C7"/>
    <w:rsid w:val="001A4420"/>
    <w:rsid w:val="001A5156"/>
    <w:rsid w:val="001A7F68"/>
    <w:rsid w:val="001B0A03"/>
    <w:rsid w:val="001B15C2"/>
    <w:rsid w:val="001B1684"/>
    <w:rsid w:val="001B1D8C"/>
    <w:rsid w:val="001B1DE7"/>
    <w:rsid w:val="001B2846"/>
    <w:rsid w:val="001B295F"/>
    <w:rsid w:val="001B4CD0"/>
    <w:rsid w:val="001B4E5D"/>
    <w:rsid w:val="001B56F5"/>
    <w:rsid w:val="001B66D0"/>
    <w:rsid w:val="001B6818"/>
    <w:rsid w:val="001B708A"/>
    <w:rsid w:val="001C0586"/>
    <w:rsid w:val="001C08AC"/>
    <w:rsid w:val="001C1417"/>
    <w:rsid w:val="001C1CED"/>
    <w:rsid w:val="001C2A49"/>
    <w:rsid w:val="001C363F"/>
    <w:rsid w:val="001C3F60"/>
    <w:rsid w:val="001C4303"/>
    <w:rsid w:val="001C45E8"/>
    <w:rsid w:val="001C487B"/>
    <w:rsid w:val="001C4BB6"/>
    <w:rsid w:val="001C5767"/>
    <w:rsid w:val="001C7ADE"/>
    <w:rsid w:val="001C7E14"/>
    <w:rsid w:val="001C7EB1"/>
    <w:rsid w:val="001D068A"/>
    <w:rsid w:val="001D57AB"/>
    <w:rsid w:val="001D6792"/>
    <w:rsid w:val="001D6946"/>
    <w:rsid w:val="001E0706"/>
    <w:rsid w:val="001E0C5B"/>
    <w:rsid w:val="001E0F51"/>
    <w:rsid w:val="001E1D15"/>
    <w:rsid w:val="001E1FB0"/>
    <w:rsid w:val="001E2A62"/>
    <w:rsid w:val="001E3B24"/>
    <w:rsid w:val="001E63D3"/>
    <w:rsid w:val="001E6426"/>
    <w:rsid w:val="001E78AB"/>
    <w:rsid w:val="001E78F8"/>
    <w:rsid w:val="001E79AB"/>
    <w:rsid w:val="001F0FF1"/>
    <w:rsid w:val="001F1840"/>
    <w:rsid w:val="001F1867"/>
    <w:rsid w:val="001F25FD"/>
    <w:rsid w:val="001F2819"/>
    <w:rsid w:val="001F2A11"/>
    <w:rsid w:val="001F401B"/>
    <w:rsid w:val="001F46B7"/>
    <w:rsid w:val="001F481E"/>
    <w:rsid w:val="001F669B"/>
    <w:rsid w:val="001F6AB3"/>
    <w:rsid w:val="001F6BE3"/>
    <w:rsid w:val="001F6EF5"/>
    <w:rsid w:val="002009DE"/>
    <w:rsid w:val="00201F10"/>
    <w:rsid w:val="0020207D"/>
    <w:rsid w:val="002021A7"/>
    <w:rsid w:val="002021EA"/>
    <w:rsid w:val="00202D2A"/>
    <w:rsid w:val="00202DCF"/>
    <w:rsid w:val="002031D3"/>
    <w:rsid w:val="00203890"/>
    <w:rsid w:val="00204000"/>
    <w:rsid w:val="002043EC"/>
    <w:rsid w:val="002046EF"/>
    <w:rsid w:val="002062CD"/>
    <w:rsid w:val="00206CD3"/>
    <w:rsid w:val="0020746A"/>
    <w:rsid w:val="002074B2"/>
    <w:rsid w:val="00212120"/>
    <w:rsid w:val="00212C39"/>
    <w:rsid w:val="0021552A"/>
    <w:rsid w:val="00215C37"/>
    <w:rsid w:val="00216916"/>
    <w:rsid w:val="00217590"/>
    <w:rsid w:val="00220586"/>
    <w:rsid w:val="00220B13"/>
    <w:rsid w:val="00221D20"/>
    <w:rsid w:val="00222B78"/>
    <w:rsid w:val="00223667"/>
    <w:rsid w:val="00223EDA"/>
    <w:rsid w:val="00224C58"/>
    <w:rsid w:val="002256D0"/>
    <w:rsid w:val="00225A8B"/>
    <w:rsid w:val="00226065"/>
    <w:rsid w:val="00226BED"/>
    <w:rsid w:val="00226C77"/>
    <w:rsid w:val="00226E37"/>
    <w:rsid w:val="0023221F"/>
    <w:rsid w:val="002327AE"/>
    <w:rsid w:val="002347FA"/>
    <w:rsid w:val="00235038"/>
    <w:rsid w:val="00235D3D"/>
    <w:rsid w:val="00237E32"/>
    <w:rsid w:val="00240F18"/>
    <w:rsid w:val="00241256"/>
    <w:rsid w:val="00243DC0"/>
    <w:rsid w:val="00244360"/>
    <w:rsid w:val="002443E4"/>
    <w:rsid w:val="00244433"/>
    <w:rsid w:val="00244609"/>
    <w:rsid w:val="00244A07"/>
    <w:rsid w:val="0024517F"/>
    <w:rsid w:val="00245FDF"/>
    <w:rsid w:val="0024606F"/>
    <w:rsid w:val="00247477"/>
    <w:rsid w:val="00250152"/>
    <w:rsid w:val="00250B99"/>
    <w:rsid w:val="002525BE"/>
    <w:rsid w:val="002551E2"/>
    <w:rsid w:val="00255915"/>
    <w:rsid w:val="00255B04"/>
    <w:rsid w:val="002561CC"/>
    <w:rsid w:val="0025662A"/>
    <w:rsid w:val="00257BA6"/>
    <w:rsid w:val="00257D7E"/>
    <w:rsid w:val="00260994"/>
    <w:rsid w:val="00262706"/>
    <w:rsid w:val="00263615"/>
    <w:rsid w:val="00265125"/>
    <w:rsid w:val="002661B6"/>
    <w:rsid w:val="00270440"/>
    <w:rsid w:val="0027145D"/>
    <w:rsid w:val="0027218B"/>
    <w:rsid w:val="002722ED"/>
    <w:rsid w:val="0027498F"/>
    <w:rsid w:val="00275A49"/>
    <w:rsid w:val="00275CD7"/>
    <w:rsid w:val="0028042C"/>
    <w:rsid w:val="00281AB7"/>
    <w:rsid w:val="00282ABB"/>
    <w:rsid w:val="00283830"/>
    <w:rsid w:val="00284F2A"/>
    <w:rsid w:val="0028531B"/>
    <w:rsid w:val="002854E9"/>
    <w:rsid w:val="0028618C"/>
    <w:rsid w:val="00287910"/>
    <w:rsid w:val="00290153"/>
    <w:rsid w:val="00291094"/>
    <w:rsid w:val="002926C5"/>
    <w:rsid w:val="00292CD7"/>
    <w:rsid w:val="00293CD6"/>
    <w:rsid w:val="00293DEE"/>
    <w:rsid w:val="0029455D"/>
    <w:rsid w:val="002949DF"/>
    <w:rsid w:val="00294DC1"/>
    <w:rsid w:val="002954AE"/>
    <w:rsid w:val="002955C4"/>
    <w:rsid w:val="002961EE"/>
    <w:rsid w:val="00297DDD"/>
    <w:rsid w:val="00297E3A"/>
    <w:rsid w:val="002A0B5D"/>
    <w:rsid w:val="002A0C04"/>
    <w:rsid w:val="002A1202"/>
    <w:rsid w:val="002A1766"/>
    <w:rsid w:val="002A2886"/>
    <w:rsid w:val="002A4009"/>
    <w:rsid w:val="002A44C4"/>
    <w:rsid w:val="002A4556"/>
    <w:rsid w:val="002A5AAE"/>
    <w:rsid w:val="002B0CBF"/>
    <w:rsid w:val="002B1A24"/>
    <w:rsid w:val="002B1B0B"/>
    <w:rsid w:val="002B2AD6"/>
    <w:rsid w:val="002B7551"/>
    <w:rsid w:val="002B7573"/>
    <w:rsid w:val="002B773B"/>
    <w:rsid w:val="002C2E53"/>
    <w:rsid w:val="002C2F53"/>
    <w:rsid w:val="002C3162"/>
    <w:rsid w:val="002C370C"/>
    <w:rsid w:val="002C448E"/>
    <w:rsid w:val="002C4F69"/>
    <w:rsid w:val="002C7FE9"/>
    <w:rsid w:val="002D2D11"/>
    <w:rsid w:val="002D3758"/>
    <w:rsid w:val="002D3C17"/>
    <w:rsid w:val="002D4EFD"/>
    <w:rsid w:val="002D536B"/>
    <w:rsid w:val="002E117E"/>
    <w:rsid w:val="002E29FA"/>
    <w:rsid w:val="002E3936"/>
    <w:rsid w:val="002E3A83"/>
    <w:rsid w:val="002E4948"/>
    <w:rsid w:val="002E662C"/>
    <w:rsid w:val="002E7643"/>
    <w:rsid w:val="002E7BD9"/>
    <w:rsid w:val="002E7CF2"/>
    <w:rsid w:val="002E7FF7"/>
    <w:rsid w:val="002F21A0"/>
    <w:rsid w:val="002F3034"/>
    <w:rsid w:val="002F4336"/>
    <w:rsid w:val="002F4437"/>
    <w:rsid w:val="002F44D4"/>
    <w:rsid w:val="002F45DB"/>
    <w:rsid w:val="002F4BE6"/>
    <w:rsid w:val="002F5399"/>
    <w:rsid w:val="002F6BEB"/>
    <w:rsid w:val="002F7A36"/>
    <w:rsid w:val="002F7DF1"/>
    <w:rsid w:val="00300EC3"/>
    <w:rsid w:val="003019B2"/>
    <w:rsid w:val="00301FEB"/>
    <w:rsid w:val="003034B3"/>
    <w:rsid w:val="00303BBE"/>
    <w:rsid w:val="0030408B"/>
    <w:rsid w:val="00304710"/>
    <w:rsid w:val="00305E73"/>
    <w:rsid w:val="0031239A"/>
    <w:rsid w:val="00313A23"/>
    <w:rsid w:val="00313B59"/>
    <w:rsid w:val="00313C8B"/>
    <w:rsid w:val="00313CCF"/>
    <w:rsid w:val="0031451E"/>
    <w:rsid w:val="00315233"/>
    <w:rsid w:val="00316071"/>
    <w:rsid w:val="003175DF"/>
    <w:rsid w:val="003209A7"/>
    <w:rsid w:val="0032214B"/>
    <w:rsid w:val="0032390A"/>
    <w:rsid w:val="00324C95"/>
    <w:rsid w:val="003266DA"/>
    <w:rsid w:val="0032796D"/>
    <w:rsid w:val="0033016F"/>
    <w:rsid w:val="00330309"/>
    <w:rsid w:val="003307D7"/>
    <w:rsid w:val="00330C5F"/>
    <w:rsid w:val="00332259"/>
    <w:rsid w:val="00333955"/>
    <w:rsid w:val="00335C61"/>
    <w:rsid w:val="0033616D"/>
    <w:rsid w:val="00337080"/>
    <w:rsid w:val="003378EF"/>
    <w:rsid w:val="003411E5"/>
    <w:rsid w:val="003439D1"/>
    <w:rsid w:val="00343E5C"/>
    <w:rsid w:val="00344E4B"/>
    <w:rsid w:val="003455BB"/>
    <w:rsid w:val="003466BD"/>
    <w:rsid w:val="00346924"/>
    <w:rsid w:val="00346B48"/>
    <w:rsid w:val="00350080"/>
    <w:rsid w:val="00350A38"/>
    <w:rsid w:val="00351053"/>
    <w:rsid w:val="00351A0D"/>
    <w:rsid w:val="0035251C"/>
    <w:rsid w:val="00353367"/>
    <w:rsid w:val="00353403"/>
    <w:rsid w:val="00353758"/>
    <w:rsid w:val="00353C23"/>
    <w:rsid w:val="003550AC"/>
    <w:rsid w:val="0036017B"/>
    <w:rsid w:val="00361DC6"/>
    <w:rsid w:val="00362755"/>
    <w:rsid w:val="00364338"/>
    <w:rsid w:val="003645FD"/>
    <w:rsid w:val="00364887"/>
    <w:rsid w:val="00365C12"/>
    <w:rsid w:val="00371AE4"/>
    <w:rsid w:val="00373B93"/>
    <w:rsid w:val="0037538D"/>
    <w:rsid w:val="003763A1"/>
    <w:rsid w:val="003820C8"/>
    <w:rsid w:val="00383DFA"/>
    <w:rsid w:val="00384247"/>
    <w:rsid w:val="00386059"/>
    <w:rsid w:val="00386989"/>
    <w:rsid w:val="00386B6F"/>
    <w:rsid w:val="0038717D"/>
    <w:rsid w:val="0038731D"/>
    <w:rsid w:val="003874FB"/>
    <w:rsid w:val="00390494"/>
    <w:rsid w:val="00390BAF"/>
    <w:rsid w:val="00391C23"/>
    <w:rsid w:val="00391D98"/>
    <w:rsid w:val="00391FD8"/>
    <w:rsid w:val="00392688"/>
    <w:rsid w:val="003941B5"/>
    <w:rsid w:val="00394437"/>
    <w:rsid w:val="00394B39"/>
    <w:rsid w:val="0039511A"/>
    <w:rsid w:val="00396113"/>
    <w:rsid w:val="00396A0A"/>
    <w:rsid w:val="00397656"/>
    <w:rsid w:val="003A217F"/>
    <w:rsid w:val="003A38F0"/>
    <w:rsid w:val="003A4686"/>
    <w:rsid w:val="003A6C82"/>
    <w:rsid w:val="003A7A98"/>
    <w:rsid w:val="003A7D41"/>
    <w:rsid w:val="003A7DFD"/>
    <w:rsid w:val="003B250E"/>
    <w:rsid w:val="003B25BC"/>
    <w:rsid w:val="003B313B"/>
    <w:rsid w:val="003B3776"/>
    <w:rsid w:val="003B5AFC"/>
    <w:rsid w:val="003C281E"/>
    <w:rsid w:val="003C40A9"/>
    <w:rsid w:val="003C4632"/>
    <w:rsid w:val="003C49DF"/>
    <w:rsid w:val="003C68C1"/>
    <w:rsid w:val="003C7107"/>
    <w:rsid w:val="003C741E"/>
    <w:rsid w:val="003C7BAB"/>
    <w:rsid w:val="003D1886"/>
    <w:rsid w:val="003D536B"/>
    <w:rsid w:val="003D59EB"/>
    <w:rsid w:val="003D6C37"/>
    <w:rsid w:val="003D7709"/>
    <w:rsid w:val="003E0352"/>
    <w:rsid w:val="003E164A"/>
    <w:rsid w:val="003E2056"/>
    <w:rsid w:val="003E29AD"/>
    <w:rsid w:val="003E335D"/>
    <w:rsid w:val="003E3E21"/>
    <w:rsid w:val="003E4712"/>
    <w:rsid w:val="003E4A51"/>
    <w:rsid w:val="003E5AC7"/>
    <w:rsid w:val="003E6580"/>
    <w:rsid w:val="003E6EC6"/>
    <w:rsid w:val="003F0727"/>
    <w:rsid w:val="003F08A7"/>
    <w:rsid w:val="003F0F25"/>
    <w:rsid w:val="003F205C"/>
    <w:rsid w:val="003F2773"/>
    <w:rsid w:val="003F287C"/>
    <w:rsid w:val="003F2C05"/>
    <w:rsid w:val="003F33DE"/>
    <w:rsid w:val="003F3B14"/>
    <w:rsid w:val="003F3DED"/>
    <w:rsid w:val="003F4285"/>
    <w:rsid w:val="003F4329"/>
    <w:rsid w:val="003F438B"/>
    <w:rsid w:val="003F6B2F"/>
    <w:rsid w:val="003F6C2C"/>
    <w:rsid w:val="003F79A8"/>
    <w:rsid w:val="004006D5"/>
    <w:rsid w:val="00400754"/>
    <w:rsid w:val="00400B64"/>
    <w:rsid w:val="00400DB7"/>
    <w:rsid w:val="00400EC6"/>
    <w:rsid w:val="0040219F"/>
    <w:rsid w:val="004021D2"/>
    <w:rsid w:val="0040354A"/>
    <w:rsid w:val="004049C1"/>
    <w:rsid w:val="004055FA"/>
    <w:rsid w:val="004064C1"/>
    <w:rsid w:val="00406BC0"/>
    <w:rsid w:val="00410983"/>
    <w:rsid w:val="00411880"/>
    <w:rsid w:val="00412534"/>
    <w:rsid w:val="00412C83"/>
    <w:rsid w:val="00413FA1"/>
    <w:rsid w:val="0041495F"/>
    <w:rsid w:val="0042164F"/>
    <w:rsid w:val="00421DF4"/>
    <w:rsid w:val="00423A82"/>
    <w:rsid w:val="00423EBF"/>
    <w:rsid w:val="00424421"/>
    <w:rsid w:val="00424865"/>
    <w:rsid w:val="00426014"/>
    <w:rsid w:val="0043112A"/>
    <w:rsid w:val="00432783"/>
    <w:rsid w:val="004327B4"/>
    <w:rsid w:val="00432806"/>
    <w:rsid w:val="004336A2"/>
    <w:rsid w:val="004343F6"/>
    <w:rsid w:val="0043461B"/>
    <w:rsid w:val="00437AB8"/>
    <w:rsid w:val="0044035D"/>
    <w:rsid w:val="00441037"/>
    <w:rsid w:val="00441E1C"/>
    <w:rsid w:val="00442F66"/>
    <w:rsid w:val="004433AA"/>
    <w:rsid w:val="00443581"/>
    <w:rsid w:val="0044396E"/>
    <w:rsid w:val="00443A05"/>
    <w:rsid w:val="00446142"/>
    <w:rsid w:val="004461F0"/>
    <w:rsid w:val="00446CCD"/>
    <w:rsid w:val="00447101"/>
    <w:rsid w:val="00450105"/>
    <w:rsid w:val="004508F5"/>
    <w:rsid w:val="00452C93"/>
    <w:rsid w:val="00455DFE"/>
    <w:rsid w:val="00455F5E"/>
    <w:rsid w:val="00456907"/>
    <w:rsid w:val="00457326"/>
    <w:rsid w:val="00457392"/>
    <w:rsid w:val="004579EA"/>
    <w:rsid w:val="00460039"/>
    <w:rsid w:val="004608CB"/>
    <w:rsid w:val="00460A07"/>
    <w:rsid w:val="00460B7D"/>
    <w:rsid w:val="00461588"/>
    <w:rsid w:val="00461CF4"/>
    <w:rsid w:val="0046285C"/>
    <w:rsid w:val="00462DA7"/>
    <w:rsid w:val="00467450"/>
    <w:rsid w:val="00467899"/>
    <w:rsid w:val="00471EE8"/>
    <w:rsid w:val="004723AF"/>
    <w:rsid w:val="004731B0"/>
    <w:rsid w:val="00473DD7"/>
    <w:rsid w:val="00473F60"/>
    <w:rsid w:val="00474B34"/>
    <w:rsid w:val="00474BA6"/>
    <w:rsid w:val="0047645A"/>
    <w:rsid w:val="0047649B"/>
    <w:rsid w:val="004805CD"/>
    <w:rsid w:val="00480CB0"/>
    <w:rsid w:val="00481306"/>
    <w:rsid w:val="00484413"/>
    <w:rsid w:val="00485933"/>
    <w:rsid w:val="00486A1C"/>
    <w:rsid w:val="00487031"/>
    <w:rsid w:val="0048744E"/>
    <w:rsid w:val="004906BD"/>
    <w:rsid w:val="004924B5"/>
    <w:rsid w:val="004968EC"/>
    <w:rsid w:val="004972A3"/>
    <w:rsid w:val="004979E2"/>
    <w:rsid w:val="00497C31"/>
    <w:rsid w:val="004A0591"/>
    <w:rsid w:val="004A1E10"/>
    <w:rsid w:val="004A264E"/>
    <w:rsid w:val="004A2881"/>
    <w:rsid w:val="004A321F"/>
    <w:rsid w:val="004A348D"/>
    <w:rsid w:val="004A3C1B"/>
    <w:rsid w:val="004A3C4C"/>
    <w:rsid w:val="004A3CB6"/>
    <w:rsid w:val="004A4053"/>
    <w:rsid w:val="004A4353"/>
    <w:rsid w:val="004A470E"/>
    <w:rsid w:val="004A4D39"/>
    <w:rsid w:val="004A515D"/>
    <w:rsid w:val="004A53EB"/>
    <w:rsid w:val="004A54A5"/>
    <w:rsid w:val="004A578D"/>
    <w:rsid w:val="004A61E7"/>
    <w:rsid w:val="004A6263"/>
    <w:rsid w:val="004A6E30"/>
    <w:rsid w:val="004A6EF7"/>
    <w:rsid w:val="004B07D1"/>
    <w:rsid w:val="004B0B73"/>
    <w:rsid w:val="004B1290"/>
    <w:rsid w:val="004B2DAA"/>
    <w:rsid w:val="004B2DF7"/>
    <w:rsid w:val="004B34EA"/>
    <w:rsid w:val="004B50E4"/>
    <w:rsid w:val="004B5494"/>
    <w:rsid w:val="004B5997"/>
    <w:rsid w:val="004B7479"/>
    <w:rsid w:val="004C02A9"/>
    <w:rsid w:val="004C0D75"/>
    <w:rsid w:val="004C1055"/>
    <w:rsid w:val="004C18CD"/>
    <w:rsid w:val="004C217B"/>
    <w:rsid w:val="004C282A"/>
    <w:rsid w:val="004C3E1E"/>
    <w:rsid w:val="004C3F68"/>
    <w:rsid w:val="004C4D4E"/>
    <w:rsid w:val="004C4FDD"/>
    <w:rsid w:val="004C62F3"/>
    <w:rsid w:val="004C6407"/>
    <w:rsid w:val="004C6B6F"/>
    <w:rsid w:val="004C7D3A"/>
    <w:rsid w:val="004D0046"/>
    <w:rsid w:val="004D0242"/>
    <w:rsid w:val="004D0D27"/>
    <w:rsid w:val="004D15B8"/>
    <w:rsid w:val="004D2050"/>
    <w:rsid w:val="004D25F6"/>
    <w:rsid w:val="004D31F5"/>
    <w:rsid w:val="004D455A"/>
    <w:rsid w:val="004D6085"/>
    <w:rsid w:val="004D6E73"/>
    <w:rsid w:val="004E24B2"/>
    <w:rsid w:val="004E3827"/>
    <w:rsid w:val="004E3859"/>
    <w:rsid w:val="004E3DE3"/>
    <w:rsid w:val="004E51CF"/>
    <w:rsid w:val="004E5896"/>
    <w:rsid w:val="004E5FE4"/>
    <w:rsid w:val="004E601C"/>
    <w:rsid w:val="004E65C2"/>
    <w:rsid w:val="004E73B2"/>
    <w:rsid w:val="004E748E"/>
    <w:rsid w:val="004E75A7"/>
    <w:rsid w:val="004E788D"/>
    <w:rsid w:val="004F169D"/>
    <w:rsid w:val="004F1D3E"/>
    <w:rsid w:val="004F4B90"/>
    <w:rsid w:val="004F6A32"/>
    <w:rsid w:val="005002E5"/>
    <w:rsid w:val="005018A8"/>
    <w:rsid w:val="00502C05"/>
    <w:rsid w:val="00503A7F"/>
    <w:rsid w:val="00505A39"/>
    <w:rsid w:val="00506189"/>
    <w:rsid w:val="00510909"/>
    <w:rsid w:val="00510B88"/>
    <w:rsid w:val="00510B9E"/>
    <w:rsid w:val="00511AA3"/>
    <w:rsid w:val="00516348"/>
    <w:rsid w:val="005166D4"/>
    <w:rsid w:val="0051738A"/>
    <w:rsid w:val="00521282"/>
    <w:rsid w:val="005218EA"/>
    <w:rsid w:val="00521BE2"/>
    <w:rsid w:val="00522CCB"/>
    <w:rsid w:val="005240BF"/>
    <w:rsid w:val="005276FE"/>
    <w:rsid w:val="00527ADA"/>
    <w:rsid w:val="0053248B"/>
    <w:rsid w:val="005329D1"/>
    <w:rsid w:val="0053493A"/>
    <w:rsid w:val="00535773"/>
    <w:rsid w:val="00536647"/>
    <w:rsid w:val="00540380"/>
    <w:rsid w:val="00540978"/>
    <w:rsid w:val="0054152E"/>
    <w:rsid w:val="00541A62"/>
    <w:rsid w:val="00541A72"/>
    <w:rsid w:val="00542629"/>
    <w:rsid w:val="00542976"/>
    <w:rsid w:val="00542C7A"/>
    <w:rsid w:val="005445A1"/>
    <w:rsid w:val="005459C9"/>
    <w:rsid w:val="00546499"/>
    <w:rsid w:val="00546B2A"/>
    <w:rsid w:val="00547BEE"/>
    <w:rsid w:val="00551641"/>
    <w:rsid w:val="0055245C"/>
    <w:rsid w:val="00554102"/>
    <w:rsid w:val="00554D60"/>
    <w:rsid w:val="00555DC9"/>
    <w:rsid w:val="005568BD"/>
    <w:rsid w:val="00556EF5"/>
    <w:rsid w:val="00560949"/>
    <w:rsid w:val="00561812"/>
    <w:rsid w:val="005626A6"/>
    <w:rsid w:val="00563768"/>
    <w:rsid w:val="00563BA1"/>
    <w:rsid w:val="0056424D"/>
    <w:rsid w:val="00564F4C"/>
    <w:rsid w:val="00567C5C"/>
    <w:rsid w:val="00570C05"/>
    <w:rsid w:val="005717B1"/>
    <w:rsid w:val="005718A1"/>
    <w:rsid w:val="00571BA9"/>
    <w:rsid w:val="0057318A"/>
    <w:rsid w:val="00573C34"/>
    <w:rsid w:val="0057420F"/>
    <w:rsid w:val="00575D3F"/>
    <w:rsid w:val="005779A5"/>
    <w:rsid w:val="00577CF5"/>
    <w:rsid w:val="00580B2F"/>
    <w:rsid w:val="0058127A"/>
    <w:rsid w:val="00582338"/>
    <w:rsid w:val="00582344"/>
    <w:rsid w:val="0058535F"/>
    <w:rsid w:val="00585390"/>
    <w:rsid w:val="005875AB"/>
    <w:rsid w:val="00591C3E"/>
    <w:rsid w:val="005929AC"/>
    <w:rsid w:val="0059307C"/>
    <w:rsid w:val="005939A5"/>
    <w:rsid w:val="005939D6"/>
    <w:rsid w:val="00595F0E"/>
    <w:rsid w:val="005965A1"/>
    <w:rsid w:val="00596687"/>
    <w:rsid w:val="005975BE"/>
    <w:rsid w:val="00597EA4"/>
    <w:rsid w:val="005A06A2"/>
    <w:rsid w:val="005A0B7A"/>
    <w:rsid w:val="005A148C"/>
    <w:rsid w:val="005A1CE4"/>
    <w:rsid w:val="005A2AF8"/>
    <w:rsid w:val="005A510D"/>
    <w:rsid w:val="005A55BA"/>
    <w:rsid w:val="005A5B12"/>
    <w:rsid w:val="005A6BDD"/>
    <w:rsid w:val="005B0444"/>
    <w:rsid w:val="005B0DDF"/>
    <w:rsid w:val="005B1E3D"/>
    <w:rsid w:val="005B1FC8"/>
    <w:rsid w:val="005B2A3A"/>
    <w:rsid w:val="005B2F8A"/>
    <w:rsid w:val="005B3B45"/>
    <w:rsid w:val="005B3D7B"/>
    <w:rsid w:val="005B57A0"/>
    <w:rsid w:val="005B7038"/>
    <w:rsid w:val="005C09D3"/>
    <w:rsid w:val="005C0DB3"/>
    <w:rsid w:val="005C0F72"/>
    <w:rsid w:val="005C2329"/>
    <w:rsid w:val="005C30A1"/>
    <w:rsid w:val="005C4090"/>
    <w:rsid w:val="005C435F"/>
    <w:rsid w:val="005C6DE9"/>
    <w:rsid w:val="005C6E9B"/>
    <w:rsid w:val="005C79D8"/>
    <w:rsid w:val="005D0108"/>
    <w:rsid w:val="005D1020"/>
    <w:rsid w:val="005D11C2"/>
    <w:rsid w:val="005D14DF"/>
    <w:rsid w:val="005D30F2"/>
    <w:rsid w:val="005D32CB"/>
    <w:rsid w:val="005D56F3"/>
    <w:rsid w:val="005D5F20"/>
    <w:rsid w:val="005D6F2E"/>
    <w:rsid w:val="005D72F6"/>
    <w:rsid w:val="005E0BE6"/>
    <w:rsid w:val="005E0DE3"/>
    <w:rsid w:val="005E1811"/>
    <w:rsid w:val="005E20AA"/>
    <w:rsid w:val="005E282D"/>
    <w:rsid w:val="005E2E79"/>
    <w:rsid w:val="005E322A"/>
    <w:rsid w:val="005E3D3B"/>
    <w:rsid w:val="005E51D4"/>
    <w:rsid w:val="005E5388"/>
    <w:rsid w:val="005E7094"/>
    <w:rsid w:val="005F1112"/>
    <w:rsid w:val="005F2315"/>
    <w:rsid w:val="005F2729"/>
    <w:rsid w:val="005F6006"/>
    <w:rsid w:val="005F6425"/>
    <w:rsid w:val="005F6651"/>
    <w:rsid w:val="005F7128"/>
    <w:rsid w:val="006038B6"/>
    <w:rsid w:val="006059D9"/>
    <w:rsid w:val="00606162"/>
    <w:rsid w:val="00606DAE"/>
    <w:rsid w:val="006101DF"/>
    <w:rsid w:val="00610443"/>
    <w:rsid w:val="00611811"/>
    <w:rsid w:val="00611851"/>
    <w:rsid w:val="00612B18"/>
    <w:rsid w:val="006132F4"/>
    <w:rsid w:val="006136E5"/>
    <w:rsid w:val="00613C3B"/>
    <w:rsid w:val="006145F2"/>
    <w:rsid w:val="006152A0"/>
    <w:rsid w:val="00615B5E"/>
    <w:rsid w:val="00615C47"/>
    <w:rsid w:val="00615F0F"/>
    <w:rsid w:val="0061758E"/>
    <w:rsid w:val="006200C3"/>
    <w:rsid w:val="00620E10"/>
    <w:rsid w:val="00620E72"/>
    <w:rsid w:val="006218DB"/>
    <w:rsid w:val="00621CA1"/>
    <w:rsid w:val="00622018"/>
    <w:rsid w:val="00623C79"/>
    <w:rsid w:val="0062414A"/>
    <w:rsid w:val="00624CDF"/>
    <w:rsid w:val="00624D22"/>
    <w:rsid w:val="00624E97"/>
    <w:rsid w:val="00624FCD"/>
    <w:rsid w:val="006250ED"/>
    <w:rsid w:val="00625A18"/>
    <w:rsid w:val="00625AA8"/>
    <w:rsid w:val="00627B2B"/>
    <w:rsid w:val="00627EE8"/>
    <w:rsid w:val="006306F9"/>
    <w:rsid w:val="006308AD"/>
    <w:rsid w:val="006313CC"/>
    <w:rsid w:val="00632207"/>
    <w:rsid w:val="00633022"/>
    <w:rsid w:val="006332DC"/>
    <w:rsid w:val="00634651"/>
    <w:rsid w:val="0063491C"/>
    <w:rsid w:val="00635562"/>
    <w:rsid w:val="0063596E"/>
    <w:rsid w:val="00636CE3"/>
    <w:rsid w:val="006370C8"/>
    <w:rsid w:val="00637769"/>
    <w:rsid w:val="00641FFB"/>
    <w:rsid w:val="00642734"/>
    <w:rsid w:val="00643EF7"/>
    <w:rsid w:val="00645E3C"/>
    <w:rsid w:val="00650574"/>
    <w:rsid w:val="006509ED"/>
    <w:rsid w:val="00652D06"/>
    <w:rsid w:val="00653F41"/>
    <w:rsid w:val="00654AE3"/>
    <w:rsid w:val="00655CBE"/>
    <w:rsid w:val="00656298"/>
    <w:rsid w:val="00657FB9"/>
    <w:rsid w:val="00660B76"/>
    <w:rsid w:val="00660BFB"/>
    <w:rsid w:val="00663283"/>
    <w:rsid w:val="00664E3A"/>
    <w:rsid w:val="006650A8"/>
    <w:rsid w:val="00665AE6"/>
    <w:rsid w:val="0067106F"/>
    <w:rsid w:val="00672308"/>
    <w:rsid w:val="006734A3"/>
    <w:rsid w:val="0067437C"/>
    <w:rsid w:val="00674490"/>
    <w:rsid w:val="00675349"/>
    <w:rsid w:val="006762A2"/>
    <w:rsid w:val="006766DA"/>
    <w:rsid w:val="006778E0"/>
    <w:rsid w:val="00677B86"/>
    <w:rsid w:val="00683A98"/>
    <w:rsid w:val="00683AC0"/>
    <w:rsid w:val="0068721F"/>
    <w:rsid w:val="0068765C"/>
    <w:rsid w:val="00690C7D"/>
    <w:rsid w:val="0069194C"/>
    <w:rsid w:val="00691C85"/>
    <w:rsid w:val="006925DF"/>
    <w:rsid w:val="006926E7"/>
    <w:rsid w:val="00692814"/>
    <w:rsid w:val="00693E2E"/>
    <w:rsid w:val="00694798"/>
    <w:rsid w:val="0069492E"/>
    <w:rsid w:val="00695ABD"/>
    <w:rsid w:val="00695F79"/>
    <w:rsid w:val="006966C5"/>
    <w:rsid w:val="006A0991"/>
    <w:rsid w:val="006A0C60"/>
    <w:rsid w:val="006A10DC"/>
    <w:rsid w:val="006A4917"/>
    <w:rsid w:val="006A53A5"/>
    <w:rsid w:val="006A5B5D"/>
    <w:rsid w:val="006A5F7A"/>
    <w:rsid w:val="006A6511"/>
    <w:rsid w:val="006A6C7A"/>
    <w:rsid w:val="006A7DB4"/>
    <w:rsid w:val="006B111F"/>
    <w:rsid w:val="006B22DA"/>
    <w:rsid w:val="006B752A"/>
    <w:rsid w:val="006B7C1F"/>
    <w:rsid w:val="006B7FE6"/>
    <w:rsid w:val="006C0218"/>
    <w:rsid w:val="006C054C"/>
    <w:rsid w:val="006C05DB"/>
    <w:rsid w:val="006C1D71"/>
    <w:rsid w:val="006C3538"/>
    <w:rsid w:val="006C3883"/>
    <w:rsid w:val="006C3B0E"/>
    <w:rsid w:val="006C3D68"/>
    <w:rsid w:val="006C5177"/>
    <w:rsid w:val="006C5D49"/>
    <w:rsid w:val="006C5F5C"/>
    <w:rsid w:val="006C5FF5"/>
    <w:rsid w:val="006D03FD"/>
    <w:rsid w:val="006D08D0"/>
    <w:rsid w:val="006D0F1D"/>
    <w:rsid w:val="006D1959"/>
    <w:rsid w:val="006D19FB"/>
    <w:rsid w:val="006D2469"/>
    <w:rsid w:val="006D3068"/>
    <w:rsid w:val="006D3677"/>
    <w:rsid w:val="006D459D"/>
    <w:rsid w:val="006D5F6A"/>
    <w:rsid w:val="006D6040"/>
    <w:rsid w:val="006D62A7"/>
    <w:rsid w:val="006E07AC"/>
    <w:rsid w:val="006E1F3D"/>
    <w:rsid w:val="006E47B0"/>
    <w:rsid w:val="006E4DAB"/>
    <w:rsid w:val="006E5E14"/>
    <w:rsid w:val="006E5E28"/>
    <w:rsid w:val="006E6374"/>
    <w:rsid w:val="006E6385"/>
    <w:rsid w:val="006E6574"/>
    <w:rsid w:val="006E6EF3"/>
    <w:rsid w:val="006E7567"/>
    <w:rsid w:val="006F0D93"/>
    <w:rsid w:val="006F1313"/>
    <w:rsid w:val="006F1349"/>
    <w:rsid w:val="006F1C0D"/>
    <w:rsid w:val="006F4671"/>
    <w:rsid w:val="006F4B6A"/>
    <w:rsid w:val="006F5982"/>
    <w:rsid w:val="007009A3"/>
    <w:rsid w:val="00700C8F"/>
    <w:rsid w:val="0070168D"/>
    <w:rsid w:val="0070183C"/>
    <w:rsid w:val="007019DC"/>
    <w:rsid w:val="007020D1"/>
    <w:rsid w:val="00702E75"/>
    <w:rsid w:val="0070444F"/>
    <w:rsid w:val="00704FCF"/>
    <w:rsid w:val="00705157"/>
    <w:rsid w:val="00705857"/>
    <w:rsid w:val="0070710C"/>
    <w:rsid w:val="007113F1"/>
    <w:rsid w:val="00711F88"/>
    <w:rsid w:val="0071207C"/>
    <w:rsid w:val="007129BF"/>
    <w:rsid w:val="00713B12"/>
    <w:rsid w:val="0071463E"/>
    <w:rsid w:val="00714CF2"/>
    <w:rsid w:val="007156B9"/>
    <w:rsid w:val="00715FD6"/>
    <w:rsid w:val="007161CC"/>
    <w:rsid w:val="007173E4"/>
    <w:rsid w:val="00720817"/>
    <w:rsid w:val="00720C47"/>
    <w:rsid w:val="00722850"/>
    <w:rsid w:val="00724B3F"/>
    <w:rsid w:val="0072568C"/>
    <w:rsid w:val="00725751"/>
    <w:rsid w:val="00726E8E"/>
    <w:rsid w:val="00727C7F"/>
    <w:rsid w:val="00730070"/>
    <w:rsid w:val="00731815"/>
    <w:rsid w:val="007330CF"/>
    <w:rsid w:val="00733400"/>
    <w:rsid w:val="0073353F"/>
    <w:rsid w:val="00734044"/>
    <w:rsid w:val="007351DB"/>
    <w:rsid w:val="00735F3D"/>
    <w:rsid w:val="00736E42"/>
    <w:rsid w:val="0074149E"/>
    <w:rsid w:val="0074206B"/>
    <w:rsid w:val="00742E45"/>
    <w:rsid w:val="007447AF"/>
    <w:rsid w:val="00745008"/>
    <w:rsid w:val="0074511E"/>
    <w:rsid w:val="00745CAB"/>
    <w:rsid w:val="007471C1"/>
    <w:rsid w:val="00750203"/>
    <w:rsid w:val="00750816"/>
    <w:rsid w:val="007508A3"/>
    <w:rsid w:val="007512CE"/>
    <w:rsid w:val="0075139C"/>
    <w:rsid w:val="007521A8"/>
    <w:rsid w:val="00753382"/>
    <w:rsid w:val="00754CD7"/>
    <w:rsid w:val="007559D0"/>
    <w:rsid w:val="007561E8"/>
    <w:rsid w:val="00756AE7"/>
    <w:rsid w:val="007570EF"/>
    <w:rsid w:val="00760056"/>
    <w:rsid w:val="00762035"/>
    <w:rsid w:val="00762D6E"/>
    <w:rsid w:val="007632BB"/>
    <w:rsid w:val="00763665"/>
    <w:rsid w:val="00764433"/>
    <w:rsid w:val="00764BBA"/>
    <w:rsid w:val="007655E9"/>
    <w:rsid w:val="007657C1"/>
    <w:rsid w:val="00766190"/>
    <w:rsid w:val="00766AA4"/>
    <w:rsid w:val="00767C9C"/>
    <w:rsid w:val="00770D12"/>
    <w:rsid w:val="007727C7"/>
    <w:rsid w:val="00772963"/>
    <w:rsid w:val="00772C68"/>
    <w:rsid w:val="0077470C"/>
    <w:rsid w:val="00775693"/>
    <w:rsid w:val="007771A2"/>
    <w:rsid w:val="00777649"/>
    <w:rsid w:val="007802A5"/>
    <w:rsid w:val="007813DD"/>
    <w:rsid w:val="00781EF4"/>
    <w:rsid w:val="00782063"/>
    <w:rsid w:val="007852A5"/>
    <w:rsid w:val="00785C83"/>
    <w:rsid w:val="00786018"/>
    <w:rsid w:val="00786AAB"/>
    <w:rsid w:val="00787136"/>
    <w:rsid w:val="007873F0"/>
    <w:rsid w:val="00787DB4"/>
    <w:rsid w:val="0079008E"/>
    <w:rsid w:val="00790512"/>
    <w:rsid w:val="00790927"/>
    <w:rsid w:val="00790B74"/>
    <w:rsid w:val="00790D90"/>
    <w:rsid w:val="00791F42"/>
    <w:rsid w:val="00791FE2"/>
    <w:rsid w:val="007950CB"/>
    <w:rsid w:val="00796DB2"/>
    <w:rsid w:val="007A0820"/>
    <w:rsid w:val="007A2400"/>
    <w:rsid w:val="007A3E31"/>
    <w:rsid w:val="007A406D"/>
    <w:rsid w:val="007A46B6"/>
    <w:rsid w:val="007A4F69"/>
    <w:rsid w:val="007A60C1"/>
    <w:rsid w:val="007A62B0"/>
    <w:rsid w:val="007A669E"/>
    <w:rsid w:val="007A6B80"/>
    <w:rsid w:val="007A7D88"/>
    <w:rsid w:val="007B11D0"/>
    <w:rsid w:val="007B38AC"/>
    <w:rsid w:val="007B4152"/>
    <w:rsid w:val="007B750B"/>
    <w:rsid w:val="007C053A"/>
    <w:rsid w:val="007C13BA"/>
    <w:rsid w:val="007C1A67"/>
    <w:rsid w:val="007C209B"/>
    <w:rsid w:val="007C2479"/>
    <w:rsid w:val="007C3A2B"/>
    <w:rsid w:val="007C4FE9"/>
    <w:rsid w:val="007C5A0C"/>
    <w:rsid w:val="007C6CB0"/>
    <w:rsid w:val="007C7058"/>
    <w:rsid w:val="007C734A"/>
    <w:rsid w:val="007C741E"/>
    <w:rsid w:val="007C747D"/>
    <w:rsid w:val="007D054C"/>
    <w:rsid w:val="007D0BE0"/>
    <w:rsid w:val="007D2788"/>
    <w:rsid w:val="007D4808"/>
    <w:rsid w:val="007D5F14"/>
    <w:rsid w:val="007E0FEE"/>
    <w:rsid w:val="007E1624"/>
    <w:rsid w:val="007E2EAB"/>
    <w:rsid w:val="007E3E0F"/>
    <w:rsid w:val="007E4A3B"/>
    <w:rsid w:val="007E658E"/>
    <w:rsid w:val="007E6A45"/>
    <w:rsid w:val="007F0763"/>
    <w:rsid w:val="007F2017"/>
    <w:rsid w:val="007F22C5"/>
    <w:rsid w:val="007F33E7"/>
    <w:rsid w:val="007F3C62"/>
    <w:rsid w:val="007F4C26"/>
    <w:rsid w:val="007F5AA1"/>
    <w:rsid w:val="007F6278"/>
    <w:rsid w:val="007F6A1C"/>
    <w:rsid w:val="007F6BD8"/>
    <w:rsid w:val="008005EA"/>
    <w:rsid w:val="008006DD"/>
    <w:rsid w:val="00800D69"/>
    <w:rsid w:val="008013EB"/>
    <w:rsid w:val="00801516"/>
    <w:rsid w:val="00801A9E"/>
    <w:rsid w:val="00801F45"/>
    <w:rsid w:val="00802F78"/>
    <w:rsid w:val="008034E7"/>
    <w:rsid w:val="00806D64"/>
    <w:rsid w:val="00807312"/>
    <w:rsid w:val="008077D0"/>
    <w:rsid w:val="00810ABD"/>
    <w:rsid w:val="0081192D"/>
    <w:rsid w:val="00812FB6"/>
    <w:rsid w:val="00813E8A"/>
    <w:rsid w:val="00814105"/>
    <w:rsid w:val="008143E5"/>
    <w:rsid w:val="00814CDC"/>
    <w:rsid w:val="00815395"/>
    <w:rsid w:val="008158F0"/>
    <w:rsid w:val="0081637E"/>
    <w:rsid w:val="00817433"/>
    <w:rsid w:val="0082005E"/>
    <w:rsid w:val="00820A47"/>
    <w:rsid w:val="0082122D"/>
    <w:rsid w:val="0082377D"/>
    <w:rsid w:val="00823AB8"/>
    <w:rsid w:val="00824728"/>
    <w:rsid w:val="00824907"/>
    <w:rsid w:val="008249AB"/>
    <w:rsid w:val="0082783B"/>
    <w:rsid w:val="00827A49"/>
    <w:rsid w:val="008301CC"/>
    <w:rsid w:val="008307AC"/>
    <w:rsid w:val="0083280E"/>
    <w:rsid w:val="0083302C"/>
    <w:rsid w:val="008338F7"/>
    <w:rsid w:val="008339BB"/>
    <w:rsid w:val="00834226"/>
    <w:rsid w:val="00835EDD"/>
    <w:rsid w:val="0083605A"/>
    <w:rsid w:val="00836E40"/>
    <w:rsid w:val="00837178"/>
    <w:rsid w:val="00837321"/>
    <w:rsid w:val="00842839"/>
    <w:rsid w:val="008428F1"/>
    <w:rsid w:val="00846867"/>
    <w:rsid w:val="00846ACD"/>
    <w:rsid w:val="00847827"/>
    <w:rsid w:val="00847FD8"/>
    <w:rsid w:val="00850F6F"/>
    <w:rsid w:val="0085286C"/>
    <w:rsid w:val="00853C2E"/>
    <w:rsid w:val="00857536"/>
    <w:rsid w:val="0085777C"/>
    <w:rsid w:val="00857A1C"/>
    <w:rsid w:val="008620F4"/>
    <w:rsid w:val="0086241F"/>
    <w:rsid w:val="00863E9A"/>
    <w:rsid w:val="00864089"/>
    <w:rsid w:val="0086419A"/>
    <w:rsid w:val="008649CC"/>
    <w:rsid w:val="008650B7"/>
    <w:rsid w:val="0086582D"/>
    <w:rsid w:val="008666A5"/>
    <w:rsid w:val="00867F13"/>
    <w:rsid w:val="0087023B"/>
    <w:rsid w:val="00870CDE"/>
    <w:rsid w:val="00871E66"/>
    <w:rsid w:val="008729A3"/>
    <w:rsid w:val="00873036"/>
    <w:rsid w:val="008754CB"/>
    <w:rsid w:val="00876134"/>
    <w:rsid w:val="00877CBA"/>
    <w:rsid w:val="008802B9"/>
    <w:rsid w:val="00880471"/>
    <w:rsid w:val="0088294F"/>
    <w:rsid w:val="008829FE"/>
    <w:rsid w:val="0088327F"/>
    <w:rsid w:val="0088329D"/>
    <w:rsid w:val="008844D0"/>
    <w:rsid w:val="00885322"/>
    <w:rsid w:val="008866E2"/>
    <w:rsid w:val="00887DAD"/>
    <w:rsid w:val="008908F8"/>
    <w:rsid w:val="00890CDE"/>
    <w:rsid w:val="008913A8"/>
    <w:rsid w:val="00892097"/>
    <w:rsid w:val="0089228D"/>
    <w:rsid w:val="00894B96"/>
    <w:rsid w:val="008960F8"/>
    <w:rsid w:val="0089632A"/>
    <w:rsid w:val="0089683E"/>
    <w:rsid w:val="00897231"/>
    <w:rsid w:val="008972DE"/>
    <w:rsid w:val="00897877"/>
    <w:rsid w:val="00897E76"/>
    <w:rsid w:val="008A0977"/>
    <w:rsid w:val="008A116C"/>
    <w:rsid w:val="008A179F"/>
    <w:rsid w:val="008A17B6"/>
    <w:rsid w:val="008A19E2"/>
    <w:rsid w:val="008A4785"/>
    <w:rsid w:val="008A4C61"/>
    <w:rsid w:val="008A4C7F"/>
    <w:rsid w:val="008A531A"/>
    <w:rsid w:val="008A5B60"/>
    <w:rsid w:val="008B0864"/>
    <w:rsid w:val="008B0C93"/>
    <w:rsid w:val="008B156F"/>
    <w:rsid w:val="008B1E9F"/>
    <w:rsid w:val="008B2468"/>
    <w:rsid w:val="008B2D63"/>
    <w:rsid w:val="008B3C8E"/>
    <w:rsid w:val="008B4F86"/>
    <w:rsid w:val="008B5A67"/>
    <w:rsid w:val="008B66D3"/>
    <w:rsid w:val="008B7576"/>
    <w:rsid w:val="008C16BD"/>
    <w:rsid w:val="008C260C"/>
    <w:rsid w:val="008C2F39"/>
    <w:rsid w:val="008C2F7A"/>
    <w:rsid w:val="008C40A3"/>
    <w:rsid w:val="008C472E"/>
    <w:rsid w:val="008C49FA"/>
    <w:rsid w:val="008C4C9E"/>
    <w:rsid w:val="008C4DD7"/>
    <w:rsid w:val="008C516F"/>
    <w:rsid w:val="008C5413"/>
    <w:rsid w:val="008C7413"/>
    <w:rsid w:val="008C78C8"/>
    <w:rsid w:val="008D021F"/>
    <w:rsid w:val="008D16B7"/>
    <w:rsid w:val="008D171B"/>
    <w:rsid w:val="008D1B42"/>
    <w:rsid w:val="008D2C77"/>
    <w:rsid w:val="008D3DB3"/>
    <w:rsid w:val="008D4255"/>
    <w:rsid w:val="008D45E5"/>
    <w:rsid w:val="008D588D"/>
    <w:rsid w:val="008D5BEF"/>
    <w:rsid w:val="008D6702"/>
    <w:rsid w:val="008D7E2C"/>
    <w:rsid w:val="008E00FE"/>
    <w:rsid w:val="008E04D2"/>
    <w:rsid w:val="008E1E64"/>
    <w:rsid w:val="008E2541"/>
    <w:rsid w:val="008E6507"/>
    <w:rsid w:val="008E689B"/>
    <w:rsid w:val="008E6AE6"/>
    <w:rsid w:val="008E7D3C"/>
    <w:rsid w:val="008E7D88"/>
    <w:rsid w:val="008F0116"/>
    <w:rsid w:val="008F0E55"/>
    <w:rsid w:val="008F143D"/>
    <w:rsid w:val="008F1774"/>
    <w:rsid w:val="008F1A51"/>
    <w:rsid w:val="008F2D9C"/>
    <w:rsid w:val="008F3A27"/>
    <w:rsid w:val="008F5225"/>
    <w:rsid w:val="008F54EB"/>
    <w:rsid w:val="008F6660"/>
    <w:rsid w:val="008F69A2"/>
    <w:rsid w:val="008F6AB4"/>
    <w:rsid w:val="00900D22"/>
    <w:rsid w:val="00901C59"/>
    <w:rsid w:val="00902DED"/>
    <w:rsid w:val="00903D4C"/>
    <w:rsid w:val="009042B8"/>
    <w:rsid w:val="009050DE"/>
    <w:rsid w:val="0090676A"/>
    <w:rsid w:val="009102BB"/>
    <w:rsid w:val="00910715"/>
    <w:rsid w:val="00911414"/>
    <w:rsid w:val="00913E1E"/>
    <w:rsid w:val="0091576F"/>
    <w:rsid w:val="00916E13"/>
    <w:rsid w:val="009201C1"/>
    <w:rsid w:val="00921AE7"/>
    <w:rsid w:val="00921EB6"/>
    <w:rsid w:val="0092400F"/>
    <w:rsid w:val="00924718"/>
    <w:rsid w:val="009256DC"/>
    <w:rsid w:val="0092599A"/>
    <w:rsid w:val="009276CB"/>
    <w:rsid w:val="00930781"/>
    <w:rsid w:val="00932318"/>
    <w:rsid w:val="00932865"/>
    <w:rsid w:val="009330BB"/>
    <w:rsid w:val="009345E9"/>
    <w:rsid w:val="009359BC"/>
    <w:rsid w:val="009372AE"/>
    <w:rsid w:val="009373DD"/>
    <w:rsid w:val="0094007B"/>
    <w:rsid w:val="00940793"/>
    <w:rsid w:val="00941712"/>
    <w:rsid w:val="009417C8"/>
    <w:rsid w:val="00942991"/>
    <w:rsid w:val="0094543F"/>
    <w:rsid w:val="009455AA"/>
    <w:rsid w:val="009466DA"/>
    <w:rsid w:val="00951F2D"/>
    <w:rsid w:val="0095202A"/>
    <w:rsid w:val="0095236B"/>
    <w:rsid w:val="00952EA0"/>
    <w:rsid w:val="00953472"/>
    <w:rsid w:val="00954202"/>
    <w:rsid w:val="0095421A"/>
    <w:rsid w:val="009553D0"/>
    <w:rsid w:val="00956AD7"/>
    <w:rsid w:val="00957D71"/>
    <w:rsid w:val="00957F29"/>
    <w:rsid w:val="009611BB"/>
    <w:rsid w:val="00961685"/>
    <w:rsid w:val="009624B6"/>
    <w:rsid w:val="009637D7"/>
    <w:rsid w:val="00963B75"/>
    <w:rsid w:val="00965259"/>
    <w:rsid w:val="0096596D"/>
    <w:rsid w:val="00965AF1"/>
    <w:rsid w:val="00965FD9"/>
    <w:rsid w:val="0096675D"/>
    <w:rsid w:val="009671C7"/>
    <w:rsid w:val="009706A9"/>
    <w:rsid w:val="00970DB5"/>
    <w:rsid w:val="0097595A"/>
    <w:rsid w:val="00975F74"/>
    <w:rsid w:val="00977734"/>
    <w:rsid w:val="0097789C"/>
    <w:rsid w:val="00977A9A"/>
    <w:rsid w:val="00977AAD"/>
    <w:rsid w:val="0098138E"/>
    <w:rsid w:val="009837DD"/>
    <w:rsid w:val="00983CB7"/>
    <w:rsid w:val="00983E5B"/>
    <w:rsid w:val="00984349"/>
    <w:rsid w:val="0098454F"/>
    <w:rsid w:val="009848CD"/>
    <w:rsid w:val="00985409"/>
    <w:rsid w:val="0098655A"/>
    <w:rsid w:val="00990024"/>
    <w:rsid w:val="009901E8"/>
    <w:rsid w:val="00991418"/>
    <w:rsid w:val="00991642"/>
    <w:rsid w:val="00995811"/>
    <w:rsid w:val="009976E0"/>
    <w:rsid w:val="00997890"/>
    <w:rsid w:val="009A03EA"/>
    <w:rsid w:val="009A043E"/>
    <w:rsid w:val="009A04D6"/>
    <w:rsid w:val="009A1437"/>
    <w:rsid w:val="009A2427"/>
    <w:rsid w:val="009A2767"/>
    <w:rsid w:val="009A2967"/>
    <w:rsid w:val="009A35B4"/>
    <w:rsid w:val="009A3AF0"/>
    <w:rsid w:val="009A3D10"/>
    <w:rsid w:val="009A3D8D"/>
    <w:rsid w:val="009A4A11"/>
    <w:rsid w:val="009A4CB1"/>
    <w:rsid w:val="009A58A9"/>
    <w:rsid w:val="009A65D4"/>
    <w:rsid w:val="009B04D5"/>
    <w:rsid w:val="009B0C8A"/>
    <w:rsid w:val="009B23CE"/>
    <w:rsid w:val="009B2762"/>
    <w:rsid w:val="009B2F92"/>
    <w:rsid w:val="009B32E1"/>
    <w:rsid w:val="009B3B45"/>
    <w:rsid w:val="009B3DA1"/>
    <w:rsid w:val="009B3DB6"/>
    <w:rsid w:val="009B3E62"/>
    <w:rsid w:val="009B3F36"/>
    <w:rsid w:val="009B6CA0"/>
    <w:rsid w:val="009B7843"/>
    <w:rsid w:val="009C1631"/>
    <w:rsid w:val="009C1ABF"/>
    <w:rsid w:val="009C22AA"/>
    <w:rsid w:val="009C2589"/>
    <w:rsid w:val="009C2D4F"/>
    <w:rsid w:val="009C3F3E"/>
    <w:rsid w:val="009C4213"/>
    <w:rsid w:val="009C43F2"/>
    <w:rsid w:val="009C5263"/>
    <w:rsid w:val="009C57F5"/>
    <w:rsid w:val="009C587D"/>
    <w:rsid w:val="009D20B3"/>
    <w:rsid w:val="009D2BC2"/>
    <w:rsid w:val="009D3096"/>
    <w:rsid w:val="009D4476"/>
    <w:rsid w:val="009D465A"/>
    <w:rsid w:val="009D6167"/>
    <w:rsid w:val="009D6C83"/>
    <w:rsid w:val="009D6D8F"/>
    <w:rsid w:val="009D6F66"/>
    <w:rsid w:val="009D75EC"/>
    <w:rsid w:val="009D7DC4"/>
    <w:rsid w:val="009E09BD"/>
    <w:rsid w:val="009E2068"/>
    <w:rsid w:val="009E27EF"/>
    <w:rsid w:val="009E2962"/>
    <w:rsid w:val="009E2BBB"/>
    <w:rsid w:val="009E3331"/>
    <w:rsid w:val="009E33D6"/>
    <w:rsid w:val="009E36FA"/>
    <w:rsid w:val="009E3F58"/>
    <w:rsid w:val="009E4163"/>
    <w:rsid w:val="009E4FD1"/>
    <w:rsid w:val="009E512C"/>
    <w:rsid w:val="009E578D"/>
    <w:rsid w:val="009E7C7F"/>
    <w:rsid w:val="009F003E"/>
    <w:rsid w:val="009F35F9"/>
    <w:rsid w:val="009F3F0E"/>
    <w:rsid w:val="009F5167"/>
    <w:rsid w:val="009F685F"/>
    <w:rsid w:val="009F696F"/>
    <w:rsid w:val="009F75FF"/>
    <w:rsid w:val="00A0035B"/>
    <w:rsid w:val="00A01FCC"/>
    <w:rsid w:val="00A02537"/>
    <w:rsid w:val="00A03EC5"/>
    <w:rsid w:val="00A040C2"/>
    <w:rsid w:val="00A040D9"/>
    <w:rsid w:val="00A059A1"/>
    <w:rsid w:val="00A06E35"/>
    <w:rsid w:val="00A10A56"/>
    <w:rsid w:val="00A1111D"/>
    <w:rsid w:val="00A1169D"/>
    <w:rsid w:val="00A11F06"/>
    <w:rsid w:val="00A125E0"/>
    <w:rsid w:val="00A126C9"/>
    <w:rsid w:val="00A12914"/>
    <w:rsid w:val="00A134D2"/>
    <w:rsid w:val="00A13659"/>
    <w:rsid w:val="00A143C3"/>
    <w:rsid w:val="00A17CE0"/>
    <w:rsid w:val="00A21EC1"/>
    <w:rsid w:val="00A220DB"/>
    <w:rsid w:val="00A226D3"/>
    <w:rsid w:val="00A22D74"/>
    <w:rsid w:val="00A23A65"/>
    <w:rsid w:val="00A24BB1"/>
    <w:rsid w:val="00A25CDC"/>
    <w:rsid w:val="00A27231"/>
    <w:rsid w:val="00A3007D"/>
    <w:rsid w:val="00A30A63"/>
    <w:rsid w:val="00A30BD6"/>
    <w:rsid w:val="00A3240A"/>
    <w:rsid w:val="00A32698"/>
    <w:rsid w:val="00A342FC"/>
    <w:rsid w:val="00A35239"/>
    <w:rsid w:val="00A37D8C"/>
    <w:rsid w:val="00A410DD"/>
    <w:rsid w:val="00A42306"/>
    <w:rsid w:val="00A43B57"/>
    <w:rsid w:val="00A4476F"/>
    <w:rsid w:val="00A44943"/>
    <w:rsid w:val="00A45C71"/>
    <w:rsid w:val="00A45ED7"/>
    <w:rsid w:val="00A472D5"/>
    <w:rsid w:val="00A4777F"/>
    <w:rsid w:val="00A47E3B"/>
    <w:rsid w:val="00A47EBB"/>
    <w:rsid w:val="00A47EE5"/>
    <w:rsid w:val="00A50AD4"/>
    <w:rsid w:val="00A51055"/>
    <w:rsid w:val="00A5122F"/>
    <w:rsid w:val="00A5243A"/>
    <w:rsid w:val="00A52667"/>
    <w:rsid w:val="00A54080"/>
    <w:rsid w:val="00A55ACD"/>
    <w:rsid w:val="00A55DFD"/>
    <w:rsid w:val="00A60A8D"/>
    <w:rsid w:val="00A61B37"/>
    <w:rsid w:val="00A63420"/>
    <w:rsid w:val="00A65501"/>
    <w:rsid w:val="00A65BE7"/>
    <w:rsid w:val="00A67CFF"/>
    <w:rsid w:val="00A70D28"/>
    <w:rsid w:val="00A71008"/>
    <w:rsid w:val="00A7148B"/>
    <w:rsid w:val="00A71613"/>
    <w:rsid w:val="00A72299"/>
    <w:rsid w:val="00A7401B"/>
    <w:rsid w:val="00A7442A"/>
    <w:rsid w:val="00A76C18"/>
    <w:rsid w:val="00A773EE"/>
    <w:rsid w:val="00A778F4"/>
    <w:rsid w:val="00A80EF2"/>
    <w:rsid w:val="00A81D24"/>
    <w:rsid w:val="00A83E4D"/>
    <w:rsid w:val="00A859EE"/>
    <w:rsid w:val="00A8646C"/>
    <w:rsid w:val="00A87370"/>
    <w:rsid w:val="00A878AD"/>
    <w:rsid w:val="00A87A46"/>
    <w:rsid w:val="00A902E7"/>
    <w:rsid w:val="00A907C7"/>
    <w:rsid w:val="00A913C0"/>
    <w:rsid w:val="00A92C88"/>
    <w:rsid w:val="00A938E7"/>
    <w:rsid w:val="00A93EFE"/>
    <w:rsid w:val="00A94549"/>
    <w:rsid w:val="00A956B1"/>
    <w:rsid w:val="00A967F4"/>
    <w:rsid w:val="00A96BC9"/>
    <w:rsid w:val="00AA2E62"/>
    <w:rsid w:val="00AA337B"/>
    <w:rsid w:val="00AA5EF9"/>
    <w:rsid w:val="00AA6199"/>
    <w:rsid w:val="00AA6CAA"/>
    <w:rsid w:val="00AA7769"/>
    <w:rsid w:val="00AA7992"/>
    <w:rsid w:val="00AB3C79"/>
    <w:rsid w:val="00AB4213"/>
    <w:rsid w:val="00AB6FE0"/>
    <w:rsid w:val="00AB777D"/>
    <w:rsid w:val="00AC3A3B"/>
    <w:rsid w:val="00AC67ED"/>
    <w:rsid w:val="00AD0163"/>
    <w:rsid w:val="00AD0783"/>
    <w:rsid w:val="00AD07DF"/>
    <w:rsid w:val="00AD0B53"/>
    <w:rsid w:val="00AD175A"/>
    <w:rsid w:val="00AD217D"/>
    <w:rsid w:val="00AD2FEB"/>
    <w:rsid w:val="00AD5605"/>
    <w:rsid w:val="00AD61E8"/>
    <w:rsid w:val="00AD70CD"/>
    <w:rsid w:val="00AE1EB6"/>
    <w:rsid w:val="00AE1FF3"/>
    <w:rsid w:val="00AE31A6"/>
    <w:rsid w:val="00AE35C4"/>
    <w:rsid w:val="00AE38C2"/>
    <w:rsid w:val="00AE4C3B"/>
    <w:rsid w:val="00AE4F91"/>
    <w:rsid w:val="00AE6ACA"/>
    <w:rsid w:val="00AE762B"/>
    <w:rsid w:val="00AE786B"/>
    <w:rsid w:val="00AF03FF"/>
    <w:rsid w:val="00AF3179"/>
    <w:rsid w:val="00AF3A95"/>
    <w:rsid w:val="00AF6A33"/>
    <w:rsid w:val="00AF775B"/>
    <w:rsid w:val="00B00036"/>
    <w:rsid w:val="00B009BD"/>
    <w:rsid w:val="00B00F1A"/>
    <w:rsid w:val="00B0188C"/>
    <w:rsid w:val="00B01E0E"/>
    <w:rsid w:val="00B01F7E"/>
    <w:rsid w:val="00B034C9"/>
    <w:rsid w:val="00B040CA"/>
    <w:rsid w:val="00B04F2D"/>
    <w:rsid w:val="00B06B0A"/>
    <w:rsid w:val="00B06B74"/>
    <w:rsid w:val="00B07857"/>
    <w:rsid w:val="00B1158E"/>
    <w:rsid w:val="00B12229"/>
    <w:rsid w:val="00B12740"/>
    <w:rsid w:val="00B13DAC"/>
    <w:rsid w:val="00B1400D"/>
    <w:rsid w:val="00B15790"/>
    <w:rsid w:val="00B16728"/>
    <w:rsid w:val="00B2101B"/>
    <w:rsid w:val="00B21ABB"/>
    <w:rsid w:val="00B21F30"/>
    <w:rsid w:val="00B22C84"/>
    <w:rsid w:val="00B256A5"/>
    <w:rsid w:val="00B25BFF"/>
    <w:rsid w:val="00B26039"/>
    <w:rsid w:val="00B26582"/>
    <w:rsid w:val="00B3087D"/>
    <w:rsid w:val="00B32147"/>
    <w:rsid w:val="00B321AD"/>
    <w:rsid w:val="00B32868"/>
    <w:rsid w:val="00B32919"/>
    <w:rsid w:val="00B32C40"/>
    <w:rsid w:val="00B34001"/>
    <w:rsid w:val="00B34369"/>
    <w:rsid w:val="00B34794"/>
    <w:rsid w:val="00B3492F"/>
    <w:rsid w:val="00B37B67"/>
    <w:rsid w:val="00B4398E"/>
    <w:rsid w:val="00B444BA"/>
    <w:rsid w:val="00B44A59"/>
    <w:rsid w:val="00B459F2"/>
    <w:rsid w:val="00B45FDD"/>
    <w:rsid w:val="00B47E32"/>
    <w:rsid w:val="00B50404"/>
    <w:rsid w:val="00B506E6"/>
    <w:rsid w:val="00B5078D"/>
    <w:rsid w:val="00B511BE"/>
    <w:rsid w:val="00B52FF2"/>
    <w:rsid w:val="00B533C2"/>
    <w:rsid w:val="00B5361F"/>
    <w:rsid w:val="00B5462A"/>
    <w:rsid w:val="00B54AD9"/>
    <w:rsid w:val="00B55938"/>
    <w:rsid w:val="00B568C9"/>
    <w:rsid w:val="00B56E5E"/>
    <w:rsid w:val="00B57394"/>
    <w:rsid w:val="00B57880"/>
    <w:rsid w:val="00B57B6A"/>
    <w:rsid w:val="00B57E57"/>
    <w:rsid w:val="00B60421"/>
    <w:rsid w:val="00B618B9"/>
    <w:rsid w:val="00B62CD0"/>
    <w:rsid w:val="00B6332E"/>
    <w:rsid w:val="00B63C29"/>
    <w:rsid w:val="00B64E1B"/>
    <w:rsid w:val="00B66CD1"/>
    <w:rsid w:val="00B67C5D"/>
    <w:rsid w:val="00B704FD"/>
    <w:rsid w:val="00B70D36"/>
    <w:rsid w:val="00B715CB"/>
    <w:rsid w:val="00B729D0"/>
    <w:rsid w:val="00B72BC0"/>
    <w:rsid w:val="00B75099"/>
    <w:rsid w:val="00B75185"/>
    <w:rsid w:val="00B755CB"/>
    <w:rsid w:val="00B75625"/>
    <w:rsid w:val="00B7574C"/>
    <w:rsid w:val="00B762E8"/>
    <w:rsid w:val="00B7630D"/>
    <w:rsid w:val="00B76820"/>
    <w:rsid w:val="00B76974"/>
    <w:rsid w:val="00B76BA7"/>
    <w:rsid w:val="00B7710E"/>
    <w:rsid w:val="00B80DB1"/>
    <w:rsid w:val="00B80FC7"/>
    <w:rsid w:val="00B847E6"/>
    <w:rsid w:val="00B84B21"/>
    <w:rsid w:val="00B8559E"/>
    <w:rsid w:val="00B86C8F"/>
    <w:rsid w:val="00B87315"/>
    <w:rsid w:val="00B90B7D"/>
    <w:rsid w:val="00B9294D"/>
    <w:rsid w:val="00B93416"/>
    <w:rsid w:val="00B9369B"/>
    <w:rsid w:val="00B9397D"/>
    <w:rsid w:val="00B94D63"/>
    <w:rsid w:val="00B94F03"/>
    <w:rsid w:val="00B957B3"/>
    <w:rsid w:val="00B95A5E"/>
    <w:rsid w:val="00B97255"/>
    <w:rsid w:val="00B97D4B"/>
    <w:rsid w:val="00BA08D0"/>
    <w:rsid w:val="00BA0E67"/>
    <w:rsid w:val="00BA2F60"/>
    <w:rsid w:val="00BA2FA8"/>
    <w:rsid w:val="00BA3F76"/>
    <w:rsid w:val="00BA43E4"/>
    <w:rsid w:val="00BA5190"/>
    <w:rsid w:val="00BA52B0"/>
    <w:rsid w:val="00BA53A9"/>
    <w:rsid w:val="00BA5893"/>
    <w:rsid w:val="00BA600E"/>
    <w:rsid w:val="00BA61F5"/>
    <w:rsid w:val="00BA700E"/>
    <w:rsid w:val="00BB0048"/>
    <w:rsid w:val="00BB0243"/>
    <w:rsid w:val="00BB3AE5"/>
    <w:rsid w:val="00BB49E2"/>
    <w:rsid w:val="00BB4C8C"/>
    <w:rsid w:val="00BC0A04"/>
    <w:rsid w:val="00BC0DF9"/>
    <w:rsid w:val="00BC1520"/>
    <w:rsid w:val="00BC17FA"/>
    <w:rsid w:val="00BC230C"/>
    <w:rsid w:val="00BC37EC"/>
    <w:rsid w:val="00BC5480"/>
    <w:rsid w:val="00BC564A"/>
    <w:rsid w:val="00BC60E9"/>
    <w:rsid w:val="00BC7C22"/>
    <w:rsid w:val="00BD35EF"/>
    <w:rsid w:val="00BD4840"/>
    <w:rsid w:val="00BD49FD"/>
    <w:rsid w:val="00BD6291"/>
    <w:rsid w:val="00BD69D7"/>
    <w:rsid w:val="00BD768D"/>
    <w:rsid w:val="00BD76BF"/>
    <w:rsid w:val="00BE0475"/>
    <w:rsid w:val="00BE1B82"/>
    <w:rsid w:val="00BE28EB"/>
    <w:rsid w:val="00BE48F5"/>
    <w:rsid w:val="00BE4B6A"/>
    <w:rsid w:val="00BE6929"/>
    <w:rsid w:val="00BE6EEE"/>
    <w:rsid w:val="00BE7F67"/>
    <w:rsid w:val="00BF071A"/>
    <w:rsid w:val="00BF1FCE"/>
    <w:rsid w:val="00BF2E6A"/>
    <w:rsid w:val="00BF31ED"/>
    <w:rsid w:val="00BF3439"/>
    <w:rsid w:val="00BF46B5"/>
    <w:rsid w:val="00BF4906"/>
    <w:rsid w:val="00BF4E84"/>
    <w:rsid w:val="00BF5900"/>
    <w:rsid w:val="00BF6B74"/>
    <w:rsid w:val="00BF767F"/>
    <w:rsid w:val="00BF7A21"/>
    <w:rsid w:val="00C010DF"/>
    <w:rsid w:val="00C03586"/>
    <w:rsid w:val="00C049DE"/>
    <w:rsid w:val="00C05C92"/>
    <w:rsid w:val="00C1091C"/>
    <w:rsid w:val="00C10A59"/>
    <w:rsid w:val="00C10B5F"/>
    <w:rsid w:val="00C12F3C"/>
    <w:rsid w:val="00C14CFC"/>
    <w:rsid w:val="00C16C42"/>
    <w:rsid w:val="00C17372"/>
    <w:rsid w:val="00C176EE"/>
    <w:rsid w:val="00C17754"/>
    <w:rsid w:val="00C17A12"/>
    <w:rsid w:val="00C22914"/>
    <w:rsid w:val="00C238B4"/>
    <w:rsid w:val="00C23CCB"/>
    <w:rsid w:val="00C279D8"/>
    <w:rsid w:val="00C301C3"/>
    <w:rsid w:val="00C31503"/>
    <w:rsid w:val="00C31F69"/>
    <w:rsid w:val="00C32358"/>
    <w:rsid w:val="00C32A07"/>
    <w:rsid w:val="00C33DC9"/>
    <w:rsid w:val="00C34230"/>
    <w:rsid w:val="00C34714"/>
    <w:rsid w:val="00C34E3C"/>
    <w:rsid w:val="00C3534F"/>
    <w:rsid w:val="00C358C2"/>
    <w:rsid w:val="00C36880"/>
    <w:rsid w:val="00C40B50"/>
    <w:rsid w:val="00C4133B"/>
    <w:rsid w:val="00C4287B"/>
    <w:rsid w:val="00C43521"/>
    <w:rsid w:val="00C466E9"/>
    <w:rsid w:val="00C4677F"/>
    <w:rsid w:val="00C46DA5"/>
    <w:rsid w:val="00C510C7"/>
    <w:rsid w:val="00C515AA"/>
    <w:rsid w:val="00C51CDC"/>
    <w:rsid w:val="00C52FDF"/>
    <w:rsid w:val="00C532CD"/>
    <w:rsid w:val="00C548C8"/>
    <w:rsid w:val="00C5591B"/>
    <w:rsid w:val="00C56B32"/>
    <w:rsid w:val="00C57A17"/>
    <w:rsid w:val="00C60872"/>
    <w:rsid w:val="00C60E89"/>
    <w:rsid w:val="00C61242"/>
    <w:rsid w:val="00C6148E"/>
    <w:rsid w:val="00C614A2"/>
    <w:rsid w:val="00C619AA"/>
    <w:rsid w:val="00C62E9B"/>
    <w:rsid w:val="00C6338F"/>
    <w:rsid w:val="00C64928"/>
    <w:rsid w:val="00C676E6"/>
    <w:rsid w:val="00C67B55"/>
    <w:rsid w:val="00C70FB2"/>
    <w:rsid w:val="00C72076"/>
    <w:rsid w:val="00C733EC"/>
    <w:rsid w:val="00C74C33"/>
    <w:rsid w:val="00C74CD2"/>
    <w:rsid w:val="00C74DE6"/>
    <w:rsid w:val="00C75287"/>
    <w:rsid w:val="00C75D8D"/>
    <w:rsid w:val="00C76645"/>
    <w:rsid w:val="00C774A2"/>
    <w:rsid w:val="00C77663"/>
    <w:rsid w:val="00C778F4"/>
    <w:rsid w:val="00C800B4"/>
    <w:rsid w:val="00C80F25"/>
    <w:rsid w:val="00C81571"/>
    <w:rsid w:val="00C83252"/>
    <w:rsid w:val="00C84233"/>
    <w:rsid w:val="00C850B7"/>
    <w:rsid w:val="00C87C75"/>
    <w:rsid w:val="00C90063"/>
    <w:rsid w:val="00C90E74"/>
    <w:rsid w:val="00C913A1"/>
    <w:rsid w:val="00C9225A"/>
    <w:rsid w:val="00C92B6F"/>
    <w:rsid w:val="00C92DAE"/>
    <w:rsid w:val="00C938F8"/>
    <w:rsid w:val="00C93F09"/>
    <w:rsid w:val="00C941C3"/>
    <w:rsid w:val="00C94DDA"/>
    <w:rsid w:val="00C94E55"/>
    <w:rsid w:val="00C956DC"/>
    <w:rsid w:val="00C95955"/>
    <w:rsid w:val="00C95F8C"/>
    <w:rsid w:val="00C96389"/>
    <w:rsid w:val="00C97433"/>
    <w:rsid w:val="00CA0047"/>
    <w:rsid w:val="00CA00A9"/>
    <w:rsid w:val="00CA28DB"/>
    <w:rsid w:val="00CA38C6"/>
    <w:rsid w:val="00CA3F51"/>
    <w:rsid w:val="00CA6337"/>
    <w:rsid w:val="00CA7B48"/>
    <w:rsid w:val="00CB0EB7"/>
    <w:rsid w:val="00CB280E"/>
    <w:rsid w:val="00CB3AE3"/>
    <w:rsid w:val="00CB6245"/>
    <w:rsid w:val="00CB6DF6"/>
    <w:rsid w:val="00CB6F72"/>
    <w:rsid w:val="00CC0545"/>
    <w:rsid w:val="00CC0D61"/>
    <w:rsid w:val="00CC2A86"/>
    <w:rsid w:val="00CC2E53"/>
    <w:rsid w:val="00CC362F"/>
    <w:rsid w:val="00CC3AB2"/>
    <w:rsid w:val="00CC3B2A"/>
    <w:rsid w:val="00CC4118"/>
    <w:rsid w:val="00CC4889"/>
    <w:rsid w:val="00CC498D"/>
    <w:rsid w:val="00CC6A99"/>
    <w:rsid w:val="00CC6C06"/>
    <w:rsid w:val="00CC7881"/>
    <w:rsid w:val="00CD0E1F"/>
    <w:rsid w:val="00CD1BEF"/>
    <w:rsid w:val="00CD1D11"/>
    <w:rsid w:val="00CD2C22"/>
    <w:rsid w:val="00CD2DEE"/>
    <w:rsid w:val="00CD31C7"/>
    <w:rsid w:val="00CD3364"/>
    <w:rsid w:val="00CD39E3"/>
    <w:rsid w:val="00CD46FA"/>
    <w:rsid w:val="00CD578B"/>
    <w:rsid w:val="00CD61A2"/>
    <w:rsid w:val="00CD6957"/>
    <w:rsid w:val="00CE0509"/>
    <w:rsid w:val="00CE26E0"/>
    <w:rsid w:val="00CE3AA0"/>
    <w:rsid w:val="00CE4411"/>
    <w:rsid w:val="00CE48C9"/>
    <w:rsid w:val="00CE4912"/>
    <w:rsid w:val="00CE5B94"/>
    <w:rsid w:val="00CE7998"/>
    <w:rsid w:val="00CE7BFE"/>
    <w:rsid w:val="00CF1142"/>
    <w:rsid w:val="00CF1616"/>
    <w:rsid w:val="00CF1C68"/>
    <w:rsid w:val="00CF1DD1"/>
    <w:rsid w:val="00CF2249"/>
    <w:rsid w:val="00CF2C13"/>
    <w:rsid w:val="00CF3211"/>
    <w:rsid w:val="00CF3ABB"/>
    <w:rsid w:val="00CF3CB1"/>
    <w:rsid w:val="00CF42DC"/>
    <w:rsid w:val="00CF49D1"/>
    <w:rsid w:val="00CF52B2"/>
    <w:rsid w:val="00CF5EEE"/>
    <w:rsid w:val="00CF6631"/>
    <w:rsid w:val="00CF6CB3"/>
    <w:rsid w:val="00CF74A0"/>
    <w:rsid w:val="00D00AA3"/>
    <w:rsid w:val="00D01090"/>
    <w:rsid w:val="00D011FC"/>
    <w:rsid w:val="00D01773"/>
    <w:rsid w:val="00D028EA"/>
    <w:rsid w:val="00D04C15"/>
    <w:rsid w:val="00D07F73"/>
    <w:rsid w:val="00D113FB"/>
    <w:rsid w:val="00D123AA"/>
    <w:rsid w:val="00D12698"/>
    <w:rsid w:val="00D151D8"/>
    <w:rsid w:val="00D16AE1"/>
    <w:rsid w:val="00D16BD8"/>
    <w:rsid w:val="00D17383"/>
    <w:rsid w:val="00D17EC5"/>
    <w:rsid w:val="00D2041C"/>
    <w:rsid w:val="00D20759"/>
    <w:rsid w:val="00D207B7"/>
    <w:rsid w:val="00D20BA0"/>
    <w:rsid w:val="00D230EE"/>
    <w:rsid w:val="00D2328E"/>
    <w:rsid w:val="00D23D11"/>
    <w:rsid w:val="00D23F8F"/>
    <w:rsid w:val="00D2405D"/>
    <w:rsid w:val="00D24C49"/>
    <w:rsid w:val="00D25360"/>
    <w:rsid w:val="00D25775"/>
    <w:rsid w:val="00D25ADE"/>
    <w:rsid w:val="00D2784D"/>
    <w:rsid w:val="00D279BC"/>
    <w:rsid w:val="00D27EB5"/>
    <w:rsid w:val="00D315D5"/>
    <w:rsid w:val="00D31F5B"/>
    <w:rsid w:val="00D324EB"/>
    <w:rsid w:val="00D33353"/>
    <w:rsid w:val="00D34874"/>
    <w:rsid w:val="00D36F8C"/>
    <w:rsid w:val="00D375AB"/>
    <w:rsid w:val="00D40E63"/>
    <w:rsid w:val="00D42CA0"/>
    <w:rsid w:val="00D43297"/>
    <w:rsid w:val="00D43788"/>
    <w:rsid w:val="00D445F4"/>
    <w:rsid w:val="00D44DB6"/>
    <w:rsid w:val="00D46209"/>
    <w:rsid w:val="00D47F8D"/>
    <w:rsid w:val="00D50119"/>
    <w:rsid w:val="00D50C51"/>
    <w:rsid w:val="00D52792"/>
    <w:rsid w:val="00D52B9B"/>
    <w:rsid w:val="00D547D1"/>
    <w:rsid w:val="00D560E5"/>
    <w:rsid w:val="00D567DA"/>
    <w:rsid w:val="00D56BF3"/>
    <w:rsid w:val="00D623B5"/>
    <w:rsid w:val="00D63344"/>
    <w:rsid w:val="00D64835"/>
    <w:rsid w:val="00D65024"/>
    <w:rsid w:val="00D663CA"/>
    <w:rsid w:val="00D70480"/>
    <w:rsid w:val="00D70C28"/>
    <w:rsid w:val="00D713D2"/>
    <w:rsid w:val="00D71697"/>
    <w:rsid w:val="00D719CC"/>
    <w:rsid w:val="00D71B7E"/>
    <w:rsid w:val="00D71BCE"/>
    <w:rsid w:val="00D74146"/>
    <w:rsid w:val="00D74E00"/>
    <w:rsid w:val="00D75F93"/>
    <w:rsid w:val="00D766C0"/>
    <w:rsid w:val="00D76DF7"/>
    <w:rsid w:val="00D76F0D"/>
    <w:rsid w:val="00D7783E"/>
    <w:rsid w:val="00D7798C"/>
    <w:rsid w:val="00D81B5F"/>
    <w:rsid w:val="00D825CC"/>
    <w:rsid w:val="00D828D9"/>
    <w:rsid w:val="00D82A43"/>
    <w:rsid w:val="00D852D8"/>
    <w:rsid w:val="00D85356"/>
    <w:rsid w:val="00D866ED"/>
    <w:rsid w:val="00D87522"/>
    <w:rsid w:val="00D878F4"/>
    <w:rsid w:val="00D87B9C"/>
    <w:rsid w:val="00D904AB"/>
    <w:rsid w:val="00D910A7"/>
    <w:rsid w:val="00D91C7E"/>
    <w:rsid w:val="00D9217B"/>
    <w:rsid w:val="00D93675"/>
    <w:rsid w:val="00D94792"/>
    <w:rsid w:val="00D94A91"/>
    <w:rsid w:val="00D950D3"/>
    <w:rsid w:val="00D965D2"/>
    <w:rsid w:val="00D96A1A"/>
    <w:rsid w:val="00D96B77"/>
    <w:rsid w:val="00D96EB3"/>
    <w:rsid w:val="00D9757B"/>
    <w:rsid w:val="00DA1210"/>
    <w:rsid w:val="00DA19DC"/>
    <w:rsid w:val="00DA24EC"/>
    <w:rsid w:val="00DA27A6"/>
    <w:rsid w:val="00DA34B3"/>
    <w:rsid w:val="00DA3C9E"/>
    <w:rsid w:val="00DA5315"/>
    <w:rsid w:val="00DA74A6"/>
    <w:rsid w:val="00DA7B5D"/>
    <w:rsid w:val="00DB008A"/>
    <w:rsid w:val="00DB0671"/>
    <w:rsid w:val="00DB0E63"/>
    <w:rsid w:val="00DB2886"/>
    <w:rsid w:val="00DB432A"/>
    <w:rsid w:val="00DB4578"/>
    <w:rsid w:val="00DB4A3D"/>
    <w:rsid w:val="00DB5913"/>
    <w:rsid w:val="00DB6A25"/>
    <w:rsid w:val="00DB6EAD"/>
    <w:rsid w:val="00DC045E"/>
    <w:rsid w:val="00DC14A9"/>
    <w:rsid w:val="00DC2D59"/>
    <w:rsid w:val="00DC324D"/>
    <w:rsid w:val="00DC418D"/>
    <w:rsid w:val="00DC4425"/>
    <w:rsid w:val="00DC4765"/>
    <w:rsid w:val="00DC49D9"/>
    <w:rsid w:val="00DC4B02"/>
    <w:rsid w:val="00DC56C7"/>
    <w:rsid w:val="00DD0801"/>
    <w:rsid w:val="00DD0A11"/>
    <w:rsid w:val="00DD1294"/>
    <w:rsid w:val="00DD2BA8"/>
    <w:rsid w:val="00DD3699"/>
    <w:rsid w:val="00DD51DD"/>
    <w:rsid w:val="00DD5749"/>
    <w:rsid w:val="00DD5DEE"/>
    <w:rsid w:val="00DD7B2D"/>
    <w:rsid w:val="00DE1177"/>
    <w:rsid w:val="00DE387E"/>
    <w:rsid w:val="00DE5233"/>
    <w:rsid w:val="00DE57B3"/>
    <w:rsid w:val="00DE6D94"/>
    <w:rsid w:val="00DF097F"/>
    <w:rsid w:val="00DF144F"/>
    <w:rsid w:val="00DF306A"/>
    <w:rsid w:val="00DF3B02"/>
    <w:rsid w:val="00DF58E7"/>
    <w:rsid w:val="00DF5EAB"/>
    <w:rsid w:val="00DF72C4"/>
    <w:rsid w:val="00E0054B"/>
    <w:rsid w:val="00E02328"/>
    <w:rsid w:val="00E02512"/>
    <w:rsid w:val="00E026F2"/>
    <w:rsid w:val="00E02BEA"/>
    <w:rsid w:val="00E031CA"/>
    <w:rsid w:val="00E03ED0"/>
    <w:rsid w:val="00E04152"/>
    <w:rsid w:val="00E04CAA"/>
    <w:rsid w:val="00E04EF8"/>
    <w:rsid w:val="00E05078"/>
    <w:rsid w:val="00E057C1"/>
    <w:rsid w:val="00E05846"/>
    <w:rsid w:val="00E07C50"/>
    <w:rsid w:val="00E11368"/>
    <w:rsid w:val="00E11876"/>
    <w:rsid w:val="00E13A0B"/>
    <w:rsid w:val="00E1475B"/>
    <w:rsid w:val="00E15CB7"/>
    <w:rsid w:val="00E20443"/>
    <w:rsid w:val="00E20454"/>
    <w:rsid w:val="00E20F82"/>
    <w:rsid w:val="00E219E8"/>
    <w:rsid w:val="00E21E82"/>
    <w:rsid w:val="00E226A9"/>
    <w:rsid w:val="00E23C4A"/>
    <w:rsid w:val="00E23CBB"/>
    <w:rsid w:val="00E23F5C"/>
    <w:rsid w:val="00E242AE"/>
    <w:rsid w:val="00E259D7"/>
    <w:rsid w:val="00E27426"/>
    <w:rsid w:val="00E27F6B"/>
    <w:rsid w:val="00E307AB"/>
    <w:rsid w:val="00E32B21"/>
    <w:rsid w:val="00E352D5"/>
    <w:rsid w:val="00E3617F"/>
    <w:rsid w:val="00E36D2A"/>
    <w:rsid w:val="00E37934"/>
    <w:rsid w:val="00E37B59"/>
    <w:rsid w:val="00E41ADF"/>
    <w:rsid w:val="00E4257D"/>
    <w:rsid w:val="00E440A7"/>
    <w:rsid w:val="00E44A82"/>
    <w:rsid w:val="00E46392"/>
    <w:rsid w:val="00E46699"/>
    <w:rsid w:val="00E46CE9"/>
    <w:rsid w:val="00E5032A"/>
    <w:rsid w:val="00E51400"/>
    <w:rsid w:val="00E5230D"/>
    <w:rsid w:val="00E52779"/>
    <w:rsid w:val="00E5513C"/>
    <w:rsid w:val="00E55991"/>
    <w:rsid w:val="00E5755B"/>
    <w:rsid w:val="00E57C0D"/>
    <w:rsid w:val="00E57DF4"/>
    <w:rsid w:val="00E61185"/>
    <w:rsid w:val="00E632C8"/>
    <w:rsid w:val="00E65654"/>
    <w:rsid w:val="00E65A35"/>
    <w:rsid w:val="00E70D3A"/>
    <w:rsid w:val="00E7149F"/>
    <w:rsid w:val="00E71A02"/>
    <w:rsid w:val="00E76EB3"/>
    <w:rsid w:val="00E80545"/>
    <w:rsid w:val="00E81F7D"/>
    <w:rsid w:val="00E825DB"/>
    <w:rsid w:val="00E82F19"/>
    <w:rsid w:val="00E8319A"/>
    <w:rsid w:val="00E83B4E"/>
    <w:rsid w:val="00E841F4"/>
    <w:rsid w:val="00E8517C"/>
    <w:rsid w:val="00E85840"/>
    <w:rsid w:val="00E85F1C"/>
    <w:rsid w:val="00E8642B"/>
    <w:rsid w:val="00E87B7F"/>
    <w:rsid w:val="00E90746"/>
    <w:rsid w:val="00E920E7"/>
    <w:rsid w:val="00E92DA8"/>
    <w:rsid w:val="00E9354A"/>
    <w:rsid w:val="00E9359B"/>
    <w:rsid w:val="00E93973"/>
    <w:rsid w:val="00E93D98"/>
    <w:rsid w:val="00E94E6B"/>
    <w:rsid w:val="00E95CFB"/>
    <w:rsid w:val="00E95DC3"/>
    <w:rsid w:val="00EA14D6"/>
    <w:rsid w:val="00EA1AE3"/>
    <w:rsid w:val="00EA36C6"/>
    <w:rsid w:val="00EA4296"/>
    <w:rsid w:val="00EA5364"/>
    <w:rsid w:val="00EA56E4"/>
    <w:rsid w:val="00EA5948"/>
    <w:rsid w:val="00EA5D39"/>
    <w:rsid w:val="00EA5F07"/>
    <w:rsid w:val="00EA69D4"/>
    <w:rsid w:val="00EA6C22"/>
    <w:rsid w:val="00EB03BB"/>
    <w:rsid w:val="00EB06C3"/>
    <w:rsid w:val="00EB1186"/>
    <w:rsid w:val="00EB123A"/>
    <w:rsid w:val="00EB25CE"/>
    <w:rsid w:val="00EB3067"/>
    <w:rsid w:val="00EB32CF"/>
    <w:rsid w:val="00EB42AC"/>
    <w:rsid w:val="00EB44F5"/>
    <w:rsid w:val="00EB48B0"/>
    <w:rsid w:val="00EB5D4B"/>
    <w:rsid w:val="00EB693A"/>
    <w:rsid w:val="00EC111E"/>
    <w:rsid w:val="00EC21C3"/>
    <w:rsid w:val="00EC255F"/>
    <w:rsid w:val="00EC2C84"/>
    <w:rsid w:val="00EC2D71"/>
    <w:rsid w:val="00EC34EF"/>
    <w:rsid w:val="00EC36C4"/>
    <w:rsid w:val="00EC3CB9"/>
    <w:rsid w:val="00EC4023"/>
    <w:rsid w:val="00EC44A9"/>
    <w:rsid w:val="00EC4E3B"/>
    <w:rsid w:val="00EC6A2F"/>
    <w:rsid w:val="00ED0BB1"/>
    <w:rsid w:val="00ED1D86"/>
    <w:rsid w:val="00ED5725"/>
    <w:rsid w:val="00ED5770"/>
    <w:rsid w:val="00ED65F0"/>
    <w:rsid w:val="00ED7031"/>
    <w:rsid w:val="00ED7957"/>
    <w:rsid w:val="00EE1B25"/>
    <w:rsid w:val="00EE1D7A"/>
    <w:rsid w:val="00EE2335"/>
    <w:rsid w:val="00EE2E38"/>
    <w:rsid w:val="00EE3060"/>
    <w:rsid w:val="00EE33D6"/>
    <w:rsid w:val="00EE3680"/>
    <w:rsid w:val="00EE4315"/>
    <w:rsid w:val="00EE4A01"/>
    <w:rsid w:val="00EE5008"/>
    <w:rsid w:val="00EE5176"/>
    <w:rsid w:val="00EE57FF"/>
    <w:rsid w:val="00EE5C64"/>
    <w:rsid w:val="00EE6852"/>
    <w:rsid w:val="00EE703D"/>
    <w:rsid w:val="00EE7783"/>
    <w:rsid w:val="00EF0186"/>
    <w:rsid w:val="00EF2459"/>
    <w:rsid w:val="00EF3C6F"/>
    <w:rsid w:val="00EF45F1"/>
    <w:rsid w:val="00EF5C58"/>
    <w:rsid w:val="00EF5FC0"/>
    <w:rsid w:val="00EF6655"/>
    <w:rsid w:val="00EF70EF"/>
    <w:rsid w:val="00F007F9"/>
    <w:rsid w:val="00F00BC7"/>
    <w:rsid w:val="00F019ED"/>
    <w:rsid w:val="00F02377"/>
    <w:rsid w:val="00F0251E"/>
    <w:rsid w:val="00F0385D"/>
    <w:rsid w:val="00F04C98"/>
    <w:rsid w:val="00F052AA"/>
    <w:rsid w:val="00F05F8A"/>
    <w:rsid w:val="00F06C62"/>
    <w:rsid w:val="00F06D0B"/>
    <w:rsid w:val="00F101BF"/>
    <w:rsid w:val="00F10C9E"/>
    <w:rsid w:val="00F11AFE"/>
    <w:rsid w:val="00F12264"/>
    <w:rsid w:val="00F12763"/>
    <w:rsid w:val="00F136B7"/>
    <w:rsid w:val="00F13C5B"/>
    <w:rsid w:val="00F1527B"/>
    <w:rsid w:val="00F1768C"/>
    <w:rsid w:val="00F252BF"/>
    <w:rsid w:val="00F259C2"/>
    <w:rsid w:val="00F26272"/>
    <w:rsid w:val="00F263E9"/>
    <w:rsid w:val="00F26ED3"/>
    <w:rsid w:val="00F27623"/>
    <w:rsid w:val="00F31135"/>
    <w:rsid w:val="00F31401"/>
    <w:rsid w:val="00F31704"/>
    <w:rsid w:val="00F31A3C"/>
    <w:rsid w:val="00F32EE2"/>
    <w:rsid w:val="00F33037"/>
    <w:rsid w:val="00F33FA2"/>
    <w:rsid w:val="00F3620F"/>
    <w:rsid w:val="00F36359"/>
    <w:rsid w:val="00F376B5"/>
    <w:rsid w:val="00F377ED"/>
    <w:rsid w:val="00F40241"/>
    <w:rsid w:val="00F41B0A"/>
    <w:rsid w:val="00F41B38"/>
    <w:rsid w:val="00F41FD9"/>
    <w:rsid w:val="00F42B50"/>
    <w:rsid w:val="00F43339"/>
    <w:rsid w:val="00F4387C"/>
    <w:rsid w:val="00F43C89"/>
    <w:rsid w:val="00F43D49"/>
    <w:rsid w:val="00F445E4"/>
    <w:rsid w:val="00F448CD"/>
    <w:rsid w:val="00F468B7"/>
    <w:rsid w:val="00F4711F"/>
    <w:rsid w:val="00F47934"/>
    <w:rsid w:val="00F505D5"/>
    <w:rsid w:val="00F50B8F"/>
    <w:rsid w:val="00F50DCE"/>
    <w:rsid w:val="00F513DE"/>
    <w:rsid w:val="00F51580"/>
    <w:rsid w:val="00F51CB7"/>
    <w:rsid w:val="00F523E1"/>
    <w:rsid w:val="00F528C2"/>
    <w:rsid w:val="00F536C1"/>
    <w:rsid w:val="00F54433"/>
    <w:rsid w:val="00F54A57"/>
    <w:rsid w:val="00F54F33"/>
    <w:rsid w:val="00F57DE7"/>
    <w:rsid w:val="00F60B9D"/>
    <w:rsid w:val="00F62513"/>
    <w:rsid w:val="00F62949"/>
    <w:rsid w:val="00F62B7A"/>
    <w:rsid w:val="00F637E3"/>
    <w:rsid w:val="00F6397D"/>
    <w:rsid w:val="00F64BF9"/>
    <w:rsid w:val="00F65ED7"/>
    <w:rsid w:val="00F663FC"/>
    <w:rsid w:val="00F67308"/>
    <w:rsid w:val="00F67A31"/>
    <w:rsid w:val="00F708EE"/>
    <w:rsid w:val="00F711A0"/>
    <w:rsid w:val="00F7193F"/>
    <w:rsid w:val="00F7243A"/>
    <w:rsid w:val="00F7293E"/>
    <w:rsid w:val="00F740FC"/>
    <w:rsid w:val="00F758BB"/>
    <w:rsid w:val="00F75D0A"/>
    <w:rsid w:val="00F76650"/>
    <w:rsid w:val="00F77194"/>
    <w:rsid w:val="00F808D3"/>
    <w:rsid w:val="00F81DD2"/>
    <w:rsid w:val="00F8243A"/>
    <w:rsid w:val="00F83A81"/>
    <w:rsid w:val="00F83FA2"/>
    <w:rsid w:val="00F84DE5"/>
    <w:rsid w:val="00F853C5"/>
    <w:rsid w:val="00F8588B"/>
    <w:rsid w:val="00F85A11"/>
    <w:rsid w:val="00F85CEC"/>
    <w:rsid w:val="00F86F2D"/>
    <w:rsid w:val="00F8774E"/>
    <w:rsid w:val="00F90514"/>
    <w:rsid w:val="00F9187B"/>
    <w:rsid w:val="00F91D70"/>
    <w:rsid w:val="00F92385"/>
    <w:rsid w:val="00F93B9D"/>
    <w:rsid w:val="00F94757"/>
    <w:rsid w:val="00F95421"/>
    <w:rsid w:val="00F9552B"/>
    <w:rsid w:val="00F957B9"/>
    <w:rsid w:val="00F959E4"/>
    <w:rsid w:val="00F96E55"/>
    <w:rsid w:val="00F97C31"/>
    <w:rsid w:val="00FA100D"/>
    <w:rsid w:val="00FA1B4F"/>
    <w:rsid w:val="00FA20D3"/>
    <w:rsid w:val="00FA3541"/>
    <w:rsid w:val="00FA3759"/>
    <w:rsid w:val="00FA3AB2"/>
    <w:rsid w:val="00FA4E73"/>
    <w:rsid w:val="00FA5BBC"/>
    <w:rsid w:val="00FB0755"/>
    <w:rsid w:val="00FB1A24"/>
    <w:rsid w:val="00FB3212"/>
    <w:rsid w:val="00FB7E77"/>
    <w:rsid w:val="00FC1EEF"/>
    <w:rsid w:val="00FC2CE5"/>
    <w:rsid w:val="00FC3BBF"/>
    <w:rsid w:val="00FC4652"/>
    <w:rsid w:val="00FC47F9"/>
    <w:rsid w:val="00FC4F80"/>
    <w:rsid w:val="00FC5154"/>
    <w:rsid w:val="00FC66C9"/>
    <w:rsid w:val="00FC6D7A"/>
    <w:rsid w:val="00FC7E53"/>
    <w:rsid w:val="00FD128A"/>
    <w:rsid w:val="00FD16BC"/>
    <w:rsid w:val="00FD20F4"/>
    <w:rsid w:val="00FD213B"/>
    <w:rsid w:val="00FD5999"/>
    <w:rsid w:val="00FD7A58"/>
    <w:rsid w:val="00FE22C9"/>
    <w:rsid w:val="00FE3565"/>
    <w:rsid w:val="00FE3991"/>
    <w:rsid w:val="00FE5580"/>
    <w:rsid w:val="00FE656B"/>
    <w:rsid w:val="00FF110C"/>
    <w:rsid w:val="00FF195C"/>
    <w:rsid w:val="00FF351D"/>
    <w:rsid w:val="00FF384C"/>
    <w:rsid w:val="00FF3CFA"/>
    <w:rsid w:val="00FF47D0"/>
    <w:rsid w:val="00FF549C"/>
    <w:rsid w:val="00FF5F0B"/>
    <w:rsid w:val="00FF6C65"/>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1BAD1"/>
  <w15:chartTrackingRefBased/>
  <w15:docId w15:val="{A5887813-F560-4AB8-BB2E-B4EEBA1FB4A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4"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A56F2"/>
    <w:pPr>
      <w:numPr>
        <w:numId w:val="6"/>
      </w:numPr>
    </w:pPr>
    <w:rPr>
      <w:rFonts w:eastAsiaTheme="majorEastAsia" w:cstheme="majorBidi"/>
      <w:szCs w:val="32"/>
    </w:rPr>
  </w:style>
  <w:style w:type="paragraph" w:styleId="Heading2">
    <w:name w:val="heading 2"/>
    <w:basedOn w:val="Dummy"/>
    <w:next w:val="Standard"/>
    <w:link w:val="Heading2Char"/>
    <w:uiPriority w:val="4"/>
    <w:qFormat/>
    <w:rsid w:val="000A56F2"/>
    <w:pPr>
      <w:numPr>
        <w:ilvl w:val="1"/>
        <w:numId w:val="6"/>
      </w:numPr>
      <w:outlineLvl w:val="1"/>
    </w:pPr>
  </w:style>
  <w:style w:type="paragraph" w:styleId="Heading3">
    <w:name w:val="heading 3"/>
    <w:basedOn w:val="Dummy"/>
    <w:next w:val="Standard"/>
    <w:link w:val="Heading3Char"/>
    <w:uiPriority w:val="4"/>
    <w:qFormat/>
    <w:rsid w:val="000A56F2"/>
    <w:pPr>
      <w:numPr>
        <w:ilvl w:val="2"/>
        <w:numId w:val="6"/>
      </w:numPr>
      <w:outlineLvl w:val="2"/>
    </w:pPr>
    <w:rPr>
      <w:rFonts w:eastAsiaTheme="majorEastAsia" w:cstheme="majorBidi"/>
      <w:szCs w:val="24"/>
    </w:rPr>
  </w:style>
  <w:style w:type="paragraph" w:styleId="Heading4">
    <w:name w:val="heading 4"/>
    <w:basedOn w:val="Dummy"/>
    <w:next w:val="Standard"/>
    <w:link w:val="Heading4Char"/>
    <w:uiPriority w:val="4"/>
    <w:qFormat/>
    <w:rsid w:val="000A56F2"/>
    <w:pPr>
      <w:numPr>
        <w:ilvl w:val="3"/>
        <w:numId w:val="6"/>
      </w:numPr>
      <w:outlineLvl w:val="3"/>
    </w:pPr>
    <w:rPr>
      <w:rFonts w:eastAsiaTheme="majorEastAsia" w:cstheme="majorBidi"/>
      <w:iCs/>
    </w:rPr>
  </w:style>
  <w:style w:type="paragraph" w:styleId="Heading5">
    <w:name w:val="heading 5"/>
    <w:basedOn w:val="Dummy"/>
    <w:next w:val="Standard"/>
    <w:link w:val="Heading5Char"/>
    <w:uiPriority w:val="4"/>
    <w:qFormat/>
    <w:rsid w:val="000A56F2"/>
    <w:pPr>
      <w:numPr>
        <w:ilvl w:val="4"/>
        <w:numId w:val="6"/>
      </w:numPr>
      <w:outlineLvl w:val="4"/>
    </w:pPr>
    <w:rPr>
      <w:rFonts w:eastAsiaTheme="majorEastAsia" w:cstheme="majorBidi"/>
    </w:rPr>
  </w:style>
  <w:style w:type="paragraph" w:styleId="Heading6">
    <w:name w:val="heading 6"/>
    <w:basedOn w:val="Dummy"/>
    <w:next w:val="Standard"/>
    <w:link w:val="Heading6Char"/>
    <w:uiPriority w:val="4"/>
    <w:qFormat/>
    <w:rsid w:val="000A56F2"/>
    <w:pPr>
      <w:numPr>
        <w:ilvl w:val="5"/>
        <w:numId w:val="6"/>
      </w:numPr>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7657C1"/>
    <w:rPr>
      <w:rFonts w:ascii="Book Antiqua" w:hAnsi="Book Antiqua"/>
      <w:szCs w:val="20"/>
    </w:rPr>
  </w:style>
  <w:style w:type="character" w:styleId="FootnoteReference">
    <w:name w:val="footnote reference"/>
    <w:aliases w:val="o,o + Times New Roman,fr,o1,o2,o3,o4,o5,o6,o11,o21,o7,Style 13,Style 12,Style 15,Style 17,Style 9,fr1,fr2,fr3,Style 18,(NECG) Footnote Reference,Style 20,Style 7,Style 8,Style 19,Style 28,Style 11,Style 16,Styl"/>
    <w:basedOn w:val="DefaultParagraphFont"/>
    <w:uiPriority w:val="99"/>
    <w:semiHidden/>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uiPriority w:val="99"/>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character" w:customStyle="1" w:styleId="ALJBodyTextChar">
    <w:name w:val="ALJ Body Text Char"/>
    <w:basedOn w:val="DefaultParagraphFont"/>
    <w:link w:val="ALJBodyText"/>
    <w:locked/>
    <w:rsid w:val="005445A1"/>
    <w:rPr>
      <w:rFonts w:ascii="Book Antiqua" w:hAnsi="Book Antiqua"/>
      <w:sz w:val="26"/>
    </w:rPr>
  </w:style>
  <w:style w:type="paragraph" w:customStyle="1" w:styleId="ALJBodyText">
    <w:name w:val="ALJ Body Text"/>
    <w:basedOn w:val="Normal"/>
    <w:link w:val="ALJBodyTextChar"/>
    <w:qFormat/>
    <w:rsid w:val="005445A1"/>
  </w:style>
  <w:style w:type="character" w:customStyle="1" w:styleId="standardChar">
    <w:name w:val="standard Char"/>
    <w:link w:val="standard0"/>
    <w:locked/>
    <w:rsid w:val="005445A1"/>
    <w:rPr>
      <w:rFonts w:ascii="Palatino" w:eastAsia="Times New Roman" w:hAnsi="Palatino"/>
      <w:sz w:val="26"/>
    </w:rPr>
  </w:style>
  <w:style w:type="paragraph" w:customStyle="1" w:styleId="standard0">
    <w:name w:val="standard"/>
    <w:basedOn w:val="Normal"/>
    <w:link w:val="standardChar"/>
    <w:rsid w:val="005445A1"/>
    <w:rPr>
      <w:rFonts w:ascii="Palatino" w:eastAsia="Times New Roman" w:hAnsi="Palatino"/>
    </w:rPr>
  </w:style>
  <w:style w:type="paragraph" w:styleId="ListParagraph">
    <w:name w:val="List Paragraph"/>
    <w:basedOn w:val="Normal"/>
    <w:uiPriority w:val="34"/>
    <w:qFormat/>
    <w:rsid w:val="005445A1"/>
    <w:pPr>
      <w:ind w:left="720"/>
      <w:contextualSpacing/>
    </w:pPr>
  </w:style>
  <w:style w:type="paragraph" w:styleId="CommentText">
    <w:name w:val="annotation text"/>
    <w:basedOn w:val="Normal"/>
    <w:link w:val="CommentTextChar"/>
    <w:uiPriority w:val="99"/>
    <w:semiHidden/>
    <w:unhideWhenUsed/>
    <w:rsid w:val="005445A1"/>
    <w:pPr>
      <w:spacing w:line="240" w:lineRule="auto"/>
      <w:ind w:firstLine="0"/>
    </w:pPr>
    <w:rPr>
      <w:rFonts w:cs="Times New Roman"/>
      <w:sz w:val="20"/>
      <w:szCs w:val="20"/>
    </w:rPr>
  </w:style>
  <w:style w:type="character" w:customStyle="1" w:styleId="CommentTextChar">
    <w:name w:val="Comment Text Char"/>
    <w:basedOn w:val="DefaultParagraphFont"/>
    <w:link w:val="CommentText"/>
    <w:uiPriority w:val="99"/>
    <w:semiHidden/>
    <w:rsid w:val="005445A1"/>
    <w:rPr>
      <w:rFonts w:ascii="Book Antiqua" w:hAnsi="Book Antiqua" w:cs="Times New Roman"/>
      <w:sz w:val="20"/>
      <w:szCs w:val="20"/>
    </w:rPr>
  </w:style>
  <w:style w:type="character" w:styleId="CommentReference">
    <w:name w:val="annotation reference"/>
    <w:basedOn w:val="DefaultParagraphFont"/>
    <w:uiPriority w:val="99"/>
    <w:semiHidden/>
    <w:unhideWhenUsed/>
    <w:rsid w:val="005445A1"/>
    <w:rPr>
      <w:sz w:val="16"/>
      <w:szCs w:val="16"/>
    </w:rPr>
  </w:style>
  <w:style w:type="paragraph" w:customStyle="1" w:styleId="ListNum">
    <w:name w:val="List Num"/>
    <w:basedOn w:val="Standard"/>
    <w:uiPriority w:val="4"/>
    <w:rsid w:val="002A4556"/>
    <w:pPr>
      <w:tabs>
        <w:tab w:val="num" w:pos="1080"/>
      </w:tabs>
      <w:spacing w:after="120" w:line="240" w:lineRule="auto"/>
      <w:ind w:left="1080" w:hanging="360"/>
    </w:pPr>
  </w:style>
  <w:style w:type="paragraph" w:styleId="CommentSubject">
    <w:name w:val="annotation subject"/>
    <w:basedOn w:val="CommentText"/>
    <w:next w:val="CommentText"/>
    <w:link w:val="CommentSubjectChar"/>
    <w:uiPriority w:val="99"/>
    <w:semiHidden/>
    <w:unhideWhenUsed/>
    <w:rsid w:val="004D6085"/>
    <w:pPr>
      <w:ind w:firstLine="720"/>
    </w:pPr>
    <w:rPr>
      <w:rFonts w:cstheme="minorBidi"/>
      <w:b/>
      <w:bCs/>
    </w:rPr>
  </w:style>
  <w:style w:type="character" w:customStyle="1" w:styleId="CommentSubjectChar">
    <w:name w:val="Comment Subject Char"/>
    <w:basedOn w:val="CommentTextChar"/>
    <w:link w:val="CommentSubject"/>
    <w:uiPriority w:val="99"/>
    <w:semiHidden/>
    <w:rsid w:val="004D6085"/>
    <w:rPr>
      <w:rFonts w:ascii="Book Antiqua" w:hAnsi="Book Antiqua" w:cs="Times New Roman"/>
      <w:b/>
      <w:bCs/>
      <w:sz w:val="20"/>
      <w:szCs w:val="20"/>
    </w:rPr>
  </w:style>
  <w:style w:type="paragraph" w:customStyle="1" w:styleId="MediumGrid1-Accent21">
    <w:name w:val="Medium Grid 1 - Accent 21"/>
    <w:basedOn w:val="Normal"/>
    <w:uiPriority w:val="34"/>
    <w:rsid w:val="00D719CC"/>
    <w:pPr>
      <w:spacing w:line="240" w:lineRule="auto"/>
      <w:ind w:left="720" w:firstLine="0"/>
      <w:contextualSpacing/>
    </w:pPr>
    <w:rPr>
      <w:rFonts w:ascii="Times New Roman" w:hAnsi="Times New Roman" w:cs="Times New Roman"/>
      <w:sz w:val="24"/>
      <w:szCs w:val="24"/>
    </w:rPr>
  </w:style>
  <w:style w:type="paragraph" w:customStyle="1" w:styleId="Default">
    <w:name w:val="Default"/>
    <w:rsid w:val="00D719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6502">
      <w:bodyDiv w:val="1"/>
      <w:marLeft w:val="0"/>
      <w:marRight w:val="0"/>
      <w:marTop w:val="0"/>
      <w:marBottom w:val="0"/>
      <w:divBdr>
        <w:top w:val="none" w:sz="0" w:space="0" w:color="auto"/>
        <w:left w:val="none" w:sz="0" w:space="0" w:color="auto"/>
        <w:bottom w:val="none" w:sz="0" w:space="0" w:color="auto"/>
        <w:right w:val="none" w:sz="0" w:space="0" w:color="auto"/>
      </w:divBdr>
    </w:div>
    <w:div w:id="21029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37BC-BFDE-4DE4-A294-B4F302E431D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54</ap:Pages>
  <ap:Words>13233</ap:Words>
  <ap:Characters>75432</ap:Characters>
  <ap:Application>Microsoft Office Word</ap:Application>
  <ap:DocSecurity>0</ap:DocSecurity>
  <ap:Lines>628</ap:Lines>
  <ap:Paragraphs>176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88489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2021-07-12T21:21:00Z</cp:lastPrinted>
  <dcterms:created xsi:type="dcterms:W3CDTF">2021-07-16T11:41:57Z</dcterms:created>
  <dcterms:modified xsi:type="dcterms:W3CDTF">2021-07-16T11:41:57Z</dcterms:modified>
</cp:coreProperties>
</file>