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6B6" w:rsidP="007446B6" w:rsidRDefault="007446B6" w14:paraId="14CE2C4D" w14:textId="2D00C9AD">
      <w:pPr>
        <w:jc w:val="center"/>
        <w:rPr>
          <w:rFonts w:ascii="Arial" w:hAnsi="Arial" w:cs="Arial"/>
          <w:b/>
          <w:bCs/>
        </w:rPr>
      </w:pPr>
      <w:r w:rsidRPr="00C468E4">
        <w:rPr>
          <w:rFonts w:ascii="Arial" w:hAnsi="Arial" w:cs="Arial"/>
          <w:b/>
          <w:bCs/>
        </w:rPr>
        <w:t>PUBLIC UTILITIES COMMISSION OF THE STATE OF CALIFORNIA</w:t>
      </w:r>
    </w:p>
    <w:p w:rsidRPr="00A6384A" w:rsidR="007446B6" w:rsidP="00A6384A" w:rsidRDefault="007F4CFF" w14:paraId="61FBD8FC" w14:textId="01AE1513">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00C230C5">
        <w:rPr>
          <w:rFonts w:cs="Arial"/>
        </w:rPr>
        <w:t xml:space="preserve"> </w:t>
      </w:r>
    </w:p>
    <w:p w:rsidR="007446B6" w:rsidP="00C230C5" w:rsidRDefault="007446B6" w14:paraId="7CFC15D7" w14:textId="05438A0F">
      <w:pPr>
        <w:tabs>
          <w:tab w:val="left" w:pos="5760"/>
          <w:tab w:val="right" w:pos="9360"/>
        </w:tabs>
        <w:ind w:left="3600" w:hanging="3600"/>
        <w:rPr>
          <w:b/>
          <w:bCs/>
        </w:rPr>
      </w:pPr>
      <w:r w:rsidRPr="00C468E4">
        <w:rPr>
          <w:b/>
          <w:bCs/>
        </w:rPr>
        <w:t>WILDFIRE SAFETY DIVISION</w:t>
      </w:r>
      <w:r w:rsidR="00C230C5">
        <w:rPr>
          <w:b/>
          <w:bCs/>
        </w:rPr>
        <w:tab/>
      </w:r>
      <w:r w:rsidRPr="00C468E4">
        <w:rPr>
          <w:b/>
          <w:bCs/>
        </w:rPr>
        <w:t>RESOLUTION</w:t>
      </w:r>
      <w:r w:rsidRPr="00C468E4" w:rsidR="171BA2D2">
        <w:rPr>
          <w:b/>
          <w:bCs/>
        </w:rPr>
        <w:t xml:space="preserve"> WSD-</w:t>
      </w:r>
      <w:r w:rsidR="003A72F4">
        <w:rPr>
          <w:b/>
          <w:bCs/>
        </w:rPr>
        <w:t>019</w:t>
      </w:r>
    </w:p>
    <w:p w:rsidRPr="00C468E4" w:rsidR="00C230C5" w:rsidP="00C230C5" w:rsidRDefault="00C230C5" w14:paraId="0B1412C1" w14:textId="03035674">
      <w:pPr>
        <w:tabs>
          <w:tab w:val="left" w:pos="5760"/>
          <w:tab w:val="right" w:pos="9360"/>
        </w:tabs>
        <w:ind w:left="3600" w:hanging="3600"/>
        <w:rPr>
          <w:b/>
          <w:bCs/>
        </w:rPr>
      </w:pPr>
      <w:r>
        <w:rPr>
          <w:b/>
          <w:bCs/>
        </w:rPr>
        <w:tab/>
      </w:r>
      <w:r>
        <w:rPr>
          <w:b/>
          <w:bCs/>
        </w:rPr>
        <w:tab/>
        <w:t>July 15, 2021</w:t>
      </w:r>
    </w:p>
    <w:p w:rsidRPr="00C468E4" w:rsidR="007446B6" w:rsidP="007446B6" w:rsidRDefault="007446B6" w14:paraId="3A4605E6" w14:textId="2B5D1DE6">
      <w:pPr>
        <w:tabs>
          <w:tab w:val="right" w:pos="9360"/>
        </w:tabs>
      </w:pPr>
    </w:p>
    <w:p w:rsidRPr="00C468E4" w:rsidR="007446B6" w:rsidP="007446B6" w:rsidRDefault="007446B6" w14:paraId="2E50D620" w14:textId="0E2BE9FD">
      <w:pPr>
        <w:pStyle w:val="Mainex"/>
        <w:rPr>
          <w:u w:val="single"/>
        </w:rPr>
      </w:pPr>
      <w:r w:rsidRPr="00C468E4">
        <w:rPr>
          <w:u w:val="single"/>
        </w:rPr>
        <w:t>Resolution</w:t>
      </w:r>
    </w:p>
    <w:p w:rsidRPr="00C468E4" w:rsidR="007446B6" w:rsidP="007446B6" w:rsidRDefault="007446B6" w14:paraId="0D428B41" w14:textId="4CE4FDBA"/>
    <w:p w:rsidRPr="00C468E4" w:rsidR="00810BC4" w:rsidP="00C74C40" w:rsidRDefault="00810BC4" w14:paraId="453182D7" w14:textId="6A2BB3C5">
      <w:pPr>
        <w:pStyle w:val="Res-Caption"/>
        <w:pBdr>
          <w:bottom w:val="single" w:color="auto" w:sz="12" w:space="1"/>
        </w:pBdr>
        <w:rPr>
          <w:rFonts w:ascii="Book Antiqua" w:hAnsi="Book Antiqua"/>
        </w:rPr>
      </w:pPr>
      <w:bookmarkStart w:name="_Hlk76651138" w:id="0"/>
      <w:r w:rsidRPr="00C468E4">
        <w:rPr>
          <w:rFonts w:ascii="Book Antiqua" w:hAnsi="Book Antiqua"/>
        </w:rPr>
        <w:t>RESOLUTION WSD-</w:t>
      </w:r>
      <w:r w:rsidR="003A72F4">
        <w:rPr>
          <w:rFonts w:ascii="Book Antiqua" w:hAnsi="Book Antiqua"/>
        </w:rPr>
        <w:t>019</w:t>
      </w:r>
      <w:r w:rsidRPr="00C468E4">
        <w:rPr>
          <w:rFonts w:ascii="Book Antiqua" w:hAnsi="Book Antiqua"/>
        </w:rPr>
        <w:t xml:space="preserve"> Resolution </w:t>
      </w:r>
      <w:bookmarkEnd w:id="0"/>
      <w:r w:rsidRPr="00C468E4">
        <w:rPr>
          <w:rFonts w:ascii="Book Antiqua" w:hAnsi="Book Antiqua"/>
        </w:rPr>
        <w:t xml:space="preserve">Ratifying Action of the Wildfire Safety Division on </w:t>
      </w:r>
      <w:r w:rsidRPr="00C468E4" w:rsidR="0054447D">
        <w:rPr>
          <w:rFonts w:ascii="Book Antiqua" w:hAnsi="Book Antiqua"/>
        </w:rPr>
        <w:t>San Diego Gas &amp; Electric</w:t>
      </w:r>
      <w:r w:rsidRPr="00C468E4">
        <w:rPr>
          <w:rFonts w:ascii="Book Antiqua" w:hAnsi="Book Antiqua"/>
        </w:rPr>
        <w:t xml:space="preserve">’s </w:t>
      </w:r>
      <w:r w:rsidRPr="00C468E4" w:rsidR="0054447D">
        <w:rPr>
          <w:rFonts w:ascii="Book Antiqua" w:hAnsi="Book Antiqua"/>
        </w:rPr>
        <w:t>2021</w:t>
      </w:r>
      <w:r w:rsidRPr="00C468E4">
        <w:rPr>
          <w:rFonts w:ascii="Book Antiqua" w:hAnsi="Book Antiqua"/>
        </w:rPr>
        <w:t xml:space="preserve"> Wildfire Mitigation Plan</w:t>
      </w:r>
      <w:r w:rsidRPr="00C468E4" w:rsidR="0054447D">
        <w:rPr>
          <w:rFonts w:ascii="Book Antiqua" w:hAnsi="Book Antiqua"/>
        </w:rPr>
        <w:t xml:space="preserve"> Update</w:t>
      </w:r>
      <w:r w:rsidRPr="00C468E4">
        <w:rPr>
          <w:rFonts w:ascii="Book Antiqua" w:hAnsi="Book Antiqua"/>
        </w:rPr>
        <w:t xml:space="preserve"> Pursuant to Public Utilities Code Section 8386.</w:t>
      </w:r>
    </w:p>
    <w:p w:rsidRPr="00C468E4" w:rsidR="00810BC4" w:rsidP="00C74C40" w:rsidRDefault="00810BC4" w14:paraId="44BB2056" w14:textId="77777777">
      <w:pPr>
        <w:pStyle w:val="Res-Caption"/>
        <w:pBdr>
          <w:bottom w:val="single" w:color="auto" w:sz="12" w:space="1"/>
        </w:pBdr>
        <w:rPr>
          <w:rFonts w:ascii="Book Antiqua" w:hAnsi="Book Antiqua"/>
        </w:rPr>
      </w:pPr>
    </w:p>
    <w:p w:rsidRPr="00C468E4" w:rsidR="00810BC4" w:rsidP="00C74C40" w:rsidRDefault="00810BC4" w14:paraId="1F3CD530" w14:textId="77777777">
      <w:pPr>
        <w:pStyle w:val="Res-Caption"/>
        <w:rPr>
          <w:rFonts w:ascii="Book Antiqua" w:hAnsi="Book Antiqua"/>
        </w:rPr>
      </w:pPr>
    </w:p>
    <w:p w:rsidRPr="00C468E4" w:rsidR="00EC153E" w:rsidP="00C74C40" w:rsidRDefault="00C74C40" w14:paraId="61CB1FE2" w14:textId="276E1B63">
      <w:pPr>
        <w:pStyle w:val="Res-Caption"/>
        <w:rPr>
          <w:rFonts w:ascii="Book Antiqua" w:hAnsi="Book Antiqua"/>
        </w:rPr>
      </w:pPr>
      <w:r w:rsidRPr="00C468E4">
        <w:rPr>
          <w:rFonts w:ascii="Book Antiqua" w:hAnsi="Book Antiqua"/>
        </w:rPr>
        <w:t xml:space="preserve">This Resolution ratifies the attached </w:t>
      </w:r>
      <w:r w:rsidRPr="00C468E4" w:rsidR="00EC153E">
        <w:rPr>
          <w:rFonts w:ascii="Book Antiqua" w:hAnsi="Book Antiqua"/>
        </w:rPr>
        <w:t xml:space="preserve">Action Statement (Appendix A) </w:t>
      </w:r>
      <w:r w:rsidRPr="00C468E4">
        <w:rPr>
          <w:rFonts w:ascii="Book Antiqua" w:hAnsi="Book Antiqua"/>
        </w:rPr>
        <w:t xml:space="preserve">of the Wildfire Safety Division </w:t>
      </w:r>
      <w:r w:rsidRPr="00C468E4" w:rsidR="000F30DB">
        <w:rPr>
          <w:rFonts w:ascii="Book Antiqua" w:hAnsi="Book Antiqua"/>
        </w:rPr>
        <w:t>(WSD)</w:t>
      </w:r>
      <w:r w:rsidRPr="00C468E4" w:rsidR="00997E2A">
        <w:rPr>
          <w:rStyle w:val="FootnoteReference"/>
          <w:rFonts w:ascii="Book Antiqua" w:hAnsi="Book Antiqua"/>
        </w:rPr>
        <w:footnoteReference w:id="2"/>
      </w:r>
      <w:r w:rsidRPr="00C468E4" w:rsidR="00EC153E">
        <w:rPr>
          <w:rFonts w:ascii="Book Antiqua" w:hAnsi="Book Antiqua"/>
        </w:rPr>
        <w:t xml:space="preserve"> approving </w:t>
      </w:r>
      <w:r w:rsidRPr="00C468E4" w:rsidR="0054447D">
        <w:rPr>
          <w:rFonts w:ascii="Book Antiqua" w:hAnsi="Book Antiqua"/>
        </w:rPr>
        <w:t>San Diego Gas &amp; Electric’s</w:t>
      </w:r>
      <w:r w:rsidRPr="00C468E4" w:rsidR="00BE3F66">
        <w:rPr>
          <w:rFonts w:ascii="Book Antiqua" w:hAnsi="Book Antiqua"/>
        </w:rPr>
        <w:t xml:space="preserve"> </w:t>
      </w:r>
      <w:r w:rsidRPr="00C468E4" w:rsidR="00EC153E">
        <w:rPr>
          <w:rFonts w:ascii="Book Antiqua" w:hAnsi="Book Antiqua"/>
        </w:rPr>
        <w:t>(</w:t>
      </w:r>
      <w:r w:rsidRPr="00C468E4" w:rsidR="00C47AAC">
        <w:rPr>
          <w:rFonts w:ascii="Book Antiqua" w:hAnsi="Book Antiqua"/>
        </w:rPr>
        <w:t>SDG&amp;E</w:t>
      </w:r>
      <w:r w:rsidRPr="00C468E4" w:rsidR="00EC153E">
        <w:rPr>
          <w:rFonts w:ascii="Book Antiqua" w:hAnsi="Book Antiqua"/>
        </w:rPr>
        <w:t>, or electrical corporation) 2021 Wildfire Mitigation Plan</w:t>
      </w:r>
      <w:r w:rsidRPr="00C468E4" w:rsidR="00917C13">
        <w:rPr>
          <w:rFonts w:ascii="Book Antiqua" w:hAnsi="Book Antiqua"/>
        </w:rPr>
        <w:t xml:space="preserve"> (WMP)</w:t>
      </w:r>
      <w:r w:rsidRPr="00C468E4" w:rsidR="00EC153E">
        <w:rPr>
          <w:rFonts w:ascii="Book Antiqua" w:hAnsi="Book Antiqua"/>
        </w:rPr>
        <w:t xml:space="preserve"> Update</w:t>
      </w:r>
      <w:r w:rsidRPr="00C468E4" w:rsidR="000F30DB">
        <w:rPr>
          <w:rFonts w:ascii="Book Antiqua" w:hAnsi="Book Antiqua"/>
        </w:rPr>
        <w:t xml:space="preserve"> </w:t>
      </w:r>
      <w:r w:rsidRPr="00C468E4">
        <w:rPr>
          <w:rFonts w:ascii="Book Antiqua" w:hAnsi="Book Antiqua"/>
        </w:rPr>
        <w:t>pursuant to Public Utilities Code Section 8386.</w:t>
      </w:r>
      <w:r w:rsidRPr="00C468E4" w:rsidR="009C6747">
        <w:rPr>
          <w:rFonts w:ascii="Book Antiqua" w:hAnsi="Book Antiqua"/>
        </w:rPr>
        <w:t xml:space="preserve"> </w:t>
      </w:r>
    </w:p>
    <w:p w:rsidRPr="00C468E4" w:rsidR="00EC153E" w:rsidP="00C74C40" w:rsidRDefault="00EC153E" w14:paraId="4B584E36" w14:textId="77777777">
      <w:pPr>
        <w:pStyle w:val="Res-Caption"/>
        <w:rPr>
          <w:rFonts w:ascii="Book Antiqua" w:hAnsi="Book Antiqua"/>
        </w:rPr>
      </w:pPr>
    </w:p>
    <w:p w:rsidRPr="00C468E4" w:rsidR="00C74C40" w:rsidP="00C74C40" w:rsidRDefault="005A4A44" w14:paraId="5BCF58AB" w14:textId="15200033">
      <w:pPr>
        <w:pStyle w:val="Res-Caption"/>
        <w:rPr>
          <w:rFonts w:ascii="Book Antiqua" w:hAnsi="Book Antiqua"/>
        </w:rPr>
      </w:pPr>
      <w:r w:rsidRPr="00CB0D41">
        <w:rPr>
          <w:rFonts w:ascii="Book Antiqua" w:hAnsi="Book Antiqua"/>
        </w:rPr>
        <w:t>Ensuring the safety of Californians is a central responsibility of the California Public Utilities Commission (Commission) and the WSD.</w:t>
      </w:r>
      <w:r w:rsidRPr="00C468E4">
        <w:rPr>
          <w:rFonts w:ascii="Book Antiqua" w:hAnsi="Book Antiqua"/>
        </w:rPr>
        <w:t xml:space="preserve"> </w:t>
      </w:r>
      <w:r w:rsidRPr="00C468E4" w:rsidR="00C74C40">
        <w:rPr>
          <w:rFonts w:ascii="Book Antiqua" w:hAnsi="Book Antiqua"/>
        </w:rPr>
        <w:t>Since several catastrophic wildfires in the San Diego area in 2007, the equipment of large electric utilities the Commission regulates has been implicated in the most devastating wildfires in our state’s history.</w:t>
      </w:r>
      <w:r w:rsidRPr="00C468E4" w:rsidR="009C6747">
        <w:rPr>
          <w:rFonts w:ascii="Book Antiqua" w:hAnsi="Book Antiqua"/>
        </w:rPr>
        <w:t xml:space="preserve"> </w:t>
      </w:r>
      <w:r w:rsidRPr="00C468E4" w:rsidR="00D86AF6">
        <w:rPr>
          <w:rFonts w:ascii="Book Antiqua" w:hAnsi="Book Antiqua"/>
        </w:rPr>
        <w:t xml:space="preserve">The </w:t>
      </w:r>
      <w:r w:rsidRPr="00C468E4" w:rsidR="00C74C40">
        <w:rPr>
          <w:rFonts w:ascii="Book Antiqua" w:hAnsi="Book Antiqua"/>
        </w:rPr>
        <w:t xml:space="preserve">California Legislature enacted several measures requiring electrical corporations to submit, and the </w:t>
      </w:r>
      <w:r w:rsidRPr="00C468E4" w:rsidR="000F30DB">
        <w:rPr>
          <w:rFonts w:ascii="Book Antiqua" w:hAnsi="Book Antiqua"/>
        </w:rPr>
        <w:t>WSD</w:t>
      </w:r>
      <w:r w:rsidRPr="00C468E4" w:rsidR="00C74C40">
        <w:rPr>
          <w:rFonts w:ascii="Book Antiqua" w:hAnsi="Book Antiqua"/>
        </w:rPr>
        <w:t xml:space="preserve"> to review, approve</w:t>
      </w:r>
      <w:r w:rsidRPr="00C468E4" w:rsidR="0050064D">
        <w:rPr>
          <w:rFonts w:ascii="Book Antiqua" w:hAnsi="Book Antiqua"/>
        </w:rPr>
        <w:t>,</w:t>
      </w:r>
      <w:r w:rsidRPr="00C468E4" w:rsidR="00C74C40">
        <w:rPr>
          <w:rFonts w:ascii="Book Antiqua" w:hAnsi="Book Antiqua"/>
        </w:rPr>
        <w:t xml:space="preserve"> or otherwise act on</w:t>
      </w:r>
      <w:r w:rsidRPr="00C468E4" w:rsidR="00E0379D">
        <w:rPr>
          <w:rFonts w:ascii="Book Antiqua" w:hAnsi="Book Antiqua"/>
        </w:rPr>
        <w:t>,</w:t>
      </w:r>
      <w:r w:rsidRPr="00C468E4" w:rsidR="00C74C40">
        <w:rPr>
          <w:rFonts w:ascii="Book Antiqua" w:hAnsi="Book Antiqua"/>
        </w:rPr>
        <w:t xml:space="preserve"> </w:t>
      </w:r>
      <w:r w:rsidRPr="00C468E4" w:rsidR="000F30DB">
        <w:rPr>
          <w:rFonts w:ascii="Book Antiqua" w:hAnsi="Book Antiqua"/>
        </w:rPr>
        <w:t xml:space="preserve">WMPs </w:t>
      </w:r>
      <w:r w:rsidRPr="00C468E4" w:rsidR="00C74C40">
        <w:rPr>
          <w:rFonts w:ascii="Book Antiqua" w:hAnsi="Book Antiqua"/>
        </w:rPr>
        <w:t>designed to reduce the risk of utility-</w:t>
      </w:r>
      <w:r w:rsidRPr="00C468E4" w:rsidR="005E6320">
        <w:rPr>
          <w:rFonts w:ascii="Book Antiqua" w:hAnsi="Book Antiqua"/>
        </w:rPr>
        <w:t>related</w:t>
      </w:r>
      <w:r w:rsidRPr="00C468E4" w:rsidR="00C74C40">
        <w:rPr>
          <w:rFonts w:ascii="Book Antiqua" w:hAnsi="Book Antiqua"/>
        </w:rPr>
        <w:t xml:space="preserve"> catastrophic wildfire.</w:t>
      </w:r>
      <w:r w:rsidRPr="00C468E4" w:rsidR="009C6747">
        <w:rPr>
          <w:rFonts w:ascii="Book Antiqua" w:hAnsi="Book Antiqua"/>
        </w:rPr>
        <w:t xml:space="preserve"> </w:t>
      </w:r>
      <w:r w:rsidRPr="00C468E4" w:rsidR="00C74C40">
        <w:rPr>
          <w:rFonts w:ascii="Book Antiqua" w:hAnsi="Book Antiqua"/>
        </w:rPr>
        <w:t>Key among the legislative measures are Senate Bill 901 (2018), Assembly Bill 1054 (2019), and Assembly Bill 111</w:t>
      </w:r>
      <w:r w:rsidRPr="00C468E4" w:rsidR="003E353D">
        <w:rPr>
          <w:rFonts w:ascii="Book Antiqua" w:hAnsi="Book Antiqua"/>
        </w:rPr>
        <w:t xml:space="preserve"> (2019)</w:t>
      </w:r>
      <w:r w:rsidRPr="00C468E4" w:rsidR="00C74C40">
        <w:rPr>
          <w:rFonts w:ascii="Book Antiqua" w:hAnsi="Book Antiqua"/>
        </w:rPr>
        <w:t>, discussed in detail below.</w:t>
      </w:r>
      <w:r w:rsidRPr="00C468E4" w:rsidR="009C6747">
        <w:rPr>
          <w:rFonts w:ascii="Book Antiqua" w:hAnsi="Book Antiqua"/>
        </w:rPr>
        <w:t xml:space="preserve"> </w:t>
      </w:r>
    </w:p>
    <w:p w:rsidRPr="00C468E4" w:rsidR="00C74C40" w:rsidP="00C74C40" w:rsidRDefault="00C74C40" w14:paraId="3C8974CF" w14:textId="77777777">
      <w:pPr>
        <w:pStyle w:val="Res-Caption"/>
        <w:rPr>
          <w:rFonts w:ascii="Book Antiqua" w:hAnsi="Book Antiqua"/>
        </w:rPr>
      </w:pPr>
    </w:p>
    <w:p w:rsidRPr="00C468E4" w:rsidR="00C74C40" w:rsidP="00C74C40" w:rsidRDefault="00C74C40" w14:paraId="0052F721" w14:textId="040D579F">
      <w:pPr>
        <w:pStyle w:val="Res-Caption"/>
        <w:rPr>
          <w:rFonts w:ascii="Book Antiqua" w:hAnsi="Book Antiqua"/>
        </w:rPr>
      </w:pPr>
      <w:r w:rsidRPr="00C468E4">
        <w:rPr>
          <w:rFonts w:ascii="Book Antiqua" w:hAnsi="Book Antiqua"/>
        </w:rPr>
        <w:t xml:space="preserve">This Resolution acts on the </w:t>
      </w:r>
      <w:r w:rsidRPr="00C468E4" w:rsidR="005A3AA5">
        <w:rPr>
          <w:rFonts w:ascii="Book Antiqua" w:hAnsi="Book Antiqua"/>
        </w:rPr>
        <w:t>WMP</w:t>
      </w:r>
      <w:r w:rsidRPr="00C468E4" w:rsidR="00EC153E">
        <w:rPr>
          <w:rFonts w:ascii="Book Antiqua" w:hAnsi="Book Antiqua"/>
        </w:rPr>
        <w:t xml:space="preserve"> Update</w:t>
      </w:r>
      <w:r w:rsidRPr="00C468E4" w:rsidR="005A3AA5">
        <w:rPr>
          <w:rFonts w:ascii="Book Antiqua" w:hAnsi="Book Antiqua"/>
        </w:rPr>
        <w:t xml:space="preserve"> </w:t>
      </w:r>
      <w:r w:rsidRPr="00C468E4">
        <w:rPr>
          <w:rFonts w:ascii="Book Antiqua" w:hAnsi="Book Antiqua"/>
        </w:rPr>
        <w:t xml:space="preserve">submitted on </w:t>
      </w:r>
      <w:r w:rsidR="00C230C5">
        <w:rPr>
          <w:rFonts w:ascii="Book Antiqua" w:hAnsi="Book Antiqua"/>
        </w:rPr>
        <w:br/>
      </w:r>
      <w:r w:rsidRPr="00C468E4" w:rsidR="008E5191">
        <w:rPr>
          <w:rFonts w:ascii="Book Antiqua" w:hAnsi="Book Antiqua"/>
        </w:rPr>
        <w:t>February 5, 2021</w:t>
      </w:r>
      <w:r w:rsidRPr="00C468E4">
        <w:rPr>
          <w:rFonts w:ascii="Book Antiqua" w:hAnsi="Book Antiqua"/>
        </w:rPr>
        <w:t xml:space="preserve">, of </w:t>
      </w:r>
      <w:r w:rsidR="00463872">
        <w:rPr>
          <w:rFonts w:ascii="Book Antiqua" w:hAnsi="Book Antiqua"/>
        </w:rPr>
        <w:t>SDG&amp;E</w:t>
      </w:r>
      <w:r w:rsidRPr="00C468E4">
        <w:rPr>
          <w:rFonts w:ascii="Book Antiqua" w:hAnsi="Book Antiqua"/>
        </w:rPr>
        <w:t xml:space="preserve"> pursuant to Public Utilities Code </w:t>
      </w:r>
      <w:r w:rsidRPr="00C468E4" w:rsidR="00D75026">
        <w:rPr>
          <w:rFonts w:ascii="Book Antiqua" w:hAnsi="Book Antiqua"/>
        </w:rPr>
        <w:t>S</w:t>
      </w:r>
      <w:r w:rsidRPr="00C468E4">
        <w:rPr>
          <w:rFonts w:ascii="Book Antiqua" w:hAnsi="Book Antiqua"/>
        </w:rPr>
        <w:t>ection 8386.3(</w:t>
      </w:r>
      <w:r w:rsidRPr="00C468E4" w:rsidR="00A26715">
        <w:rPr>
          <w:rFonts w:ascii="Book Antiqua" w:hAnsi="Book Antiqua"/>
        </w:rPr>
        <w:t>c</w:t>
      </w:r>
      <w:r w:rsidRPr="00C468E4">
        <w:rPr>
          <w:rFonts w:ascii="Book Antiqua" w:hAnsi="Book Antiqua"/>
        </w:rPr>
        <w:t xml:space="preserve">). </w:t>
      </w:r>
      <w:r w:rsidRPr="00C468E4" w:rsidR="00831772">
        <w:rPr>
          <w:rFonts w:ascii="Book Antiqua" w:hAnsi="Book Antiqua"/>
        </w:rPr>
        <w:t>SDG&amp;E</w:t>
      </w:r>
      <w:r w:rsidRPr="00C468E4">
        <w:rPr>
          <w:rFonts w:ascii="Book Antiqua" w:hAnsi="Book Antiqua"/>
        </w:rPr>
        <w:t xml:space="preserve">’s </w:t>
      </w:r>
      <w:r w:rsidRPr="00C468E4" w:rsidR="000F30DB">
        <w:rPr>
          <w:rFonts w:ascii="Book Antiqua" w:hAnsi="Book Antiqua"/>
        </w:rPr>
        <w:t>WMP</w:t>
      </w:r>
      <w:r w:rsidRPr="00C468E4">
        <w:rPr>
          <w:rFonts w:ascii="Book Antiqua" w:hAnsi="Book Antiqua"/>
        </w:rPr>
        <w:t xml:space="preserve"> </w:t>
      </w:r>
      <w:r w:rsidRPr="00C468E4" w:rsidR="00831772">
        <w:rPr>
          <w:rFonts w:ascii="Book Antiqua" w:hAnsi="Book Antiqua"/>
        </w:rPr>
        <w:t xml:space="preserve">Update </w:t>
      </w:r>
      <w:r w:rsidRPr="00C468E4">
        <w:rPr>
          <w:rFonts w:ascii="Book Antiqua" w:hAnsi="Book Antiqua"/>
        </w:rPr>
        <w:t xml:space="preserve">responds to a list of 22 </w:t>
      </w:r>
      <w:r w:rsidRPr="00C468E4">
        <w:rPr>
          <w:rFonts w:ascii="Book Antiqua" w:hAnsi="Book Antiqua"/>
        </w:rPr>
        <w:lastRenderedPageBreak/>
        <w:t>requirements set forth in Public Utilities Code 8386</w:t>
      </w:r>
      <w:r w:rsidRPr="00C468E4" w:rsidR="00EC153E">
        <w:rPr>
          <w:rFonts w:ascii="Book Antiqua" w:hAnsi="Book Antiqua"/>
        </w:rPr>
        <w:t xml:space="preserve">. </w:t>
      </w:r>
      <w:r w:rsidRPr="00C468E4" w:rsidR="004E752F">
        <w:rPr>
          <w:rFonts w:ascii="Book Antiqua" w:hAnsi="Book Antiqua"/>
        </w:rPr>
        <w:t>SDG&amp;E</w:t>
      </w:r>
      <w:r w:rsidRPr="00C468E4" w:rsidR="00EC153E">
        <w:rPr>
          <w:rFonts w:ascii="Book Antiqua" w:hAnsi="Book Antiqua"/>
          <w:color w:val="FF0000"/>
        </w:rPr>
        <w:t xml:space="preserve"> </w:t>
      </w:r>
      <w:r w:rsidRPr="00C468E4" w:rsidR="00EC153E">
        <w:rPr>
          <w:rFonts w:ascii="Book Antiqua" w:hAnsi="Book Antiqua"/>
        </w:rPr>
        <w:t>submitted a comprehensive WMP in 2020 covering the three-year period 2020-2022</w:t>
      </w:r>
      <w:r w:rsidRPr="00C468E4" w:rsidR="00E94A35">
        <w:rPr>
          <w:rFonts w:ascii="Book Antiqua" w:hAnsi="Book Antiqua"/>
        </w:rPr>
        <w:t>. This WMP</w:t>
      </w:r>
      <w:r w:rsidRPr="00C468E4" w:rsidR="00EC153E">
        <w:rPr>
          <w:rFonts w:ascii="Book Antiqua" w:hAnsi="Book Antiqua"/>
        </w:rPr>
        <w:t xml:space="preserve"> focus</w:t>
      </w:r>
      <w:r w:rsidRPr="00C468E4" w:rsidR="00E94A35">
        <w:rPr>
          <w:rFonts w:ascii="Book Antiqua" w:hAnsi="Book Antiqua"/>
        </w:rPr>
        <w:t>ed</w:t>
      </w:r>
      <w:r w:rsidRPr="00C468E4" w:rsidR="00EC153E">
        <w:rPr>
          <w:rFonts w:ascii="Book Antiqua" w:hAnsi="Book Antiqua"/>
        </w:rPr>
        <w:t xml:space="preserve"> on measures the electrical corporation will take to reduce the risk of, and impact from, a catastrophic wildfire related to its electrical infrastructure and equipment. </w:t>
      </w:r>
      <w:r w:rsidRPr="00C468E4" w:rsidR="004E752F">
        <w:rPr>
          <w:rFonts w:ascii="Book Antiqua" w:hAnsi="Book Antiqua"/>
        </w:rPr>
        <w:t>SDG&amp;E’s</w:t>
      </w:r>
      <w:r w:rsidRPr="00C468E4" w:rsidR="00EC153E">
        <w:rPr>
          <w:rFonts w:ascii="Book Antiqua" w:hAnsi="Book Antiqua"/>
          <w:color w:val="FF0000"/>
        </w:rPr>
        <w:t xml:space="preserve"> </w:t>
      </w:r>
      <w:r w:rsidRPr="00C468E4" w:rsidR="00E94A35">
        <w:rPr>
          <w:rFonts w:ascii="Book Antiqua" w:hAnsi="Book Antiqua"/>
        </w:rPr>
        <w:t xml:space="preserve">2021 </w:t>
      </w:r>
      <w:r w:rsidRPr="00C468E4" w:rsidR="00EC153E">
        <w:rPr>
          <w:rFonts w:ascii="Book Antiqua" w:hAnsi="Book Antiqua"/>
        </w:rPr>
        <w:t xml:space="preserve">WMP </w:t>
      </w:r>
      <w:r w:rsidRPr="00C468E4" w:rsidR="00FA5A0F">
        <w:rPr>
          <w:rFonts w:ascii="Book Antiqua" w:hAnsi="Book Antiqua"/>
        </w:rPr>
        <w:t>U</w:t>
      </w:r>
      <w:r w:rsidRPr="00C468E4" w:rsidR="00EC153E">
        <w:rPr>
          <w:rFonts w:ascii="Book Antiqua" w:hAnsi="Book Antiqua"/>
        </w:rPr>
        <w:t xml:space="preserve">pdate provides information on </w:t>
      </w:r>
      <w:r w:rsidRPr="00C468E4" w:rsidR="004E752F">
        <w:rPr>
          <w:rFonts w:ascii="Book Antiqua" w:hAnsi="Book Antiqua"/>
        </w:rPr>
        <w:t>SDG&amp;E’s</w:t>
      </w:r>
      <w:r w:rsidRPr="00C468E4" w:rsidR="00EC153E">
        <w:rPr>
          <w:rFonts w:ascii="Book Antiqua" w:hAnsi="Book Antiqua"/>
          <w:color w:val="FF0000"/>
        </w:rPr>
        <w:t xml:space="preserve"> </w:t>
      </w:r>
      <w:r w:rsidRPr="00C468E4" w:rsidR="00EC153E">
        <w:rPr>
          <w:rFonts w:ascii="Book Antiqua" w:hAnsi="Book Antiqua"/>
        </w:rPr>
        <w:t xml:space="preserve">progress over the past year as well as updates to </w:t>
      </w:r>
      <w:r w:rsidRPr="00C468E4" w:rsidR="00FA5A0F">
        <w:rPr>
          <w:rFonts w:ascii="Book Antiqua" w:hAnsi="Book Antiqua"/>
        </w:rPr>
        <w:t xml:space="preserve">its </w:t>
      </w:r>
      <w:r w:rsidRPr="00C468E4" w:rsidR="00EC153E">
        <w:rPr>
          <w:rFonts w:ascii="Book Antiqua" w:hAnsi="Book Antiqua"/>
        </w:rPr>
        <w:t xml:space="preserve">2021 and 2022 projections. In addition, the </w:t>
      </w:r>
      <w:r w:rsidRPr="00C468E4" w:rsidR="00E94A35">
        <w:rPr>
          <w:rFonts w:ascii="Book Antiqua" w:hAnsi="Book Antiqua"/>
        </w:rPr>
        <w:t xml:space="preserve">2021 </w:t>
      </w:r>
      <w:r w:rsidRPr="00C468E4" w:rsidR="00EC153E">
        <w:rPr>
          <w:rFonts w:ascii="Book Antiqua" w:hAnsi="Book Antiqua"/>
        </w:rPr>
        <w:t>WMP Update responds to additional requirement</w:t>
      </w:r>
      <w:r w:rsidRPr="00C468E4" w:rsidR="003E26DF">
        <w:rPr>
          <w:rFonts w:ascii="Book Antiqua" w:hAnsi="Book Antiqua"/>
        </w:rPr>
        <w:t>s</w:t>
      </w:r>
      <w:r w:rsidRPr="00C468E4" w:rsidR="00EC153E">
        <w:rPr>
          <w:rFonts w:ascii="Book Antiqua" w:hAnsi="Book Antiqua"/>
        </w:rPr>
        <w:t xml:space="preserve"> and metrics approved by the Commission in Resolution WSD-011.</w:t>
      </w:r>
    </w:p>
    <w:p w:rsidRPr="00C468E4" w:rsidR="00C74C40" w:rsidP="00C74C40" w:rsidRDefault="00C74C40" w14:paraId="09DF5CDF" w14:textId="77777777">
      <w:pPr>
        <w:pStyle w:val="Res-Caption"/>
        <w:rPr>
          <w:rFonts w:ascii="Book Antiqua" w:hAnsi="Book Antiqua"/>
        </w:rPr>
      </w:pPr>
    </w:p>
    <w:p w:rsidRPr="00C468E4" w:rsidR="00C74C40" w:rsidP="00C74C40" w:rsidRDefault="00EC153E" w14:paraId="04D4975A" w14:textId="3FCA64BD">
      <w:pPr>
        <w:pStyle w:val="Res-Caption"/>
        <w:rPr>
          <w:rFonts w:ascii="Book Antiqua" w:hAnsi="Book Antiqua"/>
          <w:u w:val="single"/>
        </w:rPr>
      </w:pPr>
      <w:r w:rsidRPr="00C468E4">
        <w:rPr>
          <w:rFonts w:ascii="Book Antiqua" w:hAnsi="Book Antiqua"/>
        </w:rPr>
        <w:t xml:space="preserve">In ratifying </w:t>
      </w:r>
      <w:r w:rsidRPr="00C468E4" w:rsidR="00E2675E">
        <w:rPr>
          <w:rFonts w:ascii="Book Antiqua" w:hAnsi="Book Antiqua"/>
        </w:rPr>
        <w:t>SDG&amp;E’s</w:t>
      </w:r>
      <w:r w:rsidRPr="00C468E4">
        <w:rPr>
          <w:rFonts w:ascii="Book Antiqua" w:hAnsi="Book Antiqua"/>
          <w:color w:val="FF0000"/>
        </w:rPr>
        <w:t xml:space="preserve"> </w:t>
      </w:r>
      <w:r w:rsidRPr="00C468E4">
        <w:rPr>
          <w:rFonts w:ascii="Book Antiqua" w:hAnsi="Book Antiqua"/>
        </w:rPr>
        <w:t xml:space="preserve">2021 WMP Update, the Commission </w:t>
      </w:r>
      <w:r w:rsidRPr="00C468E4" w:rsidR="00D848B9">
        <w:rPr>
          <w:rFonts w:ascii="Book Antiqua" w:hAnsi="Book Antiqua"/>
        </w:rPr>
        <w:t xml:space="preserve">has </w:t>
      </w:r>
      <w:r w:rsidRPr="00C468E4" w:rsidR="00310B1F">
        <w:rPr>
          <w:rFonts w:ascii="Book Antiqua" w:hAnsi="Book Antiqua"/>
        </w:rPr>
        <w:t>review</w:t>
      </w:r>
      <w:r w:rsidRPr="00C468E4" w:rsidR="00D848B9">
        <w:rPr>
          <w:rFonts w:ascii="Book Antiqua" w:hAnsi="Book Antiqua"/>
        </w:rPr>
        <w:t>ed</w:t>
      </w:r>
      <w:r w:rsidRPr="00C468E4" w:rsidR="00310B1F">
        <w:rPr>
          <w:rFonts w:ascii="Book Antiqua" w:hAnsi="Book Antiqua"/>
        </w:rPr>
        <w:t xml:space="preserve"> the WSD’s analysis in terms of </w:t>
      </w:r>
      <w:r w:rsidRPr="00C468E4" w:rsidR="00C74C40">
        <w:rPr>
          <w:rFonts w:ascii="Book Antiqua" w:hAnsi="Book Antiqua"/>
        </w:rPr>
        <w:t xml:space="preserve">the extent to which </w:t>
      </w:r>
      <w:r w:rsidRPr="00C468E4" w:rsidR="00E2675E">
        <w:rPr>
          <w:rFonts w:ascii="Book Antiqua" w:hAnsi="Book Antiqua"/>
        </w:rPr>
        <w:t>SDG&amp;E</w:t>
      </w:r>
      <w:r w:rsidRPr="00C468E4" w:rsidR="00C74C40">
        <w:rPr>
          <w:rFonts w:ascii="Book Antiqua" w:hAnsi="Book Antiqua"/>
        </w:rPr>
        <w:t>’s wildfire mitigation efforts objectively reduce wildfire risk</w:t>
      </w:r>
      <w:r w:rsidRPr="00C468E4" w:rsidR="00EA7679">
        <w:rPr>
          <w:rFonts w:ascii="Book Antiqua" w:hAnsi="Book Antiqua"/>
        </w:rPr>
        <w:t xml:space="preserve"> and </w:t>
      </w:r>
      <w:r w:rsidRPr="00C468E4" w:rsidR="00C74C40">
        <w:rPr>
          <w:rFonts w:ascii="Book Antiqua" w:hAnsi="Book Antiqua"/>
        </w:rPr>
        <w:t>drive improvement</w:t>
      </w:r>
      <w:r w:rsidRPr="00C468E4" w:rsidR="00EF7288">
        <w:rPr>
          <w:rFonts w:ascii="Book Antiqua" w:hAnsi="Book Antiqua"/>
        </w:rPr>
        <w:t>, the comments from</w:t>
      </w:r>
      <w:r w:rsidRPr="00C468E4" w:rsidR="00D848B9">
        <w:rPr>
          <w:rFonts w:ascii="Book Antiqua" w:hAnsi="Book Antiqua"/>
        </w:rPr>
        <w:t xml:space="preserve"> the Wildfire Safety Advisory Board, the public and other stakeholders. </w:t>
      </w:r>
    </w:p>
    <w:p w:rsidRPr="00C468E4" w:rsidR="001A36E2" w:rsidP="007446B6" w:rsidRDefault="001A36E2" w14:paraId="6FEE6FE5" w14:textId="77777777">
      <w:pPr>
        <w:pStyle w:val="Res-Caption"/>
        <w:rPr>
          <w:rFonts w:ascii="Book Antiqua" w:hAnsi="Book Antiqua"/>
        </w:rPr>
      </w:pPr>
    </w:p>
    <w:p w:rsidRPr="00C468E4" w:rsidR="001A36E2" w:rsidP="001A36E2" w:rsidRDefault="00DB6FE5" w14:paraId="45F12818" w14:textId="1F116B12">
      <w:pPr>
        <w:pStyle w:val="Res-Caption"/>
        <w:rPr>
          <w:rFonts w:ascii="Book Antiqua" w:hAnsi="Book Antiqua"/>
        </w:rPr>
      </w:pPr>
      <w:r w:rsidRPr="00C468E4">
        <w:rPr>
          <w:rFonts w:ascii="Book Antiqua" w:hAnsi="Book Antiqua"/>
        </w:rPr>
        <w:t xml:space="preserve">THE </w:t>
      </w:r>
      <w:r w:rsidRPr="00C468E4" w:rsidR="001A36E2">
        <w:rPr>
          <w:rFonts w:ascii="Book Antiqua" w:hAnsi="Book Antiqua"/>
        </w:rPr>
        <w:t xml:space="preserve">PROPOSED OUTCOME: </w:t>
      </w:r>
    </w:p>
    <w:p w:rsidRPr="00C468E4" w:rsidR="00A03415" w:rsidP="008E7B52" w:rsidRDefault="005B3553" w14:paraId="1F8C51A6" w14:textId="796FD354">
      <w:pPr>
        <w:pStyle w:val="Res-Caption"/>
        <w:numPr>
          <w:ilvl w:val="0"/>
          <w:numId w:val="14"/>
        </w:numPr>
        <w:rPr>
          <w:rFonts w:ascii="Book Antiqua" w:hAnsi="Book Antiqua"/>
        </w:rPr>
      </w:pPr>
      <w:r w:rsidRPr="00C468E4">
        <w:rPr>
          <w:rFonts w:ascii="Book Antiqua" w:hAnsi="Book Antiqua"/>
        </w:rPr>
        <w:t xml:space="preserve">Ratifies the attached action of the </w:t>
      </w:r>
      <w:r w:rsidRPr="00C468E4" w:rsidR="000668C3">
        <w:rPr>
          <w:rFonts w:ascii="Book Antiqua" w:hAnsi="Book Antiqua"/>
        </w:rPr>
        <w:t>WSD</w:t>
      </w:r>
      <w:r w:rsidRPr="00C468E4">
        <w:rPr>
          <w:rFonts w:ascii="Book Antiqua" w:hAnsi="Book Antiqua"/>
        </w:rPr>
        <w:t xml:space="preserve"> to approve the </w:t>
      </w:r>
      <w:r w:rsidR="00C97DF3">
        <w:rPr>
          <w:rFonts w:ascii="Book Antiqua" w:hAnsi="Book Antiqua"/>
        </w:rPr>
        <w:t xml:space="preserve">2021 </w:t>
      </w:r>
      <w:r w:rsidRPr="00C468E4">
        <w:rPr>
          <w:rFonts w:ascii="Book Antiqua" w:hAnsi="Book Antiqua"/>
        </w:rPr>
        <w:t xml:space="preserve">WMP </w:t>
      </w:r>
      <w:r w:rsidRPr="00C468E4" w:rsidR="00D34B00">
        <w:rPr>
          <w:rFonts w:ascii="Book Antiqua" w:hAnsi="Book Antiqua"/>
        </w:rPr>
        <w:t xml:space="preserve">Update </w:t>
      </w:r>
      <w:r w:rsidRPr="00C468E4">
        <w:rPr>
          <w:rFonts w:ascii="Book Antiqua" w:hAnsi="Book Antiqua"/>
        </w:rPr>
        <w:t>of</w:t>
      </w:r>
      <w:r w:rsidRPr="00C468E4" w:rsidR="00712C97">
        <w:rPr>
          <w:rFonts w:ascii="Book Antiqua" w:hAnsi="Book Antiqua"/>
        </w:rPr>
        <w:t xml:space="preserve"> </w:t>
      </w:r>
      <w:r w:rsidRPr="00C468E4" w:rsidR="00052672">
        <w:rPr>
          <w:rFonts w:ascii="Book Antiqua" w:hAnsi="Book Antiqua"/>
        </w:rPr>
        <w:t>SDG&amp;E</w:t>
      </w:r>
      <w:r w:rsidRPr="00C468E4">
        <w:rPr>
          <w:rFonts w:ascii="Book Antiqua" w:hAnsi="Book Antiqua"/>
          <w:color w:val="FF0000"/>
        </w:rPr>
        <w:t>.</w:t>
      </w:r>
      <w:r w:rsidRPr="00C468E4" w:rsidR="009C6747">
        <w:rPr>
          <w:rFonts w:ascii="Book Antiqua" w:hAnsi="Book Antiqua"/>
          <w:color w:val="FF0000"/>
        </w:rPr>
        <w:t xml:space="preserve"> </w:t>
      </w:r>
    </w:p>
    <w:p w:rsidRPr="00C468E4" w:rsidR="005B3553" w:rsidP="008E7B52" w:rsidRDefault="00E253F7" w14:paraId="7A1428A3" w14:textId="50A97EB7">
      <w:pPr>
        <w:pStyle w:val="Res-Caption"/>
        <w:numPr>
          <w:ilvl w:val="0"/>
          <w:numId w:val="14"/>
        </w:numPr>
        <w:rPr>
          <w:rFonts w:ascii="Book Antiqua" w:hAnsi="Book Antiqua"/>
        </w:rPr>
      </w:pPr>
      <w:r w:rsidRPr="00C468E4">
        <w:rPr>
          <w:rFonts w:ascii="Book Antiqua" w:hAnsi="Book Antiqua" w:eastAsia="Book Antiqua" w:cs="Book Antiqua"/>
          <w:szCs w:val="26"/>
        </w:rPr>
        <w:t xml:space="preserve">Evaluates the maturity of </w:t>
      </w:r>
      <w:r w:rsidRPr="00C468E4" w:rsidR="00052672">
        <w:rPr>
          <w:rFonts w:ascii="Book Antiqua" w:hAnsi="Book Antiqua" w:eastAsia="Book Antiqua" w:cs="Book Antiqua"/>
          <w:szCs w:val="26"/>
        </w:rPr>
        <w:t>SDG&amp;E</w:t>
      </w:r>
      <w:r w:rsidRPr="00C468E4" w:rsidR="00127005">
        <w:rPr>
          <w:rFonts w:ascii="Book Antiqua" w:hAnsi="Book Antiqua"/>
        </w:rPr>
        <w:t>’s</w:t>
      </w:r>
      <w:r w:rsidRPr="00C468E4">
        <w:rPr>
          <w:rFonts w:ascii="Book Antiqua" w:hAnsi="Book Antiqua" w:eastAsia="Book Antiqua" w:cs="Book Antiqua"/>
          <w:szCs w:val="26"/>
        </w:rPr>
        <w:t xml:space="preserve"> </w:t>
      </w:r>
      <w:r w:rsidR="00C97DF3">
        <w:rPr>
          <w:rFonts w:ascii="Book Antiqua" w:hAnsi="Book Antiqua" w:eastAsia="Book Antiqua" w:cs="Book Antiqua"/>
          <w:szCs w:val="26"/>
        </w:rPr>
        <w:t xml:space="preserve">2021 </w:t>
      </w:r>
      <w:r w:rsidRPr="00C468E4">
        <w:rPr>
          <w:rFonts w:ascii="Book Antiqua" w:hAnsi="Book Antiqua" w:eastAsia="Book Antiqua" w:cs="Book Antiqua"/>
          <w:szCs w:val="26"/>
        </w:rPr>
        <w:t xml:space="preserve">WMP </w:t>
      </w:r>
      <w:r w:rsidRPr="00C468E4" w:rsidR="00D34B00">
        <w:rPr>
          <w:rFonts w:ascii="Book Antiqua" w:hAnsi="Book Antiqua" w:eastAsia="Book Antiqua" w:cs="Book Antiqua"/>
          <w:szCs w:val="26"/>
        </w:rPr>
        <w:t xml:space="preserve">Update </w:t>
      </w:r>
      <w:r w:rsidRPr="00C468E4">
        <w:rPr>
          <w:rFonts w:ascii="Book Antiqua" w:hAnsi="Book Antiqua" w:eastAsia="Book Antiqua" w:cs="Book Antiqua"/>
          <w:szCs w:val="26"/>
        </w:rPr>
        <w:t xml:space="preserve">using the </w:t>
      </w:r>
      <w:r w:rsidRPr="00C468E4" w:rsidR="00165AF6">
        <w:rPr>
          <w:rFonts w:ascii="Book Antiqua" w:hAnsi="Book Antiqua" w:eastAsia="Book Antiqua" w:cs="Book Antiqua"/>
          <w:szCs w:val="26"/>
        </w:rPr>
        <w:t>WSD’s</w:t>
      </w:r>
      <w:r w:rsidRPr="00C468E4">
        <w:rPr>
          <w:rFonts w:ascii="Book Antiqua" w:hAnsi="Book Antiqua" w:eastAsia="Book Antiqua" w:cs="Book Antiqua"/>
          <w:szCs w:val="26"/>
        </w:rPr>
        <w:t xml:space="preserve"> Utility Wildfire Mitigation Assessment, as represented in the Utility Wildfire Mitigation Maturity Model. Final </w:t>
      </w:r>
      <w:r w:rsidRPr="00C468E4" w:rsidR="004C7B1D">
        <w:rPr>
          <w:rFonts w:ascii="Book Antiqua" w:hAnsi="Book Antiqua" w:eastAsia="Book Antiqua" w:cs="Book Antiqua"/>
          <w:szCs w:val="26"/>
        </w:rPr>
        <w:t>M</w:t>
      </w:r>
      <w:r w:rsidRPr="00C468E4">
        <w:rPr>
          <w:rFonts w:ascii="Book Antiqua" w:hAnsi="Book Antiqua" w:eastAsia="Book Antiqua" w:cs="Book Antiqua"/>
          <w:szCs w:val="26"/>
        </w:rPr>
        <w:t xml:space="preserve">aturity </w:t>
      </w:r>
      <w:r w:rsidRPr="00C468E4" w:rsidR="004C7B1D">
        <w:rPr>
          <w:rFonts w:ascii="Book Antiqua" w:hAnsi="Book Antiqua" w:eastAsia="Book Antiqua" w:cs="Book Antiqua"/>
          <w:szCs w:val="26"/>
        </w:rPr>
        <w:t>M</w:t>
      </w:r>
      <w:r w:rsidRPr="00C468E4">
        <w:rPr>
          <w:rFonts w:ascii="Book Antiqua" w:hAnsi="Book Antiqua" w:eastAsia="Book Antiqua" w:cs="Book Antiqua"/>
          <w:szCs w:val="26"/>
        </w:rPr>
        <w:t>odel outputs should be viewed as levels or thresholds</w:t>
      </w:r>
      <w:r w:rsidRPr="00C468E4" w:rsidR="009151E8">
        <w:rPr>
          <w:rFonts w:ascii="Book Antiqua" w:hAnsi="Book Antiqua" w:eastAsia="Book Antiqua" w:cs="Book Antiqua"/>
          <w:szCs w:val="26"/>
        </w:rPr>
        <w:t>—</w:t>
      </w:r>
      <w:r w:rsidRPr="00C468E4">
        <w:rPr>
          <w:rFonts w:ascii="Book Antiqua" w:hAnsi="Book Antiqua" w:eastAsia="Book Antiqua" w:cs="Book Antiqua"/>
          <w:szCs w:val="26"/>
        </w:rPr>
        <w:t>they are not absolute scores.</w:t>
      </w:r>
      <w:r w:rsidRPr="00C468E4">
        <w:rPr>
          <w:rFonts w:ascii="Book Antiqua" w:hAnsi="Book Antiqua"/>
        </w:rPr>
        <w:t xml:space="preserve"> </w:t>
      </w:r>
    </w:p>
    <w:p w:rsidRPr="00C468E4" w:rsidR="005B3553" w:rsidP="008E7B52" w:rsidRDefault="005B3553" w14:paraId="7267DCEA" w14:textId="5197AFFA">
      <w:pPr>
        <w:pStyle w:val="Res-Caption"/>
        <w:numPr>
          <w:ilvl w:val="0"/>
          <w:numId w:val="14"/>
        </w:numPr>
        <w:rPr>
          <w:rFonts w:ascii="Book Antiqua" w:hAnsi="Book Antiqua"/>
        </w:rPr>
      </w:pPr>
      <w:r w:rsidRPr="00C468E4">
        <w:rPr>
          <w:rFonts w:ascii="Book Antiqua" w:hAnsi="Book Antiqua"/>
        </w:rPr>
        <w:t xml:space="preserve">Requires </w:t>
      </w:r>
      <w:r w:rsidRPr="00C468E4" w:rsidR="00B2270F">
        <w:rPr>
          <w:rFonts w:ascii="Book Antiqua" w:hAnsi="Book Antiqua"/>
        </w:rPr>
        <w:t>SDG&amp;E</w:t>
      </w:r>
      <w:r w:rsidRPr="00C468E4" w:rsidR="00712C97">
        <w:rPr>
          <w:rFonts w:ascii="Book Antiqua" w:hAnsi="Book Antiqua"/>
          <w:color w:val="FF0000"/>
        </w:rPr>
        <w:t xml:space="preserve"> </w:t>
      </w:r>
      <w:r w:rsidRPr="00C468E4">
        <w:rPr>
          <w:rFonts w:ascii="Book Antiqua" w:hAnsi="Book Antiqua"/>
        </w:rPr>
        <w:t xml:space="preserve">to </w:t>
      </w:r>
      <w:r w:rsidRPr="00C468E4" w:rsidR="00FA2D01">
        <w:rPr>
          <w:rFonts w:ascii="Book Antiqua" w:hAnsi="Book Antiqua"/>
        </w:rPr>
        <w:t>submit</w:t>
      </w:r>
      <w:r w:rsidRPr="00C468E4">
        <w:rPr>
          <w:rFonts w:ascii="Book Antiqua" w:hAnsi="Book Antiqua"/>
        </w:rPr>
        <w:t xml:space="preserve"> an update to its WMP in </w:t>
      </w:r>
      <w:r w:rsidRPr="00C468E4" w:rsidR="00B2270F">
        <w:rPr>
          <w:rFonts w:ascii="Book Antiqua" w:hAnsi="Book Antiqua"/>
        </w:rPr>
        <w:t>2022</w:t>
      </w:r>
      <w:r w:rsidRPr="00C468E4" w:rsidR="00712C97">
        <w:rPr>
          <w:rFonts w:ascii="Book Antiqua" w:hAnsi="Book Antiqua"/>
          <w:color w:val="FF0000"/>
        </w:rPr>
        <w:t xml:space="preserve"> </w:t>
      </w:r>
      <w:r w:rsidRPr="00C468E4">
        <w:rPr>
          <w:rFonts w:ascii="Book Antiqua" w:hAnsi="Book Antiqua"/>
        </w:rPr>
        <w:t xml:space="preserve">according to a forthcoming schedule to be released by the </w:t>
      </w:r>
      <w:r w:rsidRPr="00C468E4" w:rsidR="005A3AA5">
        <w:rPr>
          <w:rFonts w:ascii="Book Antiqua" w:hAnsi="Book Antiqua"/>
        </w:rPr>
        <w:t>WSD</w:t>
      </w:r>
      <w:r w:rsidRPr="00C468E4">
        <w:rPr>
          <w:rFonts w:ascii="Book Antiqua" w:hAnsi="Book Antiqua"/>
        </w:rPr>
        <w:t>.</w:t>
      </w:r>
      <w:r w:rsidRPr="00C468E4" w:rsidR="007E3C46">
        <w:rPr>
          <w:rFonts w:ascii="Book Antiqua" w:hAnsi="Book Antiqua"/>
        </w:rPr>
        <w:t xml:space="preserve"> </w:t>
      </w:r>
    </w:p>
    <w:p w:rsidRPr="00C468E4" w:rsidR="005B3553" w:rsidP="008E7B52" w:rsidRDefault="005B3553" w14:paraId="1592E5D6" w14:textId="6197E373">
      <w:pPr>
        <w:pStyle w:val="Res-Caption"/>
        <w:numPr>
          <w:ilvl w:val="0"/>
          <w:numId w:val="14"/>
        </w:numPr>
        <w:rPr>
          <w:rFonts w:ascii="Book Antiqua" w:hAnsi="Book Antiqua"/>
        </w:rPr>
      </w:pPr>
      <w:r w:rsidRPr="00C468E4">
        <w:rPr>
          <w:rFonts w:ascii="Book Antiqua" w:hAnsi="Book Antiqua"/>
        </w:rPr>
        <w:t>Does not approve costs attributable to WMPs, as statute requires electrical corporations to seek and prove the legitimacy of all expenditures at a future time in their General Rate Cases (GRC)</w:t>
      </w:r>
      <w:r w:rsidRPr="00C468E4" w:rsidR="00546195">
        <w:rPr>
          <w:rFonts w:ascii="Book Antiqua" w:hAnsi="Book Antiqua"/>
        </w:rPr>
        <w:t xml:space="preserve"> or application for cost recovery</w:t>
      </w:r>
      <w:r w:rsidRPr="00C468E4">
        <w:rPr>
          <w:rFonts w:ascii="Book Antiqua" w:hAnsi="Book Antiqua"/>
        </w:rPr>
        <w:t>.</w:t>
      </w:r>
      <w:r w:rsidRPr="00C468E4" w:rsidR="009C6747">
        <w:rPr>
          <w:rFonts w:ascii="Book Antiqua" w:hAnsi="Book Antiqua"/>
        </w:rPr>
        <w:t xml:space="preserve"> </w:t>
      </w:r>
      <w:r w:rsidRPr="00C468E4">
        <w:rPr>
          <w:rFonts w:ascii="Book Antiqua" w:hAnsi="Book Antiqua"/>
        </w:rPr>
        <w:t>Nothing in this Resolution nor the WSD’s Action Statement should be construed as approval of any WMP-related costs.</w:t>
      </w:r>
    </w:p>
    <w:p w:rsidRPr="00C468E4" w:rsidR="001A36E2" w:rsidP="008E7B52" w:rsidRDefault="005B3553" w14:paraId="028ECFE4" w14:textId="3F87FAB7">
      <w:pPr>
        <w:pStyle w:val="Res-Caption"/>
        <w:numPr>
          <w:ilvl w:val="0"/>
          <w:numId w:val="14"/>
        </w:numPr>
        <w:rPr>
          <w:rFonts w:ascii="Book Antiqua" w:hAnsi="Book Antiqua"/>
        </w:rPr>
      </w:pPr>
      <w:r w:rsidRPr="00C468E4">
        <w:rPr>
          <w:rFonts w:ascii="Book Antiqua" w:hAnsi="Book Antiqua"/>
        </w:rPr>
        <w:t>Does not establish a defense to any enforcement action for a violation of a Commission decision, order, or rule</w:t>
      </w:r>
      <w:r w:rsidRPr="00C468E4" w:rsidR="001A36E2">
        <w:rPr>
          <w:rFonts w:ascii="Book Antiqua" w:hAnsi="Book Antiqua"/>
        </w:rPr>
        <w:t>.</w:t>
      </w:r>
    </w:p>
    <w:p w:rsidRPr="00C468E4" w:rsidR="001A36E2" w:rsidP="00A7105C" w:rsidRDefault="001A36E2" w14:paraId="3BCA155A" w14:textId="54CC0A90">
      <w:pPr>
        <w:pStyle w:val="Res-Caption"/>
        <w:ind w:left="0"/>
        <w:rPr>
          <w:rFonts w:ascii="Book Antiqua" w:hAnsi="Book Antiqua"/>
        </w:rPr>
      </w:pPr>
    </w:p>
    <w:p w:rsidRPr="00C468E4" w:rsidR="00AE320D" w:rsidP="00A7105C" w:rsidRDefault="00AE320D" w14:paraId="32BE2984" w14:textId="444B7E07">
      <w:pPr>
        <w:pStyle w:val="Res-Caption"/>
        <w:ind w:left="0"/>
        <w:rPr>
          <w:rFonts w:ascii="Book Antiqua" w:hAnsi="Book Antiqua"/>
        </w:rPr>
      </w:pPr>
    </w:p>
    <w:p w:rsidRPr="00C468E4" w:rsidR="00AE320D" w:rsidP="00A7105C" w:rsidRDefault="00AE320D" w14:paraId="1F2E9A8D" w14:textId="77777777">
      <w:pPr>
        <w:pStyle w:val="Res-Caption"/>
        <w:ind w:left="0"/>
        <w:rPr>
          <w:rFonts w:ascii="Book Antiqua" w:hAnsi="Book Antiqua"/>
        </w:rPr>
      </w:pPr>
    </w:p>
    <w:p w:rsidRPr="00C468E4" w:rsidR="001A36E2" w:rsidP="001A36E2" w:rsidRDefault="001A36E2" w14:paraId="52A1E807" w14:textId="77777777">
      <w:pPr>
        <w:pStyle w:val="Res-Caption"/>
        <w:rPr>
          <w:rFonts w:ascii="Book Antiqua" w:hAnsi="Book Antiqua"/>
        </w:rPr>
      </w:pPr>
      <w:r w:rsidRPr="00C468E4">
        <w:rPr>
          <w:rFonts w:ascii="Book Antiqua" w:hAnsi="Book Antiqua"/>
        </w:rPr>
        <w:lastRenderedPageBreak/>
        <w:t>SAFETY CONSIDERATIONS:</w:t>
      </w:r>
    </w:p>
    <w:p w:rsidRPr="00C468E4" w:rsidR="00170CB4" w:rsidP="07EA2E8E" w:rsidRDefault="00170CB4" w14:paraId="32D59C8B" w14:textId="6FDD0FFB">
      <w:pPr>
        <w:pStyle w:val="Res-Caption"/>
        <w:rPr>
          <w:rFonts w:ascii="Book Antiqua" w:hAnsi="Book Antiqua"/>
        </w:rPr>
      </w:pPr>
      <w:r w:rsidRPr="00C468E4">
        <w:rPr>
          <w:rFonts w:ascii="Book Antiqua" w:hAnsi="Book Antiqua"/>
        </w:rPr>
        <w:t>Mitigation of catastrophic wildfires in California is among the most important safety challenges the Commission-regulated electrical corporations face.</w:t>
      </w:r>
      <w:r w:rsidRPr="00C468E4" w:rsidR="009C6747">
        <w:rPr>
          <w:rFonts w:ascii="Book Antiqua" w:hAnsi="Book Antiqua"/>
        </w:rPr>
        <w:t xml:space="preserve"> </w:t>
      </w:r>
      <w:r w:rsidRPr="00C468E4">
        <w:rPr>
          <w:rFonts w:ascii="Book Antiqua" w:hAnsi="Book Antiqua"/>
        </w:rPr>
        <w:t>Comprehensive WMPs are essential to safety because</w:t>
      </w:r>
      <w:r w:rsidRPr="00C468E4" w:rsidR="21AE3DEF">
        <w:rPr>
          <w:rFonts w:ascii="Book Antiqua" w:hAnsi="Book Antiqua"/>
        </w:rPr>
        <w:t>:</w:t>
      </w:r>
    </w:p>
    <w:p w:rsidRPr="00C468E4" w:rsidR="00170CB4" w:rsidP="008E7B52" w:rsidRDefault="00170CB4" w14:paraId="47E35FA8" w14:textId="20E43CFA">
      <w:pPr>
        <w:pStyle w:val="Res-Caption"/>
        <w:numPr>
          <w:ilvl w:val="0"/>
          <w:numId w:val="14"/>
        </w:numPr>
        <w:rPr>
          <w:rFonts w:ascii="Book Antiqua" w:hAnsi="Book Antiqua"/>
        </w:rPr>
      </w:pPr>
      <w:r w:rsidRPr="00C468E4">
        <w:rPr>
          <w:rFonts w:ascii="Book Antiqua" w:hAnsi="Book Antiqua"/>
        </w:rPr>
        <w:t xml:space="preserve">WMPs </w:t>
      </w:r>
      <w:r w:rsidRPr="00C468E4" w:rsidR="00090F63">
        <w:rPr>
          <w:rFonts w:ascii="Book Antiqua" w:hAnsi="Book Antiqua"/>
        </w:rPr>
        <w:t xml:space="preserve">articulate </w:t>
      </w:r>
      <w:r w:rsidRPr="00C468E4">
        <w:rPr>
          <w:rFonts w:ascii="Book Antiqua" w:hAnsi="Book Antiqua"/>
        </w:rPr>
        <w:t xml:space="preserve">an electrical corporation’s </w:t>
      </w:r>
      <w:r w:rsidRPr="00C468E4" w:rsidR="00090F63">
        <w:rPr>
          <w:rFonts w:ascii="Book Antiqua" w:hAnsi="Book Antiqua"/>
        </w:rPr>
        <w:t xml:space="preserve">understanding of its utility-related wildfire risk and the </w:t>
      </w:r>
      <w:r w:rsidRPr="00C468E4">
        <w:rPr>
          <w:rFonts w:ascii="Book Antiqua" w:hAnsi="Book Antiqua"/>
        </w:rPr>
        <w:t xml:space="preserve">proposed actions to reduce </w:t>
      </w:r>
      <w:r w:rsidRPr="00C468E4" w:rsidR="00090F63">
        <w:rPr>
          <w:rFonts w:ascii="Book Antiqua" w:hAnsi="Book Antiqua"/>
        </w:rPr>
        <w:t>that</w:t>
      </w:r>
      <w:r w:rsidRPr="00C468E4">
        <w:rPr>
          <w:rFonts w:ascii="Book Antiqua" w:hAnsi="Book Antiqua"/>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C468E4" w:rsidR="00090F63">
        <w:rPr>
          <w:rFonts w:ascii="Book Antiqua" w:hAnsi="Book Antiqua"/>
        </w:rPr>
        <w:t xml:space="preserve">grid </w:t>
      </w:r>
      <w:r w:rsidRPr="00C468E4" w:rsidR="00F141FB">
        <w:rPr>
          <w:rFonts w:ascii="Book Antiqua" w:hAnsi="Book Antiqua"/>
        </w:rPr>
        <w:t>topology improvements</w:t>
      </w:r>
      <w:r w:rsidRPr="00C468E4" w:rsidR="00090F63">
        <w:rPr>
          <w:rFonts w:ascii="Book Antiqua" w:hAnsi="Book Antiqua"/>
        </w:rPr>
        <w:t xml:space="preserve"> (such as</w:t>
      </w:r>
      <w:r w:rsidRPr="00C468E4" w:rsidR="006A7A85">
        <w:rPr>
          <w:rFonts w:ascii="Book Antiqua" w:hAnsi="Book Antiqua"/>
        </w:rPr>
        <w:t xml:space="preserve"> installation and operation of electrical equipment to sectionalize or island portions of the grid</w:t>
      </w:r>
      <w:r w:rsidRPr="00C468E4" w:rsidR="00090F63">
        <w:rPr>
          <w:rFonts w:ascii="Book Antiqua" w:hAnsi="Book Antiqua"/>
        </w:rPr>
        <w:t xml:space="preserve">), </w:t>
      </w:r>
      <w:r w:rsidRPr="00C468E4">
        <w:rPr>
          <w:rFonts w:ascii="Book Antiqua" w:hAnsi="Book Antiqua"/>
        </w:rPr>
        <w:t xml:space="preserve">improving </w:t>
      </w:r>
      <w:r w:rsidRPr="00C468E4" w:rsidR="00090F63">
        <w:rPr>
          <w:rFonts w:ascii="Book Antiqua" w:hAnsi="Book Antiqua"/>
        </w:rPr>
        <w:t xml:space="preserve">asset </w:t>
      </w:r>
      <w:r w:rsidRPr="00C468E4">
        <w:rPr>
          <w:rFonts w:ascii="Book Antiqua" w:hAnsi="Book Antiqua"/>
        </w:rPr>
        <w:t>inspection and maintenance, situational awareness (</w:t>
      </w:r>
      <w:r w:rsidRPr="00C468E4" w:rsidR="007F5830">
        <w:rPr>
          <w:rFonts w:ascii="Book Antiqua" w:hAnsi="Book Antiqua"/>
        </w:rPr>
        <w:t xml:space="preserve">such as </w:t>
      </w:r>
      <w:r w:rsidRPr="00C468E4">
        <w:rPr>
          <w:rFonts w:ascii="Book Antiqua" w:hAnsi="Book Antiqua"/>
        </w:rPr>
        <w:t>cameras, weather stations, and use of data to predict areas of highest fire threat), improving community engagement and awareness, and other measures, utility-</w:t>
      </w:r>
      <w:r w:rsidRPr="00C468E4" w:rsidR="005E6320">
        <w:rPr>
          <w:rFonts w:ascii="Book Antiqua" w:hAnsi="Book Antiqua"/>
        </w:rPr>
        <w:t>related</w:t>
      </w:r>
      <w:r w:rsidRPr="00C468E4">
        <w:rPr>
          <w:rFonts w:ascii="Book Antiqua" w:hAnsi="Book Antiqua"/>
        </w:rPr>
        <w:t xml:space="preserve"> catastrophic wildfire risk should be reduced over time.</w:t>
      </w:r>
      <w:r w:rsidRPr="00C468E4" w:rsidR="009C6747">
        <w:rPr>
          <w:rFonts w:ascii="Book Antiqua" w:hAnsi="Book Antiqua"/>
        </w:rPr>
        <w:t xml:space="preserve"> </w:t>
      </w:r>
    </w:p>
    <w:p w:rsidRPr="00C468E4" w:rsidR="00170CB4" w:rsidP="008E7B52" w:rsidRDefault="00170CB4" w14:paraId="78D97DBB" w14:textId="599292D9">
      <w:pPr>
        <w:pStyle w:val="Res-Caption"/>
        <w:numPr>
          <w:ilvl w:val="0"/>
          <w:numId w:val="14"/>
        </w:numPr>
        <w:rPr>
          <w:rFonts w:ascii="Book Antiqua" w:hAnsi="Book Antiqua" w:eastAsiaTheme="minorEastAsia" w:cstheme="minorBidi"/>
          <w:color w:val="000000" w:themeColor="text1"/>
        </w:rPr>
      </w:pPr>
      <w:r w:rsidRPr="00C468E4">
        <w:rPr>
          <w:rFonts w:ascii="Book Antiqua" w:hAnsi="Book Antiqua" w:eastAsia="Book Antiqua" w:cs="Book Antiqua"/>
          <w:color w:val="000000" w:themeColor="text1"/>
        </w:rPr>
        <w:t>The substantive and procedural changes</w:t>
      </w:r>
      <w:r w:rsidRPr="00C468E4" w:rsidR="00C920B6">
        <w:rPr>
          <w:rFonts w:ascii="Book Antiqua" w:hAnsi="Book Antiqua" w:eastAsia="Book Antiqua" w:cs="Book Antiqua"/>
          <w:color w:val="000000" w:themeColor="text1"/>
        </w:rPr>
        <w:t xml:space="preserve"> enacted by the WSD and the Commission</w:t>
      </w:r>
      <w:r w:rsidRPr="00C468E4">
        <w:rPr>
          <w:rFonts w:ascii="Book Antiqua" w:hAnsi="Book Antiqua" w:eastAsia="Book Antiqua" w:cs="Book Antiqua"/>
          <w:color w:val="000000" w:themeColor="text1"/>
        </w:rPr>
        <w:t xml:space="preserve"> </w:t>
      </w:r>
      <w:r w:rsidRPr="00C468E4" w:rsidR="00C920B6">
        <w:rPr>
          <w:rFonts w:ascii="Book Antiqua" w:hAnsi="Book Antiqua" w:eastAsia="Book Antiqua" w:cs="Book Antiqua"/>
          <w:color w:val="000000" w:themeColor="text1"/>
        </w:rPr>
        <w:t>in</w:t>
      </w:r>
      <w:r w:rsidRPr="00C468E4">
        <w:rPr>
          <w:rFonts w:ascii="Book Antiqua" w:hAnsi="Book Antiqua" w:eastAsia="Book Antiqua" w:cs="Book Antiqua"/>
          <w:color w:val="000000" w:themeColor="text1"/>
        </w:rPr>
        <w:t xml:space="preserve"> </w:t>
      </w:r>
      <w:r w:rsidRPr="00C468E4" w:rsidR="00CB058D">
        <w:rPr>
          <w:rFonts w:ascii="Book Antiqua" w:hAnsi="Book Antiqua" w:eastAsia="Book Antiqua" w:cs="Book Antiqua"/>
          <w:color w:val="000000" w:themeColor="text1"/>
        </w:rPr>
        <w:t xml:space="preserve">the </w:t>
      </w:r>
      <w:r w:rsidRPr="00C468E4">
        <w:rPr>
          <w:rFonts w:ascii="Book Antiqua" w:hAnsi="Book Antiqua" w:eastAsia="Book Antiqua" w:cs="Book Antiqua"/>
          <w:color w:val="000000" w:themeColor="text1"/>
        </w:rPr>
        <w:t>evaluati</w:t>
      </w:r>
      <w:r w:rsidRPr="00C468E4" w:rsidR="00CB058D">
        <w:rPr>
          <w:rFonts w:ascii="Book Antiqua" w:hAnsi="Book Antiqua" w:eastAsia="Book Antiqua" w:cs="Book Antiqua"/>
          <w:color w:val="000000" w:themeColor="text1"/>
        </w:rPr>
        <w:t>on of</w:t>
      </w:r>
      <w:r w:rsidRPr="00C468E4">
        <w:rPr>
          <w:rFonts w:ascii="Book Antiqua" w:hAnsi="Book Antiqua" w:eastAsia="Book Antiqua" w:cs="Book Antiqua"/>
          <w:color w:val="000000" w:themeColor="text1"/>
        </w:rPr>
        <w:t xml:space="preserve"> </w:t>
      </w:r>
      <w:r w:rsidR="00A3062A">
        <w:rPr>
          <w:rFonts w:ascii="Book Antiqua" w:hAnsi="Book Antiqua" w:eastAsia="Book Antiqua" w:cs="Book Antiqua"/>
          <w:color w:val="000000" w:themeColor="text1"/>
        </w:rPr>
        <w:t xml:space="preserve">the </w:t>
      </w:r>
      <w:r w:rsidRPr="00C468E4">
        <w:rPr>
          <w:rFonts w:ascii="Book Antiqua" w:hAnsi="Book Antiqua" w:eastAsia="Book Antiqua" w:cs="Book Antiqua"/>
          <w:color w:val="000000" w:themeColor="text1"/>
        </w:rPr>
        <w:t xml:space="preserve">electrical corporations’ </w:t>
      </w:r>
      <w:r w:rsidRPr="00C468E4" w:rsidR="00194C95">
        <w:rPr>
          <w:rFonts w:ascii="Book Antiqua" w:hAnsi="Book Antiqua" w:eastAsia="Book Antiqua" w:cs="Book Antiqua"/>
          <w:color w:val="000000" w:themeColor="text1"/>
        </w:rPr>
        <w:t>2021</w:t>
      </w:r>
      <w:r w:rsidRPr="00C468E4">
        <w:rPr>
          <w:rFonts w:ascii="Book Antiqua" w:hAnsi="Book Antiqua" w:eastAsia="Book Antiqua" w:cs="Book Antiqua"/>
          <w:color w:val="000000" w:themeColor="text1"/>
        </w:rPr>
        <w:t xml:space="preserve"> </w:t>
      </w:r>
      <w:r w:rsidRPr="00C468E4" w:rsidR="000F30DB">
        <w:rPr>
          <w:rFonts w:ascii="Book Antiqua" w:hAnsi="Book Antiqua" w:eastAsia="Book Antiqua" w:cs="Book Antiqua"/>
          <w:color w:val="000000" w:themeColor="text1"/>
        </w:rPr>
        <w:t>WMP</w:t>
      </w:r>
      <w:r w:rsidRPr="00C468E4" w:rsidR="00180B20">
        <w:rPr>
          <w:rFonts w:ascii="Book Antiqua" w:hAnsi="Book Antiqua" w:eastAsia="Book Antiqua" w:cs="Book Antiqua"/>
          <w:color w:val="000000" w:themeColor="text1"/>
        </w:rPr>
        <w:t xml:space="preserve"> Update</w:t>
      </w:r>
      <w:r w:rsidRPr="00C468E4">
        <w:rPr>
          <w:rFonts w:ascii="Book Antiqua" w:hAnsi="Book Antiqua" w:eastAsia="Book Antiqua" w:cs="Book Antiqua"/>
          <w:color w:val="000000" w:themeColor="text1"/>
        </w:rPr>
        <w:t>s will</w:t>
      </w:r>
      <w:r w:rsidRPr="00C468E4">
        <w:rPr>
          <w:rFonts w:ascii="Book Antiqua" w:hAnsi="Book Antiqua" w:eastAsia="Book Antiqua" w:cs="Book Antiqua"/>
          <w:color w:val="000000" w:themeColor="text1"/>
          <w:sz w:val="16"/>
          <w:szCs w:val="16"/>
        </w:rPr>
        <w:t xml:space="preserve"> </w:t>
      </w:r>
      <w:r w:rsidRPr="00C468E4" w:rsidR="004C68F1">
        <w:rPr>
          <w:rFonts w:ascii="Book Antiqua" w:hAnsi="Book Antiqua" w:eastAsia="Book Antiqua" w:cs="Book Antiqua"/>
          <w:color w:val="000000" w:themeColor="text1"/>
        </w:rPr>
        <w:t>e</w:t>
      </w:r>
      <w:r w:rsidRPr="00C468E4">
        <w:rPr>
          <w:rFonts w:ascii="Book Antiqua" w:hAnsi="Book Antiqua" w:eastAsia="Book Antiqua" w:cs="Book Antiqua"/>
          <w:color w:val="000000" w:themeColor="text1"/>
        </w:rPr>
        <w:t>nhance California’s ability to mitigate</w:t>
      </w:r>
      <w:r w:rsidRPr="00C468E4" w:rsidR="00A3728C">
        <w:rPr>
          <w:rFonts w:ascii="Book Antiqua" w:hAnsi="Book Antiqua" w:eastAsia="Book Antiqua" w:cs="Book Antiqua"/>
          <w:color w:val="000000" w:themeColor="text1"/>
        </w:rPr>
        <w:t xml:space="preserve"> utility-related </w:t>
      </w:r>
      <w:r w:rsidRPr="00C468E4">
        <w:rPr>
          <w:rFonts w:ascii="Book Antiqua" w:hAnsi="Book Antiqua" w:eastAsia="Book Antiqua" w:cs="Book Antiqua"/>
          <w:color w:val="000000" w:themeColor="text1"/>
        </w:rPr>
        <w:t>catastrophic wildfire risk.</w:t>
      </w:r>
      <w:r w:rsidRPr="00C468E4" w:rsidR="009C6747">
        <w:rPr>
          <w:rFonts w:ascii="Book Antiqua" w:hAnsi="Book Antiqua" w:eastAsia="Book Antiqua" w:cs="Book Antiqua"/>
          <w:color w:val="000000" w:themeColor="text1"/>
        </w:rPr>
        <w:t xml:space="preserve"> </w:t>
      </w:r>
      <w:r w:rsidRPr="00C468E4">
        <w:rPr>
          <w:rFonts w:ascii="Book Antiqua" w:hAnsi="Book Antiqua" w:eastAsia="Book Antiqua" w:cs="Book Antiqua"/>
          <w:color w:val="000000" w:themeColor="text1"/>
        </w:rPr>
        <w:t xml:space="preserve">Below is a summary of the key new requirements </w:t>
      </w:r>
      <w:r w:rsidRPr="00C468E4">
        <w:rPr>
          <w:rFonts w:ascii="Book Antiqua" w:hAnsi="Book Antiqua" w:eastAsia="Book Antiqua" w:cs="Book Antiqua"/>
        </w:rPr>
        <w:t xml:space="preserve">in the </w:t>
      </w:r>
      <w:r w:rsidRPr="00C468E4" w:rsidR="001B43D5">
        <w:rPr>
          <w:rFonts w:ascii="Book Antiqua" w:hAnsi="Book Antiqua"/>
        </w:rPr>
        <w:t>2021</w:t>
      </w:r>
      <w:r w:rsidRPr="00C468E4">
        <w:rPr>
          <w:rFonts w:ascii="Book Antiqua" w:hAnsi="Book Antiqua" w:eastAsia="Book Antiqua" w:cs="Book Antiqua"/>
        </w:rPr>
        <w:t xml:space="preserve"> process </w:t>
      </w:r>
      <w:r w:rsidRPr="00C468E4">
        <w:rPr>
          <w:rFonts w:ascii="Book Antiqua" w:hAnsi="Book Antiqua" w:eastAsia="Book Antiqua" w:cs="Book Antiqua"/>
          <w:color w:val="000000" w:themeColor="text1"/>
        </w:rPr>
        <w:t xml:space="preserve">required of all </w:t>
      </w:r>
      <w:r w:rsidRPr="00C468E4" w:rsidR="00FF3347">
        <w:rPr>
          <w:rFonts w:ascii="Book Antiqua" w:hAnsi="Book Antiqua" w:eastAsia="Book Antiqua" w:cs="Book Antiqua"/>
          <w:color w:val="000000" w:themeColor="text1"/>
        </w:rPr>
        <w:t xml:space="preserve">utilities submitting a </w:t>
      </w:r>
      <w:r w:rsidRPr="00C468E4">
        <w:rPr>
          <w:rFonts w:ascii="Book Antiqua" w:hAnsi="Book Antiqua" w:eastAsia="Book Antiqua" w:cs="Book Antiqua"/>
          <w:color w:val="000000" w:themeColor="text1"/>
        </w:rPr>
        <w:t xml:space="preserve">WMP </w:t>
      </w:r>
      <w:r w:rsidRPr="00C468E4" w:rsidR="00482D75">
        <w:rPr>
          <w:rFonts w:ascii="Book Antiqua" w:hAnsi="Book Antiqua" w:eastAsia="Book Antiqua" w:cs="Book Antiqua"/>
          <w:color w:val="000000" w:themeColor="text1"/>
        </w:rPr>
        <w:t xml:space="preserve">Update. </w:t>
      </w:r>
      <w:r w:rsidRPr="00C468E4" w:rsidR="00FD2490">
        <w:rPr>
          <w:rFonts w:ascii="Book Antiqua" w:hAnsi="Book Antiqua" w:eastAsia="Book Antiqua" w:cs="Book Antiqua"/>
          <w:color w:val="000000" w:themeColor="text1"/>
        </w:rPr>
        <w:t>In 2021</w:t>
      </w:r>
      <w:r w:rsidRPr="00C468E4" w:rsidR="00B02A3E">
        <w:rPr>
          <w:rFonts w:ascii="Book Antiqua" w:hAnsi="Book Antiqua" w:eastAsia="Book Antiqua" w:cs="Book Antiqua"/>
          <w:color w:val="000000" w:themeColor="text1"/>
        </w:rPr>
        <w:t>,</w:t>
      </w:r>
      <w:r w:rsidRPr="00C468E4" w:rsidR="00FD2490">
        <w:rPr>
          <w:rFonts w:ascii="Book Antiqua" w:hAnsi="Book Antiqua" w:eastAsia="Book Antiqua" w:cs="Book Antiqua"/>
          <w:color w:val="000000" w:themeColor="text1"/>
        </w:rPr>
        <w:t xml:space="preserve"> </w:t>
      </w:r>
      <w:r w:rsidRPr="00C468E4" w:rsidR="00482D75">
        <w:rPr>
          <w:rFonts w:ascii="Book Antiqua" w:hAnsi="Book Antiqua" w:eastAsia="Book Antiqua" w:cs="Book Antiqua"/>
          <w:color w:val="000000" w:themeColor="text1"/>
        </w:rPr>
        <w:t>WMP Updates were required to</w:t>
      </w:r>
      <w:r w:rsidRPr="00C468E4">
        <w:rPr>
          <w:rFonts w:ascii="Book Antiqua" w:hAnsi="Book Antiqua" w:eastAsia="Book Antiqua" w:cs="Book Antiqua"/>
          <w:color w:val="000000" w:themeColor="text1"/>
        </w:rPr>
        <w:t>:</w:t>
      </w:r>
    </w:p>
    <w:p w:rsidRPr="00C468E4" w:rsidR="004B1CC4" w:rsidP="00F750E4" w:rsidRDefault="00525547" w14:paraId="320675BC" w14:textId="7FD98338">
      <w:pPr>
        <w:pStyle w:val="Res-Caption"/>
        <w:numPr>
          <w:ilvl w:val="1"/>
          <w:numId w:val="14"/>
        </w:numPr>
        <w:rPr>
          <w:rFonts w:ascii="Book Antiqua" w:hAnsi="Book Antiqua" w:eastAsiaTheme="minorEastAsia" w:cstheme="minorBidi"/>
          <w:szCs w:val="26"/>
        </w:rPr>
      </w:pPr>
      <w:r w:rsidRPr="00C468E4">
        <w:rPr>
          <w:rFonts w:ascii="Book Antiqua" w:hAnsi="Book Antiqua" w:eastAsia="Book Antiqua" w:cs="Book Antiqua"/>
        </w:rPr>
        <w:t xml:space="preserve">Include a checklist of the 22 </w:t>
      </w:r>
      <w:r w:rsidRPr="00C468E4" w:rsidR="00E16EE0">
        <w:rPr>
          <w:rFonts w:ascii="Book Antiqua" w:hAnsi="Book Antiqua" w:eastAsia="Book Antiqua" w:cs="Book Antiqua"/>
        </w:rPr>
        <w:t xml:space="preserve">Public Utilities Code </w:t>
      </w:r>
      <w:r w:rsidRPr="00C468E4">
        <w:rPr>
          <w:rFonts w:ascii="Book Antiqua" w:hAnsi="Book Antiqua" w:eastAsia="Book Antiqua" w:cs="Book Antiqua"/>
        </w:rPr>
        <w:t>Sec</w:t>
      </w:r>
      <w:r w:rsidR="00212D85">
        <w:rPr>
          <w:rFonts w:ascii="Book Antiqua" w:hAnsi="Book Antiqua" w:eastAsia="Book Antiqua" w:cs="Book Antiqua"/>
        </w:rPr>
        <w:t>tion</w:t>
      </w:r>
      <w:r w:rsidRPr="00C468E4">
        <w:rPr>
          <w:rFonts w:ascii="Book Antiqua" w:hAnsi="Book Antiqua" w:eastAsia="Book Antiqua" w:cs="Book Antiqua"/>
        </w:rPr>
        <w:t xml:space="preserve"> 8386(c) requirements to assist WSD staff in locating the sections that meet these requirements.</w:t>
      </w:r>
    </w:p>
    <w:p w:rsidRPr="00C468E4" w:rsidR="00881D77" w:rsidP="00F750E4" w:rsidRDefault="000575A1" w14:paraId="23C908E2" w14:textId="306F1F09">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B</w:t>
      </w:r>
      <w:r w:rsidRPr="00C468E4" w:rsidR="00C614ED">
        <w:rPr>
          <w:rFonts w:ascii="Book Antiqua" w:hAnsi="Book Antiqua" w:eastAsiaTheme="minorEastAsia" w:cstheme="minorBidi"/>
          <w:szCs w:val="26"/>
        </w:rPr>
        <w:t>e more</w:t>
      </w:r>
      <w:r w:rsidRPr="00C468E4" w:rsidR="00881D77">
        <w:rPr>
          <w:rFonts w:ascii="Book Antiqua" w:hAnsi="Book Antiqua" w:eastAsiaTheme="minorEastAsia" w:cstheme="minorBidi"/>
          <w:szCs w:val="26"/>
        </w:rPr>
        <w:t xml:space="preserve"> granular</w:t>
      </w:r>
      <w:r w:rsidRPr="00C468E4" w:rsidR="00C614ED">
        <w:rPr>
          <w:rFonts w:ascii="Book Antiqua" w:hAnsi="Book Antiqua" w:eastAsiaTheme="minorEastAsia" w:cstheme="minorBidi"/>
          <w:szCs w:val="26"/>
        </w:rPr>
        <w:t xml:space="preserve"> overall</w:t>
      </w:r>
      <w:r w:rsidRPr="00C468E4" w:rsidR="00881D77">
        <w:rPr>
          <w:rFonts w:ascii="Book Antiqua" w:hAnsi="Book Antiqua" w:eastAsiaTheme="minorEastAsia" w:cstheme="minorBidi"/>
          <w:szCs w:val="26"/>
        </w:rPr>
        <w:t xml:space="preserve"> to</w:t>
      </w:r>
      <w:r w:rsidRPr="00C468E4">
        <w:rPr>
          <w:rFonts w:ascii="Book Antiqua" w:hAnsi="Book Antiqua" w:eastAsiaTheme="minorEastAsia" w:cstheme="minorBidi"/>
          <w:szCs w:val="26"/>
        </w:rPr>
        <w:t xml:space="preserve"> help </w:t>
      </w:r>
      <w:r w:rsidRPr="00C468E4" w:rsidR="00CF57A4">
        <w:rPr>
          <w:rFonts w:ascii="Book Antiqua" w:hAnsi="Book Antiqua" w:eastAsiaTheme="minorEastAsia" w:cstheme="minorBidi"/>
          <w:szCs w:val="26"/>
        </w:rPr>
        <w:t xml:space="preserve">the </w:t>
      </w:r>
      <w:r w:rsidRPr="00C468E4">
        <w:rPr>
          <w:rFonts w:ascii="Book Antiqua" w:hAnsi="Book Antiqua" w:eastAsiaTheme="minorEastAsia" w:cstheme="minorBidi"/>
          <w:szCs w:val="26"/>
        </w:rPr>
        <w:t>WSD staff</w:t>
      </w:r>
      <w:r w:rsidRPr="00C468E4" w:rsidR="00881D77">
        <w:rPr>
          <w:rFonts w:ascii="Book Antiqua" w:hAnsi="Book Antiqua" w:eastAsiaTheme="minorEastAsia" w:cstheme="minorBidi"/>
          <w:szCs w:val="26"/>
        </w:rPr>
        <w:t xml:space="preserve"> better</w:t>
      </w:r>
      <w:r w:rsidRPr="00C468E4" w:rsidR="00C614ED">
        <w:rPr>
          <w:rFonts w:ascii="Book Antiqua" w:hAnsi="Book Antiqua" w:eastAsiaTheme="minorEastAsia" w:cstheme="minorBidi"/>
          <w:szCs w:val="26"/>
        </w:rPr>
        <w:t xml:space="preserve"> </w:t>
      </w:r>
      <w:r w:rsidRPr="00C468E4" w:rsidR="00881D77">
        <w:rPr>
          <w:rFonts w:ascii="Book Antiqua" w:hAnsi="Book Antiqua" w:eastAsiaTheme="minorEastAsia" w:cstheme="minorBidi"/>
          <w:szCs w:val="26"/>
        </w:rPr>
        <w:t>understand resource allocation, local community conditions and other detailed information previously</w:t>
      </w:r>
      <w:r w:rsidRPr="00C468E4" w:rsidR="00C614ED">
        <w:rPr>
          <w:rFonts w:ascii="Book Antiqua" w:hAnsi="Book Antiqua" w:eastAsiaTheme="minorEastAsia" w:cstheme="minorBidi"/>
          <w:szCs w:val="26"/>
        </w:rPr>
        <w:t xml:space="preserve"> </w:t>
      </w:r>
      <w:r w:rsidRPr="00C468E4" w:rsidR="00881D77">
        <w:rPr>
          <w:rFonts w:ascii="Book Antiqua" w:hAnsi="Book Antiqua" w:eastAsiaTheme="minorEastAsia" w:cstheme="minorBidi"/>
          <w:szCs w:val="26"/>
        </w:rPr>
        <w:t>requested at a more aggregated level</w:t>
      </w:r>
      <w:r w:rsidRPr="00C468E4" w:rsidR="00C614ED">
        <w:rPr>
          <w:rFonts w:ascii="Book Antiqua" w:hAnsi="Book Antiqua" w:eastAsiaTheme="minorEastAsia" w:cstheme="minorBidi"/>
          <w:szCs w:val="26"/>
        </w:rPr>
        <w:t>.</w:t>
      </w:r>
    </w:p>
    <w:p w:rsidRPr="00C468E4" w:rsidR="001A04B4" w:rsidP="00F750E4" w:rsidRDefault="00CF57A4" w14:paraId="392CDD93" w14:textId="3DD78B89">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Provide more</w:t>
      </w:r>
      <w:r w:rsidRPr="00C468E4" w:rsidR="001A04B4">
        <w:rPr>
          <w:rFonts w:ascii="Book Antiqua" w:hAnsi="Book Antiqua" w:eastAsiaTheme="minorEastAsia" w:cstheme="minorBidi"/>
          <w:szCs w:val="26"/>
        </w:rPr>
        <w:t xml:space="preserve"> detail</w:t>
      </w:r>
      <w:r w:rsidRPr="00C468E4" w:rsidR="00303E32">
        <w:rPr>
          <w:rFonts w:ascii="Book Antiqua" w:hAnsi="Book Antiqua" w:eastAsiaTheme="minorEastAsia" w:cstheme="minorBidi"/>
          <w:szCs w:val="26"/>
        </w:rPr>
        <w:t>s show</w:t>
      </w:r>
      <w:r w:rsidRPr="00C468E4">
        <w:rPr>
          <w:rFonts w:ascii="Book Antiqua" w:hAnsi="Book Antiqua" w:eastAsiaTheme="minorEastAsia" w:cstheme="minorBidi"/>
          <w:szCs w:val="26"/>
        </w:rPr>
        <w:t>ing</w:t>
      </w:r>
      <w:r w:rsidRPr="00C468E4" w:rsidR="001A04B4">
        <w:rPr>
          <w:rFonts w:ascii="Book Antiqua" w:hAnsi="Book Antiqua" w:eastAsiaTheme="minorEastAsia" w:cstheme="minorBidi"/>
          <w:szCs w:val="26"/>
        </w:rPr>
        <w:t xml:space="preserve"> how utilities are mitigating the impact of wildfires and PSPS on vulnerable, marginalized</w:t>
      </w:r>
      <w:r w:rsidRPr="00C468E4" w:rsidR="00303E32">
        <w:rPr>
          <w:rFonts w:ascii="Book Antiqua" w:hAnsi="Book Antiqua" w:eastAsiaTheme="minorEastAsia" w:cstheme="minorBidi"/>
          <w:szCs w:val="26"/>
        </w:rPr>
        <w:t>,</w:t>
      </w:r>
      <w:r w:rsidRPr="00C468E4" w:rsidR="001A04B4">
        <w:rPr>
          <w:rFonts w:ascii="Book Antiqua" w:hAnsi="Book Antiqua" w:eastAsiaTheme="minorEastAsia" w:cstheme="minorBidi"/>
          <w:szCs w:val="26"/>
        </w:rPr>
        <w:t xml:space="preserve"> and at-risk</w:t>
      </w:r>
      <w:r w:rsidRPr="00C468E4" w:rsidR="00303E32">
        <w:rPr>
          <w:rFonts w:ascii="Book Antiqua" w:hAnsi="Book Antiqua" w:eastAsiaTheme="minorEastAsia" w:cstheme="minorBidi"/>
          <w:szCs w:val="26"/>
        </w:rPr>
        <w:t xml:space="preserve"> </w:t>
      </w:r>
      <w:r w:rsidRPr="00C468E4" w:rsidR="001A04B4">
        <w:rPr>
          <w:rFonts w:ascii="Book Antiqua" w:hAnsi="Book Antiqua" w:eastAsiaTheme="minorEastAsia" w:cstheme="minorBidi"/>
          <w:szCs w:val="26"/>
        </w:rPr>
        <w:t>communities</w:t>
      </w:r>
      <w:r w:rsidRPr="00C468E4" w:rsidR="00303E32">
        <w:rPr>
          <w:rFonts w:ascii="Book Antiqua" w:hAnsi="Book Antiqua" w:eastAsiaTheme="minorEastAsia" w:cstheme="minorBidi"/>
          <w:szCs w:val="26"/>
        </w:rPr>
        <w:t>.</w:t>
      </w:r>
    </w:p>
    <w:p w:rsidRPr="00C468E4" w:rsidR="008C111C" w:rsidP="00130E3D" w:rsidRDefault="00CF57A4" w14:paraId="61D5863D" w14:textId="25841E2B">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R</w:t>
      </w:r>
      <w:r w:rsidRPr="00C468E4" w:rsidR="008C111C">
        <w:rPr>
          <w:rFonts w:ascii="Book Antiqua" w:hAnsi="Book Antiqua" w:eastAsiaTheme="minorEastAsia" w:cstheme="minorBidi"/>
          <w:szCs w:val="26"/>
        </w:rPr>
        <w:t>eport the</w:t>
      </w:r>
      <w:r w:rsidRPr="00C468E4" w:rsidR="00895DE3">
        <w:rPr>
          <w:rFonts w:ascii="Book Antiqua" w:hAnsi="Book Antiqua" w:eastAsiaTheme="minorEastAsia" w:cstheme="minorBidi"/>
          <w:szCs w:val="26"/>
        </w:rPr>
        <w:t xml:space="preserve"> utility’s</w:t>
      </w:r>
      <w:r w:rsidRPr="00C468E4" w:rsidR="008C111C">
        <w:rPr>
          <w:rFonts w:ascii="Book Antiqua" w:hAnsi="Book Antiqua" w:eastAsiaTheme="minorEastAsia" w:cstheme="minorBidi"/>
          <w:szCs w:val="26"/>
        </w:rPr>
        <w:t xml:space="preserve"> methodology for calculating the increase costs to ratepayers.</w:t>
      </w:r>
    </w:p>
    <w:p w:rsidRPr="00C468E4" w:rsidR="00704202" w:rsidP="00F750E4" w:rsidRDefault="00895DE3" w14:paraId="30630D6F" w14:textId="62B35244">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R</w:t>
      </w:r>
      <w:r w:rsidRPr="00C468E4" w:rsidR="00363A33">
        <w:rPr>
          <w:rFonts w:ascii="Book Antiqua" w:hAnsi="Book Antiqua" w:eastAsiaTheme="minorEastAsia" w:cstheme="minorBidi"/>
          <w:szCs w:val="26"/>
        </w:rPr>
        <w:t>eport the details of the</w:t>
      </w:r>
      <w:r w:rsidRPr="00C468E4">
        <w:rPr>
          <w:rFonts w:ascii="Book Antiqua" w:hAnsi="Book Antiqua" w:eastAsiaTheme="minorEastAsia" w:cstheme="minorBidi"/>
          <w:szCs w:val="26"/>
        </w:rPr>
        <w:t xml:space="preserve"> utility’s</w:t>
      </w:r>
      <w:r w:rsidRPr="00C468E4" w:rsidR="00363A33">
        <w:rPr>
          <w:rFonts w:ascii="Book Antiqua" w:hAnsi="Book Antiqua" w:eastAsiaTheme="minorEastAsia" w:cstheme="minorBidi"/>
          <w:szCs w:val="26"/>
        </w:rPr>
        <w:t xml:space="preserve"> </w:t>
      </w:r>
      <w:r w:rsidRPr="00C468E4" w:rsidR="00426FFF">
        <w:rPr>
          <w:rFonts w:ascii="Book Antiqua" w:hAnsi="Book Antiqua" w:eastAsiaTheme="minorEastAsia" w:cstheme="minorBidi"/>
          <w:szCs w:val="26"/>
        </w:rPr>
        <w:t>methods for</w:t>
      </w:r>
      <w:r w:rsidRPr="00C468E4" w:rsidR="00363A33">
        <w:rPr>
          <w:rFonts w:ascii="Book Antiqua" w:hAnsi="Book Antiqua" w:eastAsiaTheme="minorEastAsia" w:cstheme="minorBidi"/>
          <w:szCs w:val="26"/>
        </w:rPr>
        <w:t xml:space="preserve"> model</w:t>
      </w:r>
      <w:r w:rsidRPr="00C468E4" w:rsidR="00426FFF">
        <w:rPr>
          <w:rFonts w:ascii="Book Antiqua" w:hAnsi="Book Antiqua" w:eastAsiaTheme="minorEastAsia" w:cstheme="minorBidi"/>
          <w:szCs w:val="26"/>
        </w:rPr>
        <w:t>ing</w:t>
      </w:r>
      <w:r w:rsidRPr="00C468E4" w:rsidR="00363A33">
        <w:rPr>
          <w:rFonts w:ascii="Book Antiqua" w:hAnsi="Book Antiqua" w:eastAsiaTheme="minorEastAsia" w:cstheme="minorBidi"/>
          <w:szCs w:val="26"/>
        </w:rPr>
        <w:t xml:space="preserve"> ignition probability</w:t>
      </w:r>
      <w:r w:rsidRPr="00C468E4" w:rsidR="00426FFF">
        <w:rPr>
          <w:rFonts w:ascii="Book Antiqua" w:hAnsi="Book Antiqua" w:eastAsiaTheme="minorEastAsia" w:cstheme="minorBidi"/>
          <w:szCs w:val="26"/>
        </w:rPr>
        <w:t>.</w:t>
      </w:r>
      <w:r w:rsidRPr="00C468E4" w:rsidR="009B6E4D">
        <w:rPr>
          <w:rFonts w:ascii="Book Antiqua" w:hAnsi="Book Antiqua" w:eastAsiaTheme="minorEastAsia" w:cstheme="minorBidi"/>
          <w:szCs w:val="26"/>
        </w:rPr>
        <w:t xml:space="preserve"> </w:t>
      </w:r>
    </w:p>
    <w:p w:rsidRPr="00C468E4" w:rsidR="00906A7B" w:rsidP="00F750E4" w:rsidRDefault="00895DE3" w14:paraId="603D76A5" w14:textId="568C0968">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lastRenderedPageBreak/>
        <w:t>R</w:t>
      </w:r>
      <w:r w:rsidRPr="00C468E4" w:rsidR="00906A7B">
        <w:rPr>
          <w:rFonts w:ascii="Book Antiqua" w:hAnsi="Book Antiqua" w:eastAsiaTheme="minorEastAsia" w:cstheme="minorBidi"/>
          <w:szCs w:val="26"/>
        </w:rPr>
        <w:t>eport the</w:t>
      </w:r>
      <w:r w:rsidRPr="00C468E4">
        <w:rPr>
          <w:rFonts w:ascii="Book Antiqua" w:hAnsi="Book Antiqua" w:eastAsiaTheme="minorEastAsia" w:cstheme="minorBidi"/>
          <w:szCs w:val="26"/>
        </w:rPr>
        <w:t xml:space="preserve"> utility’s</w:t>
      </w:r>
      <w:r w:rsidRPr="00C468E4" w:rsidR="00906A7B">
        <w:rPr>
          <w:rFonts w:ascii="Book Antiqua" w:hAnsi="Book Antiqua" w:eastAsiaTheme="minorEastAsia" w:cstheme="minorBidi"/>
          <w:szCs w:val="26"/>
        </w:rPr>
        <w:t xml:space="preserve"> process for calculating</w:t>
      </w:r>
      <w:r w:rsidRPr="00C468E4" w:rsidR="00D744EF">
        <w:rPr>
          <w:rFonts w:ascii="Book Antiqua" w:hAnsi="Book Antiqua" w:eastAsiaTheme="minorEastAsia" w:cstheme="minorBidi"/>
          <w:szCs w:val="26"/>
        </w:rPr>
        <w:t xml:space="preserve"> </w:t>
      </w:r>
      <w:r w:rsidRPr="00C468E4" w:rsidR="00906A7B">
        <w:rPr>
          <w:rFonts w:ascii="Book Antiqua" w:hAnsi="Book Antiqua" w:eastAsiaTheme="minorEastAsia" w:cstheme="minorBidi"/>
          <w:szCs w:val="26"/>
        </w:rPr>
        <w:t>specific metrics</w:t>
      </w:r>
      <w:r w:rsidRPr="00C468E4" w:rsidR="00355E1F">
        <w:rPr>
          <w:rFonts w:ascii="Book Antiqua" w:hAnsi="Book Antiqua" w:eastAsiaTheme="minorEastAsia" w:cstheme="minorBidi"/>
          <w:szCs w:val="26"/>
        </w:rPr>
        <w:t xml:space="preserve"> including Red Flag Warning and High Wind Warning overhead circuit mile days</w:t>
      </w:r>
      <w:r w:rsidRPr="00C468E4" w:rsidR="006D2031">
        <w:rPr>
          <w:rFonts w:ascii="Book Antiqua" w:hAnsi="Book Antiqua" w:eastAsiaTheme="minorEastAsia" w:cstheme="minorBidi"/>
          <w:szCs w:val="26"/>
        </w:rPr>
        <w:t>, the Access and Functional Needs population,</w:t>
      </w:r>
      <w:r w:rsidRPr="00C468E4" w:rsidR="004119CE">
        <w:rPr>
          <w:rFonts w:ascii="Book Antiqua" w:hAnsi="Book Antiqua" w:eastAsiaTheme="minorEastAsia" w:cstheme="minorBidi"/>
          <w:szCs w:val="26"/>
        </w:rPr>
        <w:t xml:space="preserve"> the wildland urban interface (WUI) territory, and </w:t>
      </w:r>
      <w:r w:rsidRPr="00C468E4" w:rsidR="00E50C40">
        <w:rPr>
          <w:rFonts w:ascii="Book Antiqua" w:hAnsi="Book Antiqua" w:eastAsiaTheme="minorEastAsia" w:cstheme="minorBidi"/>
          <w:szCs w:val="26"/>
        </w:rPr>
        <w:t>highly rural, rural, and urban territor</w:t>
      </w:r>
      <w:r w:rsidRPr="00C468E4" w:rsidR="000000C5">
        <w:rPr>
          <w:rFonts w:ascii="Book Antiqua" w:hAnsi="Book Antiqua" w:eastAsiaTheme="minorEastAsia" w:cstheme="minorBidi"/>
          <w:szCs w:val="26"/>
        </w:rPr>
        <w:t>ies</w:t>
      </w:r>
      <w:r w:rsidRPr="00C468E4" w:rsidR="00316159">
        <w:rPr>
          <w:rFonts w:ascii="Book Antiqua" w:hAnsi="Book Antiqua" w:eastAsiaTheme="minorEastAsia" w:cstheme="minorBidi"/>
          <w:szCs w:val="26"/>
        </w:rPr>
        <w:t>.</w:t>
      </w:r>
    </w:p>
    <w:p w:rsidRPr="00C468E4" w:rsidR="00316159" w:rsidP="00F750E4" w:rsidRDefault="006E2A34" w14:paraId="60824195" w14:textId="783FF059">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 xml:space="preserve">Include </w:t>
      </w:r>
      <w:r w:rsidRPr="00C468E4" w:rsidR="00895DE3">
        <w:rPr>
          <w:rFonts w:ascii="Book Antiqua" w:hAnsi="Book Antiqua" w:eastAsiaTheme="minorEastAsia" w:cstheme="minorBidi"/>
          <w:szCs w:val="26"/>
        </w:rPr>
        <w:t>a narrative explaining the qualifications of</w:t>
      </w:r>
      <w:r w:rsidRPr="00C468E4">
        <w:rPr>
          <w:rFonts w:ascii="Book Antiqua" w:hAnsi="Book Antiqua" w:eastAsiaTheme="minorEastAsia" w:cstheme="minorBidi"/>
          <w:szCs w:val="26"/>
        </w:rPr>
        <w:t xml:space="preserve"> certain</w:t>
      </w:r>
      <w:r w:rsidRPr="00C468E4" w:rsidR="00895DE3">
        <w:rPr>
          <w:rFonts w:ascii="Book Antiqua" w:hAnsi="Book Antiqua" w:eastAsiaTheme="minorEastAsia" w:cstheme="minorBidi"/>
          <w:szCs w:val="26"/>
        </w:rPr>
        <w:t xml:space="preserve"> utility workers </w:t>
      </w:r>
      <w:r w:rsidRPr="00C468E4">
        <w:rPr>
          <w:rFonts w:ascii="Book Antiqua" w:hAnsi="Book Antiqua" w:eastAsiaTheme="minorEastAsia" w:cstheme="minorBidi"/>
          <w:szCs w:val="26"/>
        </w:rPr>
        <w:t xml:space="preserve">in roles </w:t>
      </w:r>
      <w:r w:rsidRPr="00C468E4" w:rsidR="00895DE3">
        <w:rPr>
          <w:rFonts w:ascii="Book Antiqua" w:hAnsi="Book Antiqua" w:eastAsiaTheme="minorEastAsia" w:cstheme="minorBidi"/>
          <w:szCs w:val="26"/>
        </w:rPr>
        <w:t>relate</w:t>
      </w:r>
      <w:r w:rsidRPr="00C468E4">
        <w:rPr>
          <w:rFonts w:ascii="Book Antiqua" w:hAnsi="Book Antiqua" w:eastAsiaTheme="minorEastAsia" w:cstheme="minorBidi"/>
          <w:szCs w:val="26"/>
        </w:rPr>
        <w:t>d</w:t>
      </w:r>
      <w:r w:rsidRPr="00C468E4" w:rsidR="00895DE3">
        <w:rPr>
          <w:rFonts w:ascii="Book Antiqua" w:hAnsi="Book Antiqua" w:eastAsiaTheme="minorEastAsia" w:cstheme="minorBidi"/>
          <w:szCs w:val="26"/>
        </w:rPr>
        <w:t xml:space="preserve"> to wildfire &amp; PSPS mitigation</w:t>
      </w:r>
      <w:r w:rsidRPr="00C468E4">
        <w:rPr>
          <w:rFonts w:ascii="Book Antiqua" w:hAnsi="Book Antiqua" w:eastAsiaTheme="minorEastAsia" w:cstheme="minorBidi"/>
          <w:szCs w:val="26"/>
        </w:rPr>
        <w:t>.</w:t>
      </w:r>
    </w:p>
    <w:p w:rsidRPr="00C468E4" w:rsidR="006E2A34" w:rsidP="00F750E4" w:rsidRDefault="00FD2490" w14:paraId="47F48E2D" w14:textId="7E8D25EC">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Include more granular g</w:t>
      </w:r>
      <w:r w:rsidRPr="00C468E4" w:rsidR="000643DA">
        <w:rPr>
          <w:rFonts w:ascii="Book Antiqua" w:hAnsi="Book Antiqua" w:eastAsiaTheme="minorEastAsia" w:cstheme="minorBidi"/>
          <w:szCs w:val="26"/>
        </w:rPr>
        <w:t>eospatial data to provide metrics at a local level</w:t>
      </w:r>
      <w:r w:rsidRPr="00C468E4" w:rsidR="00314D35">
        <w:rPr>
          <w:rFonts w:ascii="Book Antiqua" w:hAnsi="Book Antiqua" w:eastAsiaTheme="minorEastAsia" w:cstheme="minorBidi"/>
          <w:szCs w:val="26"/>
        </w:rPr>
        <w:t>.</w:t>
      </w:r>
    </w:p>
    <w:p w:rsidRPr="00C468E4" w:rsidR="00C76D40" w:rsidP="00F750E4" w:rsidRDefault="00B02A3E" w14:paraId="07F4CC8B" w14:textId="4346FBF0">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Include m</w:t>
      </w:r>
      <w:r w:rsidRPr="00C468E4" w:rsidR="00C76D40">
        <w:rPr>
          <w:rFonts w:ascii="Book Antiqua" w:hAnsi="Book Antiqua" w:eastAsiaTheme="minorEastAsia" w:cstheme="minorBidi"/>
          <w:szCs w:val="26"/>
        </w:rPr>
        <w:t>ore refinement in progress and outcome metrics</w:t>
      </w:r>
      <w:r w:rsidRPr="00C468E4" w:rsidR="00C708B2">
        <w:rPr>
          <w:rFonts w:ascii="Book Antiqua" w:hAnsi="Book Antiqua" w:eastAsiaTheme="minorEastAsia" w:cstheme="minorBidi"/>
          <w:szCs w:val="26"/>
        </w:rPr>
        <w:t xml:space="preserve"> (e.g.,</w:t>
      </w:r>
      <w:r w:rsidRPr="00C468E4" w:rsidR="00B642B0">
        <w:rPr>
          <w:rFonts w:ascii="Book Antiqua" w:hAnsi="Book Antiqua" w:eastAsiaTheme="minorEastAsia" w:cstheme="minorBidi"/>
          <w:szCs w:val="26"/>
        </w:rPr>
        <w:t xml:space="preserve"> inspection effectiveness,</w:t>
      </w:r>
      <w:r w:rsidRPr="00C468E4" w:rsidR="00C708B2">
        <w:rPr>
          <w:rFonts w:ascii="Book Antiqua" w:hAnsi="Book Antiqua" w:eastAsiaTheme="minorEastAsia" w:cstheme="minorBidi"/>
          <w:szCs w:val="26"/>
        </w:rPr>
        <w:t xml:space="preserve"> risk events)</w:t>
      </w:r>
      <w:r w:rsidRPr="00C468E4" w:rsidR="00C76D40">
        <w:rPr>
          <w:rFonts w:ascii="Book Antiqua" w:hAnsi="Book Antiqua" w:eastAsiaTheme="minorEastAsia" w:cstheme="minorBidi"/>
          <w:szCs w:val="26"/>
        </w:rPr>
        <w:t>.</w:t>
      </w:r>
    </w:p>
    <w:p w:rsidRPr="00C468E4" w:rsidR="00F40730" w:rsidP="00F750E4" w:rsidRDefault="00B72421" w14:paraId="231CF19A" w14:textId="77777777">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 xml:space="preserve">Include an explanation </w:t>
      </w:r>
      <w:r w:rsidRPr="00C468E4" w:rsidR="009260B7">
        <w:rPr>
          <w:rFonts w:ascii="Book Antiqua" w:hAnsi="Book Antiqua" w:eastAsiaTheme="minorEastAsia" w:cstheme="minorBidi"/>
          <w:szCs w:val="26"/>
        </w:rPr>
        <w:t>w</w:t>
      </w:r>
      <w:r w:rsidRPr="00C468E4">
        <w:rPr>
          <w:rFonts w:ascii="Book Antiqua" w:hAnsi="Book Antiqua" w:eastAsiaTheme="minorEastAsia" w:cstheme="minorBidi"/>
          <w:szCs w:val="26"/>
        </w:rPr>
        <w:t>here</w:t>
      </w:r>
      <w:r w:rsidRPr="00C468E4" w:rsidR="009260B7">
        <w:rPr>
          <w:rFonts w:ascii="Book Antiqua" w:hAnsi="Book Antiqua" w:eastAsiaTheme="minorEastAsia" w:cstheme="minorBidi"/>
          <w:szCs w:val="26"/>
        </w:rPr>
        <w:t>ver</w:t>
      </w:r>
      <w:r w:rsidRPr="00C468E4">
        <w:rPr>
          <w:rFonts w:ascii="Book Antiqua" w:hAnsi="Book Antiqua" w:eastAsiaTheme="minorEastAsia" w:cstheme="minorBidi"/>
          <w:szCs w:val="26"/>
        </w:rPr>
        <w:t xml:space="preserve"> the</w:t>
      </w:r>
      <w:r w:rsidRPr="00C468E4" w:rsidR="009260B7">
        <w:rPr>
          <w:rFonts w:ascii="Book Antiqua" w:hAnsi="Book Antiqua" w:eastAsiaTheme="minorEastAsia" w:cstheme="minorBidi"/>
          <w:szCs w:val="26"/>
        </w:rPr>
        <w:t xml:space="preserve"> utility could not disaggregate financial spend activities.</w:t>
      </w:r>
    </w:p>
    <w:p w:rsidRPr="00C468E4" w:rsidR="00B72421" w:rsidP="00FB4CD8" w:rsidRDefault="00017A6E" w14:paraId="11F9AAD0" w14:textId="153BF22B">
      <w:pPr>
        <w:pStyle w:val="Res-Caption"/>
        <w:numPr>
          <w:ilvl w:val="1"/>
          <w:numId w:val="14"/>
        </w:numPr>
        <w:rPr>
          <w:rFonts w:ascii="Book Antiqua" w:hAnsi="Book Antiqua" w:eastAsiaTheme="minorEastAsia" w:cstheme="minorBidi"/>
          <w:szCs w:val="26"/>
        </w:rPr>
      </w:pPr>
      <w:r w:rsidRPr="00C468E4">
        <w:rPr>
          <w:rFonts w:ascii="Book Antiqua" w:hAnsi="Book Antiqua" w:eastAsiaTheme="minorEastAsia" w:cstheme="minorBidi"/>
          <w:szCs w:val="26"/>
        </w:rPr>
        <w:t>Include citations to relevant state and federal statutes, orders, and proceedings.</w:t>
      </w:r>
    </w:p>
    <w:p w:rsidRPr="00C468E4" w:rsidR="00170CB4" w:rsidP="00C656DB" w:rsidRDefault="00170CB4" w14:paraId="26A5641C" w14:textId="3C1BF703">
      <w:pPr>
        <w:ind w:left="1440"/>
        <w:rPr>
          <w:rFonts w:eastAsiaTheme="minorEastAsia"/>
          <w:szCs w:val="26"/>
        </w:rPr>
      </w:pPr>
    </w:p>
    <w:p w:rsidRPr="00C468E4" w:rsidR="001A36E2" w:rsidP="00B2118A" w:rsidRDefault="001A36E2" w14:paraId="43839543" w14:textId="447626E7">
      <w:pPr>
        <w:pStyle w:val="Res-Caption"/>
        <w:rPr>
          <w:rFonts w:ascii="Book Antiqua" w:hAnsi="Book Antiqua"/>
        </w:rPr>
      </w:pPr>
      <w:r w:rsidRPr="00C468E4">
        <w:rPr>
          <w:rFonts w:ascii="Book Antiqua" w:hAnsi="Book Antiqua"/>
        </w:rPr>
        <w:t>ESTIMATED COST:</w:t>
      </w:r>
      <w:r w:rsidRPr="00C468E4" w:rsidR="009C6747">
        <w:rPr>
          <w:rFonts w:ascii="Book Antiqua" w:hAnsi="Book Antiqua"/>
        </w:rPr>
        <w:t xml:space="preserve"> </w:t>
      </w:r>
    </w:p>
    <w:p w:rsidRPr="00C468E4" w:rsidR="00B86E27" w:rsidP="008E7B52" w:rsidRDefault="00741E9B" w14:paraId="36FEFDD3" w14:textId="7994E45B">
      <w:pPr>
        <w:pStyle w:val="Res-Caption"/>
        <w:numPr>
          <w:ilvl w:val="0"/>
          <w:numId w:val="13"/>
        </w:numPr>
        <w:rPr>
          <w:rFonts w:ascii="Book Antiqua" w:hAnsi="Book Antiqua"/>
        </w:rPr>
      </w:pPr>
      <w:r w:rsidRPr="00C468E4">
        <w:rPr>
          <w:rFonts w:ascii="Book Antiqua" w:hAnsi="Book Antiqua"/>
        </w:rPr>
        <w:t>Costs are not considered in this Resolution, as Pub</w:t>
      </w:r>
      <w:r w:rsidRPr="00C468E4" w:rsidR="006B6135">
        <w:rPr>
          <w:rFonts w:ascii="Book Antiqua" w:hAnsi="Book Antiqua"/>
        </w:rPr>
        <w:t>lic</w:t>
      </w:r>
      <w:r w:rsidRPr="00C468E4">
        <w:rPr>
          <w:rFonts w:ascii="Book Antiqua" w:hAnsi="Book Antiqua"/>
        </w:rPr>
        <w:t xml:space="preserve"> Util</w:t>
      </w:r>
      <w:r w:rsidRPr="00C468E4" w:rsidR="006B6135">
        <w:rPr>
          <w:rFonts w:ascii="Book Antiqua" w:hAnsi="Book Antiqua"/>
        </w:rPr>
        <w:t>ity</w:t>
      </w:r>
      <w:r w:rsidRPr="00C468E4">
        <w:rPr>
          <w:rFonts w:ascii="Book Antiqua" w:hAnsi="Book Antiqua"/>
        </w:rPr>
        <w:t xml:space="preserve"> Code </w:t>
      </w:r>
      <w:r w:rsidRPr="00C468E4" w:rsidR="000B0AB0">
        <w:rPr>
          <w:rFonts w:ascii="Book Antiqua" w:hAnsi="Book Antiqua"/>
        </w:rPr>
        <w:t>Section</w:t>
      </w:r>
      <w:r w:rsidRPr="00C468E4">
        <w:rPr>
          <w:rFonts w:ascii="Book Antiqua" w:hAnsi="Book Antiqua"/>
        </w:rPr>
        <w:t xml:space="preserve"> 8386.4(b) provides for Commission cost review in a utility General Rate Case or, in some cases, a separate application. </w:t>
      </w:r>
      <w:r w:rsidRPr="00C468E4" w:rsidR="00B86E27">
        <w:rPr>
          <w:rFonts w:ascii="Book Antiqua" w:hAnsi="Book Antiqua"/>
        </w:rPr>
        <w:t>Nothing in this Resolution should be construed as approval of the costs associated with the WMP mitigation efforts.</w:t>
      </w:r>
      <w:r w:rsidRPr="00C468E4" w:rsidR="009C6747">
        <w:rPr>
          <w:rFonts w:ascii="Book Antiqua" w:hAnsi="Book Antiqua"/>
        </w:rPr>
        <w:t xml:space="preserve"> </w:t>
      </w:r>
    </w:p>
    <w:p w:rsidRPr="00C468E4" w:rsidR="00B86E27" w:rsidP="008E7B52" w:rsidRDefault="00B86E27" w14:paraId="6F5C4CA9" w14:textId="17D391DB">
      <w:pPr>
        <w:pStyle w:val="Res-Caption"/>
        <w:numPr>
          <w:ilvl w:val="0"/>
          <w:numId w:val="13"/>
        </w:numPr>
        <w:rPr>
          <w:rFonts w:ascii="Book Antiqua" w:hAnsi="Book Antiqua"/>
        </w:rPr>
      </w:pPr>
      <w:r w:rsidRPr="00C468E4">
        <w:rPr>
          <w:rFonts w:ascii="Book Antiqua" w:hAnsi="Book Antiqua"/>
        </w:rPr>
        <w:t>For illustrative purposes,</w:t>
      </w:r>
      <w:r w:rsidRPr="00C468E4" w:rsidR="54B3D282">
        <w:rPr>
          <w:rFonts w:ascii="Book Antiqua" w:hAnsi="Book Antiqua"/>
        </w:rPr>
        <w:t xml:space="preserve"> Table 1</w:t>
      </w:r>
      <w:r w:rsidRPr="00C468E4">
        <w:rPr>
          <w:rFonts w:ascii="Book Antiqua" w:hAnsi="Book Antiqua"/>
        </w:rPr>
        <w:t xml:space="preserve"> below contains </w:t>
      </w:r>
      <w:r w:rsidRPr="00C468E4" w:rsidR="00C3450F">
        <w:rPr>
          <w:rFonts w:ascii="Book Antiqua" w:hAnsi="Book Antiqua"/>
        </w:rPr>
        <w:t>SDG&amp;E’s</w:t>
      </w:r>
      <w:r w:rsidRPr="00C468E4">
        <w:rPr>
          <w:rFonts w:ascii="Book Antiqua" w:hAnsi="Book Antiqua"/>
          <w:color w:val="FF0000"/>
        </w:rPr>
        <w:t xml:space="preserve"> </w:t>
      </w:r>
      <w:r w:rsidRPr="00C468E4" w:rsidR="001B43D5">
        <w:rPr>
          <w:rFonts w:ascii="Book Antiqua" w:hAnsi="Book Antiqua"/>
        </w:rPr>
        <w:t>actual costs for 202</w:t>
      </w:r>
      <w:r w:rsidRPr="00C468E4" w:rsidR="00CC49BC">
        <w:rPr>
          <w:rFonts w:ascii="Book Antiqua" w:hAnsi="Book Antiqua"/>
        </w:rPr>
        <w:t>0</w:t>
      </w:r>
      <w:r w:rsidRPr="00C468E4" w:rsidR="001B43D5">
        <w:rPr>
          <w:rFonts w:ascii="Book Antiqua" w:hAnsi="Book Antiqua"/>
        </w:rPr>
        <w:t xml:space="preserve"> and </w:t>
      </w:r>
      <w:r w:rsidRPr="00C468E4">
        <w:rPr>
          <w:rFonts w:ascii="Book Antiqua" w:hAnsi="Book Antiqua"/>
        </w:rPr>
        <w:t>its projected</w:t>
      </w:r>
      <w:r w:rsidRPr="00C468E4" w:rsidR="001B43D5">
        <w:rPr>
          <w:rFonts w:ascii="Book Antiqua" w:hAnsi="Book Antiqua"/>
        </w:rPr>
        <w:t xml:space="preserve"> costs </w:t>
      </w:r>
      <w:r w:rsidRPr="00C468E4">
        <w:rPr>
          <w:rFonts w:ascii="Book Antiqua" w:hAnsi="Book Antiqua"/>
        </w:rPr>
        <w:t xml:space="preserve">for the </w:t>
      </w:r>
      <w:r w:rsidRPr="00C468E4" w:rsidR="00E557FF">
        <w:rPr>
          <w:rFonts w:ascii="Book Antiqua" w:hAnsi="Book Antiqua"/>
        </w:rPr>
        <w:t xml:space="preserve">implementation of </w:t>
      </w:r>
      <w:r w:rsidRPr="00C468E4">
        <w:rPr>
          <w:rFonts w:ascii="Book Antiqua" w:hAnsi="Book Antiqua"/>
        </w:rPr>
        <w:t xml:space="preserve">wildfire mitigation efforts in its </w:t>
      </w:r>
      <w:r w:rsidRPr="00C468E4" w:rsidR="001B43D5">
        <w:rPr>
          <w:rFonts w:ascii="Book Antiqua" w:hAnsi="Book Antiqua"/>
        </w:rPr>
        <w:t>2021</w:t>
      </w:r>
      <w:r w:rsidRPr="00C468E4">
        <w:rPr>
          <w:rFonts w:ascii="Book Antiqua" w:hAnsi="Book Antiqua"/>
        </w:rPr>
        <w:t xml:space="preserve"> WMP</w:t>
      </w:r>
      <w:r w:rsidRPr="00C468E4" w:rsidR="001B43D5">
        <w:rPr>
          <w:rFonts w:ascii="Book Antiqua" w:hAnsi="Book Antiqua"/>
        </w:rPr>
        <w:t xml:space="preserve"> Update.</w:t>
      </w:r>
    </w:p>
    <w:p w:rsidRPr="00C468E4" w:rsidR="001A36E2" w:rsidP="008E7B52" w:rsidRDefault="008C4AEE" w14:paraId="7134C91D" w14:textId="7BD15F00">
      <w:pPr>
        <w:pStyle w:val="Res-Caption"/>
        <w:numPr>
          <w:ilvl w:val="0"/>
          <w:numId w:val="13"/>
        </w:numPr>
        <w:rPr>
          <w:rFonts w:ascii="Book Antiqua" w:hAnsi="Book Antiqua"/>
        </w:rPr>
      </w:pPr>
      <w:r w:rsidRPr="00C468E4">
        <w:rPr>
          <w:rFonts w:ascii="Book Antiqua" w:hAnsi="Book Antiqua"/>
        </w:rPr>
        <w:t>SDG&amp;E</w:t>
      </w:r>
      <w:r w:rsidRPr="00C468E4" w:rsidR="005D7298">
        <w:rPr>
          <w:rFonts w:ascii="Book Antiqua" w:hAnsi="Book Antiqua"/>
        </w:rPr>
        <w:t xml:space="preserve"> </w:t>
      </w:r>
      <w:r w:rsidRPr="00C468E4" w:rsidR="001A36E2">
        <w:rPr>
          <w:rFonts w:ascii="Book Antiqua" w:hAnsi="Book Antiqua"/>
        </w:rPr>
        <w:t>may not record the same costs more than once or in more than one place, seek duplicative recovery of costs, or record or seek to recover costs in the memorandum account already recovered separately.</w:t>
      </w:r>
      <w:r w:rsidRPr="00C468E4" w:rsidR="009C6747">
        <w:rPr>
          <w:rFonts w:ascii="Book Antiqua" w:hAnsi="Book Antiqua"/>
        </w:rPr>
        <w:t xml:space="preserve"> </w:t>
      </w:r>
      <w:r w:rsidRPr="00C468E4" w:rsidR="001A36E2">
        <w:rPr>
          <w:rFonts w:ascii="Book Antiqua" w:hAnsi="Book Antiqua"/>
        </w:rPr>
        <w:t>All electrical corporations should ensure they carefully document their expenditures in these memorandum accounts by category and be prepared for Commission review and audit of the accounts at any time.</w:t>
      </w:r>
    </w:p>
    <w:p w:rsidRPr="00C468E4" w:rsidR="002C39C4" w:rsidP="00BB41FE" w:rsidRDefault="002C39C4" w14:paraId="0C91ADE9" w14:textId="082DE4FB"/>
    <w:p w:rsidRPr="00C468E4" w:rsidR="00336EFF" w:rsidP="00BB41FE" w:rsidRDefault="00336EFF" w14:paraId="63B632D2" w14:textId="77777777"/>
    <w:p w:rsidRPr="00CB0D41" w:rsidR="00036A1A" w:rsidP="00036A1A" w:rsidRDefault="00036A1A" w14:paraId="60E46A56" w14:textId="2A368514">
      <w:pPr>
        <w:pStyle w:val="Caption"/>
        <w:keepNext/>
        <w:rPr>
          <w:b/>
          <w:bCs/>
        </w:rPr>
      </w:pPr>
      <w:bookmarkStart w:name="_Ref35589188" w:id="1"/>
      <w:r w:rsidRPr="00C468E4">
        <w:rPr>
          <w:b/>
        </w:rPr>
        <w:lastRenderedPageBreak/>
        <w:t>Table</w:t>
      </w:r>
      <w:r w:rsidRPr="00C468E4" w:rsidR="0FCC8F17">
        <w:rPr>
          <w:b/>
        </w:rPr>
        <w:t xml:space="preserve"> </w:t>
      </w:r>
      <w:r w:rsidRPr="00C468E4" w:rsidR="006B1DA6">
        <w:rPr>
          <w:b/>
        </w:rPr>
        <w:t xml:space="preserve">1: </w:t>
      </w:r>
      <w:r w:rsidRPr="00C468E4" w:rsidR="000D609B">
        <w:rPr>
          <w:b/>
        </w:rPr>
        <w:t>SDG&amp;E</w:t>
      </w:r>
      <w:r w:rsidRPr="00C468E4" w:rsidR="00751C1C">
        <w:rPr>
          <w:b/>
        </w:rPr>
        <w:t xml:space="preserve">’s </w:t>
      </w:r>
      <w:r w:rsidRPr="00C468E4" w:rsidR="00F82280">
        <w:rPr>
          <w:b/>
        </w:rPr>
        <w:t xml:space="preserve">WMP </w:t>
      </w:r>
      <w:r w:rsidRPr="00C468E4" w:rsidR="00CC49BC">
        <w:rPr>
          <w:b/>
        </w:rPr>
        <w:t>Costs</w:t>
      </w:r>
      <w:bookmarkEnd w:id="1"/>
      <w:r w:rsidRPr="00CB0D41" w:rsidR="009D53F6">
        <w:rPr>
          <w:rStyle w:val="FootnoteReference"/>
          <w:b/>
          <w:bCs/>
        </w:rPr>
        <w:footnoteReference w:id="3"/>
      </w:r>
    </w:p>
    <w:tbl>
      <w:tblPr>
        <w:tblStyle w:val="TableGrid"/>
        <w:tblW w:w="0" w:type="auto"/>
        <w:jc w:val="center"/>
        <w:tblLook w:val="04A0" w:firstRow="1" w:lastRow="0" w:firstColumn="1" w:lastColumn="0" w:noHBand="0" w:noVBand="1"/>
      </w:tblPr>
      <w:tblGrid>
        <w:gridCol w:w="3955"/>
        <w:gridCol w:w="3245"/>
      </w:tblGrid>
      <w:tr w:rsidRPr="00C468E4" w:rsidR="0026179B" w:rsidTr="00A26715" w14:paraId="2F8CF9D3" w14:textId="77777777">
        <w:trPr>
          <w:jc w:val="center"/>
        </w:trPr>
        <w:tc>
          <w:tcPr>
            <w:tcW w:w="3955" w:type="dxa"/>
          </w:tcPr>
          <w:p w:rsidRPr="00C468E4" w:rsidR="000227B0" w:rsidP="000227B0" w:rsidRDefault="000227B0" w14:paraId="5BCA6113" w14:textId="3D772364">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2020 </w:t>
            </w:r>
            <w:r w:rsidRPr="00C468E4" w:rsidR="005E44BF">
              <w:rPr>
                <w:rFonts w:ascii="Book Antiqua" w:hAnsi="Book Antiqua"/>
              </w:rPr>
              <w:t>c</w:t>
            </w:r>
            <w:r w:rsidRPr="00C468E4" w:rsidR="006B1DA6">
              <w:rPr>
                <w:rFonts w:ascii="Book Antiqua" w:hAnsi="Book Antiqua"/>
              </w:rPr>
              <w:t>osts</w:t>
            </w:r>
          </w:p>
          <w:p w:rsidRPr="00C468E4" w:rsidR="00E37A6E" w:rsidP="000227B0" w:rsidRDefault="00E37A6E" w14:paraId="6702E9F3" w14:textId="60675D60">
            <w:pPr>
              <w:pStyle w:val="Res-Caption"/>
              <w:ind w:left="144" w:right="58"/>
              <w:rPr>
                <w:rFonts w:ascii="Book Antiqua" w:hAnsi="Book Antiqua"/>
              </w:rPr>
            </w:pPr>
            <w:r w:rsidRPr="00C468E4">
              <w:rPr>
                <w:rFonts w:ascii="Book Antiqua" w:hAnsi="Book Antiqua"/>
              </w:rPr>
              <w:t xml:space="preserve">(as reported in </w:t>
            </w:r>
            <w:r w:rsidRPr="00C468E4" w:rsidR="005E44BF">
              <w:rPr>
                <w:rFonts w:ascii="Book Antiqua" w:hAnsi="Book Antiqua"/>
              </w:rPr>
              <w:t xml:space="preserve">the </w:t>
            </w:r>
            <w:r w:rsidRPr="00C468E4">
              <w:rPr>
                <w:rFonts w:ascii="Book Antiqua" w:hAnsi="Book Antiqua"/>
              </w:rPr>
              <w:t>2020 WMP)</w:t>
            </w:r>
          </w:p>
        </w:tc>
        <w:tc>
          <w:tcPr>
            <w:tcW w:w="3245" w:type="dxa"/>
          </w:tcPr>
          <w:p w:rsidRPr="00C468E4" w:rsidR="0026179B" w:rsidP="001A6E1D" w:rsidRDefault="00682D54" w14:paraId="75D60BBB" w14:textId="5688A1B9">
            <w:pPr>
              <w:pStyle w:val="Res-Caption"/>
              <w:ind w:left="0" w:right="61"/>
              <w:rPr>
                <w:rFonts w:ascii="Book Antiqua" w:hAnsi="Book Antiqua"/>
              </w:rPr>
            </w:pPr>
            <w:bookmarkStart w:name="_Hlk71196734" w:id="2"/>
            <w:r w:rsidRPr="00C468E4">
              <w:rPr>
                <w:rFonts w:ascii="Book Antiqua" w:hAnsi="Book Antiqua"/>
              </w:rPr>
              <w:t>$452,470</w:t>
            </w:r>
            <w:bookmarkEnd w:id="2"/>
            <w:r w:rsidRPr="00C468E4" w:rsidR="00746D8C">
              <w:rPr>
                <w:rFonts w:ascii="Book Antiqua" w:hAnsi="Book Antiqua"/>
              </w:rPr>
              <w:t>,000</w:t>
            </w:r>
          </w:p>
        </w:tc>
      </w:tr>
      <w:tr w:rsidRPr="00C468E4" w:rsidR="00E37A6E" w:rsidTr="00A26715" w14:paraId="5A39323C" w14:textId="77777777">
        <w:trPr>
          <w:jc w:val="center"/>
        </w:trPr>
        <w:tc>
          <w:tcPr>
            <w:tcW w:w="3955" w:type="dxa"/>
          </w:tcPr>
          <w:p w:rsidRPr="00C468E4" w:rsidR="00E37A6E" w:rsidP="000227B0" w:rsidRDefault="00E37A6E" w14:paraId="27F666FB" w14:textId="7A47130D">
            <w:pPr>
              <w:pStyle w:val="Res-Caption"/>
              <w:ind w:left="144" w:right="58"/>
              <w:rPr>
                <w:rFonts w:ascii="Book Antiqua" w:hAnsi="Book Antiqua"/>
              </w:rPr>
            </w:pPr>
            <w:r w:rsidRPr="00C468E4">
              <w:rPr>
                <w:rFonts w:ascii="Book Antiqua" w:hAnsi="Book Antiqua"/>
              </w:rPr>
              <w:t xml:space="preserve">Actual 2020 </w:t>
            </w:r>
            <w:r w:rsidRPr="00C468E4" w:rsidR="005E44BF">
              <w:rPr>
                <w:rFonts w:ascii="Book Antiqua" w:hAnsi="Book Antiqua"/>
              </w:rPr>
              <w:t>c</w:t>
            </w:r>
            <w:r w:rsidRPr="00C468E4" w:rsidR="006B1DA6">
              <w:rPr>
                <w:rFonts w:ascii="Book Antiqua" w:hAnsi="Book Antiqua"/>
              </w:rPr>
              <w:t>osts</w:t>
            </w:r>
            <w:r w:rsidRPr="00C468E4" w:rsidR="001D2EF5">
              <w:rPr>
                <w:rFonts w:ascii="Book Antiqua" w:hAnsi="Book Antiqua"/>
              </w:rPr>
              <w:br/>
            </w:r>
            <w:r w:rsidRPr="00C468E4" w:rsidR="00FC0C90">
              <w:rPr>
                <w:rFonts w:ascii="Book Antiqua" w:hAnsi="Book Antiqua"/>
              </w:rPr>
              <w:t>(as reported in the 2021 WMP</w:t>
            </w:r>
            <w:r w:rsidRPr="00C468E4" w:rsidR="004A71AC">
              <w:rPr>
                <w:rFonts w:ascii="Book Antiqua" w:hAnsi="Book Antiqua"/>
              </w:rPr>
              <w:t xml:space="preserve"> Update</w:t>
            </w:r>
            <w:r w:rsidRPr="00C468E4" w:rsidR="00FC0C90">
              <w:rPr>
                <w:rFonts w:ascii="Book Antiqua" w:hAnsi="Book Antiqua"/>
              </w:rPr>
              <w:t>)</w:t>
            </w:r>
          </w:p>
        </w:tc>
        <w:tc>
          <w:tcPr>
            <w:tcW w:w="3245" w:type="dxa"/>
          </w:tcPr>
          <w:p w:rsidRPr="00C468E4" w:rsidR="00E37A6E" w:rsidP="00E37A6E" w:rsidRDefault="0074679D" w14:paraId="32D96D0C" w14:textId="59A8270F">
            <w:pPr>
              <w:pStyle w:val="Res-Caption"/>
              <w:ind w:left="0" w:right="61"/>
              <w:rPr>
                <w:rFonts w:ascii="Book Antiqua" w:hAnsi="Book Antiqua"/>
              </w:rPr>
            </w:pPr>
            <w:r w:rsidRPr="00C468E4">
              <w:rPr>
                <w:rFonts w:ascii="Book Antiqua" w:hAnsi="Book Antiqua"/>
              </w:rPr>
              <w:t>$569,237</w:t>
            </w:r>
            <w:r w:rsidRPr="00C468E4" w:rsidR="00746D8C">
              <w:rPr>
                <w:rFonts w:ascii="Book Antiqua" w:hAnsi="Book Antiqua"/>
              </w:rPr>
              <w:t>,000</w:t>
            </w:r>
          </w:p>
        </w:tc>
      </w:tr>
      <w:tr w:rsidRPr="00C468E4" w:rsidR="00E37A6E" w:rsidTr="00A26715" w14:paraId="5DC75EAA" w14:textId="77777777">
        <w:trPr>
          <w:jc w:val="center"/>
        </w:trPr>
        <w:tc>
          <w:tcPr>
            <w:tcW w:w="3955" w:type="dxa"/>
          </w:tcPr>
          <w:p w:rsidRPr="00C468E4" w:rsidR="00E37A6E" w:rsidP="000227B0" w:rsidRDefault="00E37A6E" w14:paraId="4E58D4EA" w14:textId="504AF118">
            <w:pPr>
              <w:pStyle w:val="Res-Caption"/>
              <w:ind w:left="144" w:right="58"/>
              <w:rPr>
                <w:rFonts w:ascii="Book Antiqua" w:hAnsi="Book Antiqua"/>
              </w:rPr>
            </w:pPr>
            <w:r w:rsidRPr="00C468E4">
              <w:rPr>
                <w:rFonts w:ascii="Book Antiqua" w:hAnsi="Book Antiqua"/>
              </w:rPr>
              <w:t>Difference</w:t>
            </w:r>
            <w:r w:rsidRPr="00C468E4" w:rsidR="009E7E13">
              <w:rPr>
                <w:rFonts w:ascii="Book Antiqua" w:hAnsi="Book Antiqua"/>
              </w:rPr>
              <w:t xml:space="preserve"> </w:t>
            </w:r>
            <w:r w:rsidRPr="00C468E4" w:rsidR="005E44BF">
              <w:rPr>
                <w:rFonts w:ascii="Book Antiqua" w:hAnsi="Book Antiqua"/>
              </w:rPr>
              <w:t xml:space="preserve">between </w:t>
            </w:r>
            <w:r w:rsidRPr="00C468E4" w:rsidR="009E7E13">
              <w:rPr>
                <w:rFonts w:ascii="Book Antiqua" w:hAnsi="Book Antiqua"/>
              </w:rPr>
              <w:t xml:space="preserve">2020 </w:t>
            </w:r>
            <w:r w:rsidRPr="00C468E4" w:rsidR="005E44BF">
              <w:rPr>
                <w:rFonts w:ascii="Book Antiqua" w:hAnsi="Book Antiqua"/>
              </w:rPr>
              <w:t>p</w:t>
            </w:r>
            <w:r w:rsidRPr="00C468E4" w:rsidR="009E7E13">
              <w:rPr>
                <w:rFonts w:ascii="Book Antiqua" w:hAnsi="Book Antiqua"/>
              </w:rPr>
              <w:t>roposed/</w:t>
            </w:r>
            <w:r w:rsidRPr="00C468E4" w:rsidR="005E44BF">
              <w:rPr>
                <w:rFonts w:ascii="Book Antiqua" w:hAnsi="Book Antiqua"/>
              </w:rPr>
              <w:t>a</w:t>
            </w:r>
            <w:r w:rsidRPr="00C468E4" w:rsidR="009E7E13">
              <w:rPr>
                <w:rFonts w:ascii="Book Antiqua" w:hAnsi="Book Antiqua"/>
              </w:rPr>
              <w:t>ctual</w:t>
            </w:r>
            <w:r w:rsidRPr="00C468E4" w:rsidR="00AB624E">
              <w:rPr>
                <w:rFonts w:ascii="Book Antiqua" w:hAnsi="Book Antiqua"/>
              </w:rPr>
              <w:t xml:space="preserve"> </w:t>
            </w:r>
            <w:r w:rsidRPr="00C468E4" w:rsidR="005E44BF">
              <w:rPr>
                <w:rFonts w:ascii="Book Antiqua" w:hAnsi="Book Antiqua"/>
              </w:rPr>
              <w:t>c</w:t>
            </w:r>
            <w:r w:rsidRPr="00C468E4" w:rsidR="00AB624E">
              <w:rPr>
                <w:rFonts w:ascii="Book Antiqua" w:hAnsi="Book Antiqua"/>
              </w:rPr>
              <w:t>osts</w:t>
            </w:r>
            <w:r w:rsidRPr="00C468E4" w:rsidR="005F3136">
              <w:rPr>
                <w:rFonts w:ascii="Book Antiqua" w:hAnsi="Book Antiqua"/>
              </w:rPr>
              <w:t xml:space="preserve"> (+/-)</w:t>
            </w:r>
          </w:p>
        </w:tc>
        <w:tc>
          <w:tcPr>
            <w:tcW w:w="3245" w:type="dxa"/>
          </w:tcPr>
          <w:p w:rsidRPr="00C468E4" w:rsidR="00E37A6E" w:rsidP="00E37A6E" w:rsidRDefault="00F456E8" w14:paraId="40ECF6DD" w14:textId="68371622">
            <w:pPr>
              <w:pStyle w:val="Res-Caption"/>
              <w:ind w:left="0" w:right="61"/>
              <w:rPr>
                <w:rFonts w:ascii="Book Antiqua" w:hAnsi="Book Antiqua"/>
              </w:rPr>
            </w:pPr>
            <w:r w:rsidRPr="00C468E4">
              <w:rPr>
                <w:rFonts w:ascii="Book Antiqua" w:hAnsi="Book Antiqua"/>
              </w:rPr>
              <w:t>+</w:t>
            </w:r>
            <w:r w:rsidRPr="00C468E4" w:rsidR="00323D1F">
              <w:rPr>
                <w:rFonts w:ascii="Book Antiqua" w:hAnsi="Book Antiqua"/>
              </w:rPr>
              <w:t>$116,767</w:t>
            </w:r>
            <w:r w:rsidRPr="00C468E4" w:rsidR="00746D8C">
              <w:rPr>
                <w:rFonts w:ascii="Book Antiqua" w:hAnsi="Book Antiqua"/>
              </w:rPr>
              <w:t>,000</w:t>
            </w:r>
          </w:p>
        </w:tc>
      </w:tr>
      <w:tr w:rsidRPr="00C468E4" w:rsidR="00E37A6E" w:rsidTr="00A26715" w14:paraId="4D8454F2" w14:textId="77777777">
        <w:trPr>
          <w:trHeight w:val="71"/>
          <w:jc w:val="center"/>
        </w:trPr>
        <w:tc>
          <w:tcPr>
            <w:tcW w:w="3955" w:type="dxa"/>
          </w:tcPr>
          <w:p w:rsidRPr="00C468E4" w:rsidR="00E37A6E" w:rsidP="000227B0" w:rsidRDefault="000227B0" w14:paraId="25AF5038" w14:textId="6986859A">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2021</w:t>
            </w:r>
            <w:r w:rsidRPr="00C468E4" w:rsidR="0092493D">
              <w:rPr>
                <w:rFonts w:ascii="Book Antiqua" w:hAnsi="Book Antiqua"/>
              </w:rPr>
              <w:t xml:space="preserve"> </w:t>
            </w:r>
            <w:r w:rsidRPr="00C468E4" w:rsidR="005E44BF">
              <w:rPr>
                <w:rFonts w:ascii="Book Antiqua" w:hAnsi="Book Antiqua"/>
              </w:rPr>
              <w:t>c</w:t>
            </w:r>
            <w:r w:rsidRPr="00C468E4" w:rsidR="0092493D">
              <w:rPr>
                <w:rFonts w:ascii="Book Antiqua" w:hAnsi="Book Antiqua"/>
              </w:rPr>
              <w:t>osts</w:t>
            </w:r>
            <w:r w:rsidRPr="00C468E4" w:rsidR="001D2EF5">
              <w:rPr>
                <w:rFonts w:ascii="Book Antiqua" w:hAnsi="Book Antiqua"/>
              </w:rPr>
              <w:br/>
            </w:r>
          </w:p>
        </w:tc>
        <w:tc>
          <w:tcPr>
            <w:tcW w:w="3245" w:type="dxa"/>
          </w:tcPr>
          <w:p w:rsidRPr="00C468E4" w:rsidR="00E37A6E" w:rsidP="00E37A6E" w:rsidRDefault="00394437" w14:paraId="51A54CE9" w14:textId="1B1AB96E">
            <w:pPr>
              <w:pStyle w:val="Res-Caption"/>
              <w:ind w:left="0" w:right="61"/>
              <w:rPr>
                <w:rFonts w:ascii="Book Antiqua" w:hAnsi="Book Antiqua"/>
              </w:rPr>
            </w:pPr>
            <w:r w:rsidRPr="00C468E4">
              <w:rPr>
                <w:rFonts w:ascii="Book Antiqua" w:hAnsi="Book Antiqua"/>
              </w:rPr>
              <w:t>$646,466</w:t>
            </w:r>
            <w:r w:rsidRPr="00C468E4" w:rsidR="00746D8C">
              <w:rPr>
                <w:rFonts w:ascii="Book Antiqua" w:hAnsi="Book Antiqua"/>
              </w:rPr>
              <w:t>,000</w:t>
            </w:r>
          </w:p>
        </w:tc>
      </w:tr>
      <w:tr w:rsidRPr="00C468E4" w:rsidR="00E37A6E" w:rsidTr="00A26715" w14:paraId="5AB6A157" w14:textId="77777777">
        <w:trPr>
          <w:trHeight w:val="71"/>
          <w:jc w:val="center"/>
        </w:trPr>
        <w:tc>
          <w:tcPr>
            <w:tcW w:w="3955" w:type="dxa"/>
          </w:tcPr>
          <w:p w:rsidRPr="00C468E4" w:rsidR="00E37A6E" w:rsidP="000227B0" w:rsidRDefault="000227B0" w14:paraId="44878C8E" w14:textId="68C05A81">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2022</w:t>
            </w:r>
            <w:r w:rsidRPr="00C468E4" w:rsidR="0092493D">
              <w:rPr>
                <w:rFonts w:ascii="Book Antiqua" w:hAnsi="Book Antiqua"/>
              </w:rPr>
              <w:t xml:space="preserve"> </w:t>
            </w:r>
            <w:r w:rsidRPr="00C468E4" w:rsidR="005E44BF">
              <w:rPr>
                <w:rFonts w:ascii="Book Antiqua" w:hAnsi="Book Antiqua"/>
              </w:rPr>
              <w:t>c</w:t>
            </w:r>
            <w:r w:rsidRPr="00C468E4" w:rsidR="0092493D">
              <w:rPr>
                <w:rFonts w:ascii="Book Antiqua" w:hAnsi="Book Antiqua"/>
              </w:rPr>
              <w:t>osts</w:t>
            </w:r>
            <w:r w:rsidRPr="00C468E4" w:rsidR="001D2EF5">
              <w:rPr>
                <w:rFonts w:ascii="Book Antiqua" w:hAnsi="Book Antiqua"/>
              </w:rPr>
              <w:br/>
            </w:r>
          </w:p>
        </w:tc>
        <w:tc>
          <w:tcPr>
            <w:tcW w:w="3245" w:type="dxa"/>
          </w:tcPr>
          <w:p w:rsidRPr="00C468E4" w:rsidR="00E37A6E" w:rsidP="00E37A6E" w:rsidRDefault="00394437" w14:paraId="1F27F389" w14:textId="743817F9">
            <w:pPr>
              <w:pStyle w:val="Res-Caption"/>
              <w:ind w:left="0" w:right="61"/>
              <w:rPr>
                <w:rFonts w:ascii="Book Antiqua" w:hAnsi="Book Antiqua"/>
              </w:rPr>
            </w:pPr>
            <w:r w:rsidRPr="00C468E4">
              <w:rPr>
                <w:rFonts w:ascii="Book Antiqua" w:hAnsi="Book Antiqua"/>
              </w:rPr>
              <w:t>$669,869</w:t>
            </w:r>
            <w:r w:rsidRPr="00C468E4" w:rsidR="00746D8C">
              <w:rPr>
                <w:rFonts w:ascii="Book Antiqua" w:hAnsi="Book Antiqua"/>
              </w:rPr>
              <w:t>,000</w:t>
            </w:r>
          </w:p>
        </w:tc>
      </w:tr>
      <w:tr w:rsidRPr="00C468E4" w:rsidR="00E37A6E" w:rsidTr="00A26715" w14:paraId="582202FA" w14:textId="77777777">
        <w:trPr>
          <w:trHeight w:val="71"/>
          <w:jc w:val="center"/>
        </w:trPr>
        <w:tc>
          <w:tcPr>
            <w:tcW w:w="3955" w:type="dxa"/>
          </w:tcPr>
          <w:p w:rsidRPr="00C468E4" w:rsidR="00E37A6E" w:rsidP="000227B0" w:rsidRDefault="000227B0" w14:paraId="2B5866E4" w14:textId="29DC493D">
            <w:pPr>
              <w:pStyle w:val="Res-Caption"/>
              <w:ind w:left="144" w:right="58"/>
              <w:rPr>
                <w:rFonts w:ascii="Book Antiqua" w:hAnsi="Book Antiqua"/>
              </w:rPr>
            </w:pPr>
            <w:r w:rsidRPr="00C468E4">
              <w:rPr>
                <w:rFonts w:ascii="Book Antiqua" w:hAnsi="Book Antiqua"/>
              </w:rPr>
              <w:t>Proposed</w:t>
            </w:r>
            <w:r w:rsidRPr="00C468E4" w:rsidR="00E37A6E">
              <w:rPr>
                <w:rFonts w:ascii="Book Antiqua" w:hAnsi="Book Antiqua"/>
              </w:rPr>
              <w:t xml:space="preserve"> </w:t>
            </w:r>
            <w:r w:rsidRPr="00C468E4" w:rsidR="005E44BF">
              <w:rPr>
                <w:rFonts w:ascii="Book Antiqua" w:hAnsi="Book Antiqua"/>
              </w:rPr>
              <w:t>t</w:t>
            </w:r>
            <w:r w:rsidRPr="00C468E4" w:rsidR="00E37A6E">
              <w:rPr>
                <w:rFonts w:ascii="Book Antiqua" w:hAnsi="Book Antiqua"/>
              </w:rPr>
              <w:t>otal</w:t>
            </w:r>
            <w:r w:rsidRPr="00C468E4" w:rsidR="009E7E13">
              <w:rPr>
                <w:rFonts w:ascii="Book Antiqua" w:hAnsi="Book Antiqua"/>
              </w:rPr>
              <w:t xml:space="preserve"> </w:t>
            </w:r>
            <w:r w:rsidRPr="00C468E4" w:rsidR="005E44BF">
              <w:rPr>
                <w:rFonts w:ascii="Book Antiqua" w:hAnsi="Book Antiqua"/>
              </w:rPr>
              <w:t>c</w:t>
            </w:r>
            <w:r w:rsidRPr="00C468E4" w:rsidR="009E7E13">
              <w:rPr>
                <w:rFonts w:ascii="Book Antiqua" w:hAnsi="Book Antiqua"/>
              </w:rPr>
              <w:t>osts</w:t>
            </w:r>
            <w:r w:rsidRPr="00C468E4" w:rsidR="00E37A6E">
              <w:rPr>
                <w:rFonts w:ascii="Book Antiqua" w:hAnsi="Book Antiqua"/>
              </w:rPr>
              <w:t xml:space="preserve"> </w:t>
            </w:r>
            <w:r w:rsidRPr="00C468E4" w:rsidR="009E7E13">
              <w:rPr>
                <w:rFonts w:ascii="Book Antiqua" w:hAnsi="Book Antiqua"/>
              </w:rPr>
              <w:br/>
            </w:r>
            <w:r w:rsidRPr="00C468E4" w:rsidR="00E37A6E">
              <w:rPr>
                <w:rFonts w:ascii="Book Antiqua" w:hAnsi="Book Antiqua"/>
              </w:rPr>
              <w:t>2020-2022</w:t>
            </w:r>
          </w:p>
        </w:tc>
        <w:tc>
          <w:tcPr>
            <w:tcW w:w="3245" w:type="dxa"/>
          </w:tcPr>
          <w:p w:rsidRPr="00C468E4" w:rsidR="00F943F0" w:rsidP="00FB4CD8" w:rsidRDefault="00F943F0" w14:paraId="716E2A2E" w14:textId="4FF58DA8">
            <w:pPr>
              <w:pStyle w:val="Res-Caption"/>
              <w:ind w:left="0" w:right="61"/>
              <w:rPr>
                <w:rFonts w:ascii="Book Antiqua" w:hAnsi="Book Antiqua"/>
              </w:rPr>
            </w:pPr>
            <w:r w:rsidRPr="00C468E4">
              <w:rPr>
                <w:rFonts w:ascii="Book Antiqua" w:hAnsi="Book Antiqua"/>
              </w:rPr>
              <w:t>$1,885,572</w:t>
            </w:r>
            <w:r w:rsidRPr="00C468E4" w:rsidR="005F198E">
              <w:rPr>
                <w:rFonts w:ascii="Book Antiqua" w:hAnsi="Book Antiqua"/>
              </w:rPr>
              <w:t>,000</w:t>
            </w:r>
          </w:p>
          <w:p w:rsidRPr="00C468E4" w:rsidR="00E37A6E" w:rsidP="00F943F0" w:rsidRDefault="00E37A6E" w14:paraId="796FFBF6" w14:textId="64E6A9A7">
            <w:pPr>
              <w:pStyle w:val="Res-Caption"/>
              <w:ind w:left="0" w:right="61"/>
              <w:rPr>
                <w:rFonts w:ascii="Book Antiqua" w:hAnsi="Book Antiqua"/>
              </w:rPr>
            </w:pPr>
          </w:p>
        </w:tc>
      </w:tr>
    </w:tbl>
    <w:p w:rsidRPr="00C468E4" w:rsidR="00A057D1" w:rsidP="00A057D1" w:rsidRDefault="00A057D1" w14:paraId="19E54BAE" w14:textId="77777777">
      <w:pPr>
        <w:pStyle w:val="Standard"/>
        <w:pBdr>
          <w:bottom w:val="single" w:color="auto" w:sz="6" w:space="1"/>
        </w:pBdr>
        <w:ind w:left="720" w:right="720"/>
      </w:pPr>
    </w:p>
    <w:p w:rsidRPr="00C468E4" w:rsidR="00BA3550" w:rsidRDefault="00BA3550" w14:paraId="3ADFC43C" w14:textId="77777777">
      <w:pPr>
        <w:spacing w:after="160" w:line="259" w:lineRule="auto"/>
        <w:rPr>
          <w:rFonts w:cs="Arial"/>
          <w:b/>
          <w:szCs w:val="26"/>
        </w:rPr>
      </w:pPr>
      <w:r w:rsidRPr="00C468E4">
        <w:br w:type="page"/>
      </w:r>
    </w:p>
    <w:sdt>
      <w:sdtPr>
        <w:rPr>
          <w:rFonts w:ascii="Book Antiqua" w:hAnsi="Book Antiqua" w:eastAsiaTheme="minorHAnsi" w:cstheme="minorBidi"/>
          <w:b w:val="0"/>
          <w:szCs w:val="22"/>
        </w:rPr>
        <w:id w:val="2132676946"/>
        <w:docPartObj>
          <w:docPartGallery w:val="Table of Contents"/>
          <w:docPartUnique/>
        </w:docPartObj>
      </w:sdtPr>
      <w:sdtEndPr/>
      <w:sdtContent>
        <w:p w:rsidRPr="00CB0D41" w:rsidR="00BA3550" w:rsidRDefault="00BA3550" w14:paraId="1CDCE228" w14:textId="0349C178">
          <w:pPr>
            <w:pStyle w:val="TOCHeading"/>
            <w:rPr>
              <w:rFonts w:ascii="Book Antiqua" w:hAnsi="Book Antiqua"/>
            </w:rPr>
          </w:pPr>
          <w:r w:rsidRPr="00CB0D41">
            <w:rPr>
              <w:rFonts w:ascii="Book Antiqua" w:hAnsi="Book Antiqua"/>
            </w:rPr>
            <w:t>Table of Contents</w:t>
          </w:r>
        </w:p>
        <w:p w:rsidR="00E76A7C" w:rsidRDefault="00BA3550" w14:paraId="30FF7949" w14:textId="6583B95E">
          <w:pPr>
            <w:pStyle w:val="TOC1"/>
            <w:tabs>
              <w:tab w:val="right" w:leader="dot" w:pos="9350"/>
            </w:tabs>
            <w:rPr>
              <w:rFonts w:asciiTheme="minorHAnsi" w:hAnsiTheme="minorHAnsi" w:cstheme="minorBidi"/>
              <w:noProof/>
              <w:sz w:val="22"/>
            </w:rPr>
          </w:pPr>
          <w:r w:rsidRPr="001578CD">
            <w:fldChar w:fldCharType="begin"/>
          </w:r>
          <w:r w:rsidRPr="00C468E4">
            <w:instrText xml:space="preserve"> TOC \o "1-3" \h \z \u </w:instrText>
          </w:r>
          <w:r w:rsidRPr="001578CD">
            <w:fldChar w:fldCharType="separate"/>
          </w:r>
          <w:hyperlink w:history="1" w:anchor="_Toc76656578">
            <w:r w:rsidRPr="00BA10C5" w:rsidR="00E76A7C">
              <w:rPr>
                <w:rStyle w:val="Hyperlink"/>
                <w:noProof/>
              </w:rPr>
              <w:t>1.</w:t>
            </w:r>
            <w:r w:rsidR="00E76A7C">
              <w:rPr>
                <w:rFonts w:asciiTheme="minorHAnsi" w:hAnsiTheme="minorHAnsi" w:cstheme="minorBidi"/>
                <w:noProof/>
                <w:sz w:val="22"/>
              </w:rPr>
              <w:tab/>
            </w:r>
            <w:r w:rsidRPr="00BA10C5" w:rsidR="00E76A7C">
              <w:rPr>
                <w:rStyle w:val="Hyperlink"/>
                <w:noProof/>
              </w:rPr>
              <w:t>Summary</w:t>
            </w:r>
            <w:r w:rsidR="00E76A7C">
              <w:rPr>
                <w:noProof/>
                <w:webHidden/>
              </w:rPr>
              <w:tab/>
            </w:r>
            <w:r w:rsidR="00E76A7C">
              <w:rPr>
                <w:noProof/>
                <w:webHidden/>
              </w:rPr>
              <w:fldChar w:fldCharType="begin"/>
            </w:r>
            <w:r w:rsidR="00E76A7C">
              <w:rPr>
                <w:noProof/>
                <w:webHidden/>
              </w:rPr>
              <w:instrText xml:space="preserve"> PAGEREF _Toc76656578 \h </w:instrText>
            </w:r>
            <w:r w:rsidR="00E76A7C">
              <w:rPr>
                <w:noProof/>
                <w:webHidden/>
              </w:rPr>
            </w:r>
            <w:r w:rsidR="00E76A7C">
              <w:rPr>
                <w:noProof/>
                <w:webHidden/>
              </w:rPr>
              <w:fldChar w:fldCharType="separate"/>
            </w:r>
            <w:r w:rsidR="004A37DF">
              <w:rPr>
                <w:noProof/>
                <w:webHidden/>
              </w:rPr>
              <w:t>1</w:t>
            </w:r>
            <w:r w:rsidR="00E76A7C">
              <w:rPr>
                <w:noProof/>
                <w:webHidden/>
              </w:rPr>
              <w:fldChar w:fldCharType="end"/>
            </w:r>
          </w:hyperlink>
        </w:p>
        <w:p w:rsidR="00E76A7C" w:rsidRDefault="0087418A" w14:paraId="53DCA37C" w14:textId="18B382E6">
          <w:pPr>
            <w:pStyle w:val="TOC1"/>
            <w:tabs>
              <w:tab w:val="right" w:leader="dot" w:pos="9350"/>
            </w:tabs>
            <w:rPr>
              <w:rFonts w:asciiTheme="minorHAnsi" w:hAnsiTheme="minorHAnsi" w:cstheme="minorBidi"/>
              <w:noProof/>
              <w:sz w:val="22"/>
            </w:rPr>
          </w:pPr>
          <w:hyperlink w:history="1" w:anchor="_Toc76656579">
            <w:r w:rsidRPr="00BA10C5" w:rsidR="00E76A7C">
              <w:rPr>
                <w:rStyle w:val="Hyperlink"/>
                <w:noProof/>
              </w:rPr>
              <w:t>2.</w:t>
            </w:r>
            <w:r w:rsidR="00E76A7C">
              <w:rPr>
                <w:rFonts w:asciiTheme="minorHAnsi" w:hAnsiTheme="minorHAnsi" w:cstheme="minorBidi"/>
                <w:noProof/>
                <w:sz w:val="22"/>
              </w:rPr>
              <w:tab/>
            </w:r>
            <w:r w:rsidRPr="00BA10C5" w:rsidR="00E76A7C">
              <w:rPr>
                <w:rStyle w:val="Hyperlink"/>
                <w:noProof/>
              </w:rPr>
              <w:t>Background, Procedural Background and Legal Authority</w:t>
            </w:r>
            <w:r w:rsidR="00E76A7C">
              <w:rPr>
                <w:noProof/>
                <w:webHidden/>
              </w:rPr>
              <w:tab/>
            </w:r>
            <w:r w:rsidR="00E76A7C">
              <w:rPr>
                <w:noProof/>
                <w:webHidden/>
              </w:rPr>
              <w:fldChar w:fldCharType="begin"/>
            </w:r>
            <w:r w:rsidR="00E76A7C">
              <w:rPr>
                <w:noProof/>
                <w:webHidden/>
              </w:rPr>
              <w:instrText xml:space="preserve"> PAGEREF _Toc76656579 \h </w:instrText>
            </w:r>
            <w:r w:rsidR="00E76A7C">
              <w:rPr>
                <w:noProof/>
                <w:webHidden/>
              </w:rPr>
            </w:r>
            <w:r w:rsidR="00E76A7C">
              <w:rPr>
                <w:noProof/>
                <w:webHidden/>
              </w:rPr>
              <w:fldChar w:fldCharType="separate"/>
            </w:r>
            <w:r w:rsidR="004A37DF">
              <w:rPr>
                <w:noProof/>
                <w:webHidden/>
              </w:rPr>
              <w:t>1</w:t>
            </w:r>
            <w:r w:rsidR="00E76A7C">
              <w:rPr>
                <w:noProof/>
                <w:webHidden/>
              </w:rPr>
              <w:fldChar w:fldCharType="end"/>
            </w:r>
          </w:hyperlink>
        </w:p>
        <w:p w:rsidR="00E76A7C" w:rsidRDefault="0087418A" w14:paraId="5278AE34" w14:textId="68B6B076">
          <w:pPr>
            <w:pStyle w:val="TOC1"/>
            <w:tabs>
              <w:tab w:val="right" w:leader="dot" w:pos="9350"/>
            </w:tabs>
            <w:rPr>
              <w:rFonts w:asciiTheme="minorHAnsi" w:hAnsiTheme="minorHAnsi" w:cstheme="minorBidi"/>
              <w:noProof/>
              <w:sz w:val="22"/>
            </w:rPr>
          </w:pPr>
          <w:hyperlink w:history="1" w:anchor="_Toc76656580">
            <w:r w:rsidRPr="00BA10C5" w:rsidR="00E76A7C">
              <w:rPr>
                <w:rStyle w:val="Hyperlink"/>
                <w:noProof/>
              </w:rPr>
              <w:t>3.</w:t>
            </w:r>
            <w:r w:rsidR="00E76A7C">
              <w:rPr>
                <w:rFonts w:asciiTheme="minorHAnsi" w:hAnsiTheme="minorHAnsi" w:cstheme="minorBidi"/>
                <w:noProof/>
                <w:sz w:val="22"/>
              </w:rPr>
              <w:tab/>
            </w:r>
            <w:r w:rsidRPr="00BA10C5" w:rsidR="00E76A7C">
              <w:rPr>
                <w:rStyle w:val="Hyperlink"/>
                <w:noProof/>
              </w:rPr>
              <w:t>Wildfire Safety Division Analysis of WMP Updates</w:t>
            </w:r>
            <w:r w:rsidR="00E76A7C">
              <w:rPr>
                <w:noProof/>
                <w:webHidden/>
              </w:rPr>
              <w:tab/>
            </w:r>
            <w:r w:rsidR="00E76A7C">
              <w:rPr>
                <w:noProof/>
                <w:webHidden/>
              </w:rPr>
              <w:fldChar w:fldCharType="begin"/>
            </w:r>
            <w:r w:rsidR="00E76A7C">
              <w:rPr>
                <w:noProof/>
                <w:webHidden/>
              </w:rPr>
              <w:instrText xml:space="preserve"> PAGEREF _Toc76656580 \h </w:instrText>
            </w:r>
            <w:r w:rsidR="00E76A7C">
              <w:rPr>
                <w:noProof/>
                <w:webHidden/>
              </w:rPr>
            </w:r>
            <w:r w:rsidR="00E76A7C">
              <w:rPr>
                <w:noProof/>
                <w:webHidden/>
              </w:rPr>
              <w:fldChar w:fldCharType="separate"/>
            </w:r>
            <w:r w:rsidR="004A37DF">
              <w:rPr>
                <w:noProof/>
                <w:webHidden/>
              </w:rPr>
              <w:t>3</w:t>
            </w:r>
            <w:r w:rsidR="00E76A7C">
              <w:rPr>
                <w:noProof/>
                <w:webHidden/>
              </w:rPr>
              <w:fldChar w:fldCharType="end"/>
            </w:r>
          </w:hyperlink>
        </w:p>
        <w:p w:rsidR="00E76A7C" w:rsidRDefault="0087418A" w14:paraId="7ABFD8C7" w14:textId="65B85EF3">
          <w:pPr>
            <w:pStyle w:val="TOC1"/>
            <w:tabs>
              <w:tab w:val="right" w:leader="dot" w:pos="9350"/>
            </w:tabs>
            <w:rPr>
              <w:rFonts w:asciiTheme="minorHAnsi" w:hAnsiTheme="minorHAnsi" w:cstheme="minorBidi"/>
              <w:noProof/>
              <w:sz w:val="22"/>
            </w:rPr>
          </w:pPr>
          <w:hyperlink w:history="1" w:anchor="_Toc76656581">
            <w:r w:rsidRPr="00BA10C5" w:rsidR="00E76A7C">
              <w:rPr>
                <w:rStyle w:val="Hyperlink"/>
                <w:noProof/>
              </w:rPr>
              <w:t>4.</w:t>
            </w:r>
            <w:r w:rsidR="00E76A7C">
              <w:rPr>
                <w:rFonts w:asciiTheme="minorHAnsi" w:hAnsiTheme="minorHAnsi" w:cstheme="minorBidi"/>
                <w:noProof/>
                <w:sz w:val="22"/>
              </w:rPr>
              <w:tab/>
            </w:r>
            <w:r w:rsidRPr="00BA10C5" w:rsidR="00E76A7C">
              <w:rPr>
                <w:rStyle w:val="Hyperlink"/>
                <w:noProof/>
              </w:rPr>
              <w:t>Wildfire Safety Advisory Board Input</w:t>
            </w:r>
            <w:r w:rsidR="00E76A7C">
              <w:rPr>
                <w:noProof/>
                <w:webHidden/>
              </w:rPr>
              <w:tab/>
            </w:r>
            <w:r w:rsidR="00E76A7C">
              <w:rPr>
                <w:noProof/>
                <w:webHidden/>
              </w:rPr>
              <w:fldChar w:fldCharType="begin"/>
            </w:r>
            <w:r w:rsidR="00E76A7C">
              <w:rPr>
                <w:noProof/>
                <w:webHidden/>
              </w:rPr>
              <w:instrText xml:space="preserve"> PAGEREF _Toc76656581 \h </w:instrText>
            </w:r>
            <w:r w:rsidR="00E76A7C">
              <w:rPr>
                <w:noProof/>
                <w:webHidden/>
              </w:rPr>
            </w:r>
            <w:r w:rsidR="00E76A7C">
              <w:rPr>
                <w:noProof/>
                <w:webHidden/>
              </w:rPr>
              <w:fldChar w:fldCharType="separate"/>
            </w:r>
            <w:r w:rsidR="004A37DF">
              <w:rPr>
                <w:noProof/>
                <w:webHidden/>
              </w:rPr>
              <w:t>4</w:t>
            </w:r>
            <w:r w:rsidR="00E76A7C">
              <w:rPr>
                <w:noProof/>
                <w:webHidden/>
              </w:rPr>
              <w:fldChar w:fldCharType="end"/>
            </w:r>
          </w:hyperlink>
        </w:p>
        <w:p w:rsidR="00E76A7C" w:rsidRDefault="0087418A" w14:paraId="2CEC4CF8" w14:textId="6ADD5F8F">
          <w:pPr>
            <w:pStyle w:val="TOC1"/>
            <w:tabs>
              <w:tab w:val="right" w:leader="dot" w:pos="9350"/>
            </w:tabs>
            <w:rPr>
              <w:rFonts w:asciiTheme="minorHAnsi" w:hAnsiTheme="minorHAnsi" w:cstheme="minorBidi"/>
              <w:noProof/>
              <w:sz w:val="22"/>
            </w:rPr>
          </w:pPr>
          <w:hyperlink w:history="1" w:anchor="_Toc76656582">
            <w:r w:rsidRPr="00BA10C5" w:rsidR="00E76A7C">
              <w:rPr>
                <w:rStyle w:val="Hyperlink"/>
                <w:noProof/>
              </w:rPr>
              <w:t>5.</w:t>
            </w:r>
            <w:r w:rsidR="00E76A7C">
              <w:rPr>
                <w:rFonts w:asciiTheme="minorHAnsi" w:hAnsiTheme="minorHAnsi" w:cstheme="minorBidi"/>
                <w:noProof/>
                <w:sz w:val="22"/>
              </w:rPr>
              <w:tab/>
            </w:r>
            <w:r w:rsidRPr="00BA10C5" w:rsidR="00E76A7C">
              <w:rPr>
                <w:rStyle w:val="Hyperlink"/>
                <w:noProof/>
              </w:rPr>
              <w:t>Public and Stakeholder Comment</w:t>
            </w:r>
            <w:r w:rsidR="00E76A7C">
              <w:rPr>
                <w:noProof/>
                <w:webHidden/>
              </w:rPr>
              <w:tab/>
            </w:r>
            <w:r w:rsidR="00E76A7C">
              <w:rPr>
                <w:noProof/>
                <w:webHidden/>
              </w:rPr>
              <w:fldChar w:fldCharType="begin"/>
            </w:r>
            <w:r w:rsidR="00E76A7C">
              <w:rPr>
                <w:noProof/>
                <w:webHidden/>
              </w:rPr>
              <w:instrText xml:space="preserve"> PAGEREF _Toc76656582 \h </w:instrText>
            </w:r>
            <w:r w:rsidR="00E76A7C">
              <w:rPr>
                <w:noProof/>
                <w:webHidden/>
              </w:rPr>
            </w:r>
            <w:r w:rsidR="00E76A7C">
              <w:rPr>
                <w:noProof/>
                <w:webHidden/>
              </w:rPr>
              <w:fldChar w:fldCharType="separate"/>
            </w:r>
            <w:r w:rsidR="004A37DF">
              <w:rPr>
                <w:noProof/>
                <w:webHidden/>
              </w:rPr>
              <w:t>5</w:t>
            </w:r>
            <w:r w:rsidR="00E76A7C">
              <w:rPr>
                <w:noProof/>
                <w:webHidden/>
              </w:rPr>
              <w:fldChar w:fldCharType="end"/>
            </w:r>
          </w:hyperlink>
        </w:p>
        <w:p w:rsidR="00E76A7C" w:rsidRDefault="0087418A" w14:paraId="0051978C" w14:textId="4640ABF0">
          <w:pPr>
            <w:pStyle w:val="TOC1"/>
            <w:tabs>
              <w:tab w:val="right" w:leader="dot" w:pos="9350"/>
            </w:tabs>
            <w:rPr>
              <w:rFonts w:asciiTheme="minorHAnsi" w:hAnsiTheme="minorHAnsi" w:cstheme="minorBidi"/>
              <w:noProof/>
              <w:sz w:val="22"/>
            </w:rPr>
          </w:pPr>
          <w:hyperlink w:history="1" w:anchor="_Toc76656583">
            <w:r w:rsidRPr="00BA10C5" w:rsidR="00E76A7C">
              <w:rPr>
                <w:rStyle w:val="Hyperlink"/>
                <w:noProof/>
              </w:rPr>
              <w:t>6.</w:t>
            </w:r>
            <w:r w:rsidR="00E76A7C">
              <w:rPr>
                <w:rFonts w:asciiTheme="minorHAnsi" w:hAnsiTheme="minorHAnsi" w:cstheme="minorBidi"/>
                <w:noProof/>
                <w:sz w:val="22"/>
              </w:rPr>
              <w:tab/>
            </w:r>
            <w:r w:rsidRPr="00BA10C5" w:rsidR="00E76A7C">
              <w:rPr>
                <w:rStyle w:val="Hyperlink"/>
                <w:noProof/>
              </w:rPr>
              <w:t>Discussion</w:t>
            </w:r>
            <w:r w:rsidR="00E76A7C">
              <w:rPr>
                <w:noProof/>
                <w:webHidden/>
              </w:rPr>
              <w:tab/>
            </w:r>
            <w:r w:rsidR="00E76A7C">
              <w:rPr>
                <w:noProof/>
                <w:webHidden/>
              </w:rPr>
              <w:fldChar w:fldCharType="begin"/>
            </w:r>
            <w:r w:rsidR="00E76A7C">
              <w:rPr>
                <w:noProof/>
                <w:webHidden/>
              </w:rPr>
              <w:instrText xml:space="preserve"> PAGEREF _Toc76656583 \h </w:instrText>
            </w:r>
            <w:r w:rsidR="00E76A7C">
              <w:rPr>
                <w:noProof/>
                <w:webHidden/>
              </w:rPr>
            </w:r>
            <w:r w:rsidR="00E76A7C">
              <w:rPr>
                <w:noProof/>
                <w:webHidden/>
              </w:rPr>
              <w:fldChar w:fldCharType="separate"/>
            </w:r>
            <w:r w:rsidR="004A37DF">
              <w:rPr>
                <w:noProof/>
                <w:webHidden/>
              </w:rPr>
              <w:t>5</w:t>
            </w:r>
            <w:r w:rsidR="00E76A7C">
              <w:rPr>
                <w:noProof/>
                <w:webHidden/>
              </w:rPr>
              <w:fldChar w:fldCharType="end"/>
            </w:r>
          </w:hyperlink>
        </w:p>
        <w:p w:rsidR="00E76A7C" w:rsidRDefault="0087418A" w14:paraId="552F73FB" w14:textId="380E601E">
          <w:pPr>
            <w:pStyle w:val="TOC1"/>
            <w:tabs>
              <w:tab w:val="right" w:leader="dot" w:pos="9350"/>
            </w:tabs>
            <w:rPr>
              <w:rFonts w:asciiTheme="minorHAnsi" w:hAnsiTheme="minorHAnsi" w:cstheme="minorBidi"/>
              <w:noProof/>
              <w:sz w:val="22"/>
            </w:rPr>
          </w:pPr>
          <w:hyperlink w:history="1" w:anchor="_Toc76656584">
            <w:r w:rsidRPr="00BA10C5" w:rsidR="00E76A7C">
              <w:rPr>
                <w:rStyle w:val="Hyperlink"/>
                <w:noProof/>
              </w:rPr>
              <w:t>7.</w:t>
            </w:r>
            <w:r w:rsidR="00E76A7C">
              <w:rPr>
                <w:rFonts w:asciiTheme="minorHAnsi" w:hAnsiTheme="minorHAnsi" w:cstheme="minorBidi"/>
                <w:noProof/>
                <w:sz w:val="22"/>
              </w:rPr>
              <w:tab/>
            </w:r>
            <w:r w:rsidRPr="00BA10C5" w:rsidR="00E76A7C">
              <w:rPr>
                <w:rStyle w:val="Hyperlink"/>
                <w:noProof/>
              </w:rPr>
              <w:t>Maturity Evaluation</w:t>
            </w:r>
            <w:r w:rsidR="00E76A7C">
              <w:rPr>
                <w:noProof/>
                <w:webHidden/>
              </w:rPr>
              <w:tab/>
            </w:r>
            <w:r w:rsidR="00E76A7C">
              <w:rPr>
                <w:noProof/>
                <w:webHidden/>
              </w:rPr>
              <w:fldChar w:fldCharType="begin"/>
            </w:r>
            <w:r w:rsidR="00E76A7C">
              <w:rPr>
                <w:noProof/>
                <w:webHidden/>
              </w:rPr>
              <w:instrText xml:space="preserve"> PAGEREF _Toc76656584 \h </w:instrText>
            </w:r>
            <w:r w:rsidR="00E76A7C">
              <w:rPr>
                <w:noProof/>
                <w:webHidden/>
              </w:rPr>
            </w:r>
            <w:r w:rsidR="00E76A7C">
              <w:rPr>
                <w:noProof/>
                <w:webHidden/>
              </w:rPr>
              <w:fldChar w:fldCharType="separate"/>
            </w:r>
            <w:r w:rsidR="004A37DF">
              <w:rPr>
                <w:noProof/>
                <w:webHidden/>
              </w:rPr>
              <w:t>26</w:t>
            </w:r>
            <w:r w:rsidR="00E76A7C">
              <w:rPr>
                <w:noProof/>
                <w:webHidden/>
              </w:rPr>
              <w:fldChar w:fldCharType="end"/>
            </w:r>
          </w:hyperlink>
        </w:p>
        <w:p w:rsidR="00E76A7C" w:rsidRDefault="0087418A" w14:paraId="18813EC7" w14:textId="454A89D7">
          <w:pPr>
            <w:pStyle w:val="TOC1"/>
            <w:tabs>
              <w:tab w:val="right" w:leader="dot" w:pos="9350"/>
            </w:tabs>
            <w:rPr>
              <w:rFonts w:asciiTheme="minorHAnsi" w:hAnsiTheme="minorHAnsi" w:cstheme="minorBidi"/>
              <w:noProof/>
              <w:sz w:val="22"/>
            </w:rPr>
          </w:pPr>
          <w:hyperlink w:history="1" w:anchor="_Toc76656585">
            <w:r w:rsidRPr="00BA10C5" w:rsidR="00E76A7C">
              <w:rPr>
                <w:rStyle w:val="Hyperlink"/>
                <w:noProof/>
              </w:rPr>
              <w:t>8.</w:t>
            </w:r>
            <w:r w:rsidR="00E76A7C">
              <w:rPr>
                <w:rFonts w:asciiTheme="minorHAnsi" w:hAnsiTheme="minorHAnsi" w:cstheme="minorBidi"/>
                <w:noProof/>
                <w:sz w:val="22"/>
              </w:rPr>
              <w:tab/>
            </w:r>
            <w:r w:rsidRPr="00BA10C5" w:rsidR="00E76A7C">
              <w:rPr>
                <w:rStyle w:val="Hyperlink"/>
                <w:noProof/>
              </w:rPr>
              <w:t>Next Steps</w:t>
            </w:r>
            <w:r w:rsidR="00E76A7C">
              <w:rPr>
                <w:noProof/>
                <w:webHidden/>
              </w:rPr>
              <w:tab/>
            </w:r>
            <w:r w:rsidR="00E76A7C">
              <w:rPr>
                <w:noProof/>
                <w:webHidden/>
              </w:rPr>
              <w:fldChar w:fldCharType="begin"/>
            </w:r>
            <w:r w:rsidR="00E76A7C">
              <w:rPr>
                <w:noProof/>
                <w:webHidden/>
              </w:rPr>
              <w:instrText xml:space="preserve"> PAGEREF _Toc76656585 \h </w:instrText>
            </w:r>
            <w:r w:rsidR="00E76A7C">
              <w:rPr>
                <w:noProof/>
                <w:webHidden/>
              </w:rPr>
            </w:r>
            <w:r w:rsidR="00E76A7C">
              <w:rPr>
                <w:noProof/>
                <w:webHidden/>
              </w:rPr>
              <w:fldChar w:fldCharType="separate"/>
            </w:r>
            <w:r w:rsidR="004A37DF">
              <w:rPr>
                <w:noProof/>
                <w:webHidden/>
              </w:rPr>
              <w:t>27</w:t>
            </w:r>
            <w:r w:rsidR="00E76A7C">
              <w:rPr>
                <w:noProof/>
                <w:webHidden/>
              </w:rPr>
              <w:fldChar w:fldCharType="end"/>
            </w:r>
          </w:hyperlink>
        </w:p>
        <w:p w:rsidR="00E76A7C" w:rsidRDefault="0087418A" w14:paraId="31520AF2" w14:textId="4E9BCC49">
          <w:pPr>
            <w:pStyle w:val="TOC1"/>
            <w:tabs>
              <w:tab w:val="right" w:leader="dot" w:pos="9350"/>
            </w:tabs>
            <w:rPr>
              <w:rFonts w:asciiTheme="minorHAnsi" w:hAnsiTheme="minorHAnsi" w:cstheme="minorBidi"/>
              <w:noProof/>
              <w:sz w:val="22"/>
            </w:rPr>
          </w:pPr>
          <w:hyperlink w:history="1" w:anchor="_Toc76656586">
            <w:r w:rsidRPr="00BA10C5" w:rsidR="00E76A7C">
              <w:rPr>
                <w:rStyle w:val="Hyperlink"/>
                <w:noProof/>
              </w:rPr>
              <w:t>9.</w:t>
            </w:r>
            <w:r w:rsidR="00E76A7C">
              <w:rPr>
                <w:rFonts w:asciiTheme="minorHAnsi" w:hAnsiTheme="minorHAnsi" w:cstheme="minorBidi"/>
                <w:noProof/>
                <w:sz w:val="22"/>
              </w:rPr>
              <w:tab/>
            </w:r>
            <w:r w:rsidRPr="00BA10C5" w:rsidR="00E76A7C">
              <w:rPr>
                <w:rStyle w:val="Hyperlink"/>
                <w:noProof/>
              </w:rPr>
              <w:t>Consultation with CAL FIRE</w:t>
            </w:r>
            <w:r w:rsidR="00E76A7C">
              <w:rPr>
                <w:noProof/>
                <w:webHidden/>
              </w:rPr>
              <w:tab/>
            </w:r>
            <w:r w:rsidR="00E76A7C">
              <w:rPr>
                <w:noProof/>
                <w:webHidden/>
              </w:rPr>
              <w:fldChar w:fldCharType="begin"/>
            </w:r>
            <w:r w:rsidR="00E76A7C">
              <w:rPr>
                <w:noProof/>
                <w:webHidden/>
              </w:rPr>
              <w:instrText xml:space="preserve"> PAGEREF _Toc76656586 \h </w:instrText>
            </w:r>
            <w:r w:rsidR="00E76A7C">
              <w:rPr>
                <w:noProof/>
                <w:webHidden/>
              </w:rPr>
            </w:r>
            <w:r w:rsidR="00E76A7C">
              <w:rPr>
                <w:noProof/>
                <w:webHidden/>
              </w:rPr>
              <w:fldChar w:fldCharType="separate"/>
            </w:r>
            <w:r w:rsidR="004A37DF">
              <w:rPr>
                <w:noProof/>
                <w:webHidden/>
              </w:rPr>
              <w:t>28</w:t>
            </w:r>
            <w:r w:rsidR="00E76A7C">
              <w:rPr>
                <w:noProof/>
                <w:webHidden/>
              </w:rPr>
              <w:fldChar w:fldCharType="end"/>
            </w:r>
          </w:hyperlink>
        </w:p>
        <w:p w:rsidR="00E76A7C" w:rsidRDefault="0087418A" w14:paraId="337AB7A9" w14:textId="6F92A799">
          <w:pPr>
            <w:pStyle w:val="TOC1"/>
            <w:tabs>
              <w:tab w:val="right" w:leader="dot" w:pos="9350"/>
            </w:tabs>
            <w:rPr>
              <w:rFonts w:asciiTheme="minorHAnsi" w:hAnsiTheme="minorHAnsi" w:cstheme="minorBidi"/>
              <w:noProof/>
              <w:sz w:val="22"/>
            </w:rPr>
          </w:pPr>
          <w:hyperlink w:history="1" w:anchor="_Toc76656587">
            <w:r w:rsidRPr="00BA10C5" w:rsidR="00E76A7C">
              <w:rPr>
                <w:rStyle w:val="Hyperlink"/>
                <w:noProof/>
              </w:rPr>
              <w:t>10.</w:t>
            </w:r>
            <w:r w:rsidR="00E76A7C">
              <w:rPr>
                <w:rFonts w:asciiTheme="minorHAnsi" w:hAnsiTheme="minorHAnsi" w:cstheme="minorBidi"/>
                <w:noProof/>
                <w:sz w:val="22"/>
              </w:rPr>
              <w:tab/>
            </w:r>
            <w:r w:rsidRPr="00BA10C5" w:rsidR="00E76A7C">
              <w:rPr>
                <w:rStyle w:val="Hyperlink"/>
                <w:noProof/>
              </w:rPr>
              <w:t>Office of Energy Infrastructure Safety</w:t>
            </w:r>
            <w:r w:rsidR="00E76A7C">
              <w:rPr>
                <w:noProof/>
                <w:webHidden/>
              </w:rPr>
              <w:tab/>
            </w:r>
            <w:r w:rsidR="00E76A7C">
              <w:rPr>
                <w:noProof/>
                <w:webHidden/>
              </w:rPr>
              <w:fldChar w:fldCharType="begin"/>
            </w:r>
            <w:r w:rsidR="00E76A7C">
              <w:rPr>
                <w:noProof/>
                <w:webHidden/>
              </w:rPr>
              <w:instrText xml:space="preserve"> PAGEREF _Toc76656587 \h </w:instrText>
            </w:r>
            <w:r w:rsidR="00E76A7C">
              <w:rPr>
                <w:noProof/>
                <w:webHidden/>
              </w:rPr>
            </w:r>
            <w:r w:rsidR="00E76A7C">
              <w:rPr>
                <w:noProof/>
                <w:webHidden/>
              </w:rPr>
              <w:fldChar w:fldCharType="separate"/>
            </w:r>
            <w:r w:rsidR="004A37DF">
              <w:rPr>
                <w:noProof/>
                <w:webHidden/>
              </w:rPr>
              <w:t>28</w:t>
            </w:r>
            <w:r w:rsidR="00E76A7C">
              <w:rPr>
                <w:noProof/>
                <w:webHidden/>
              </w:rPr>
              <w:fldChar w:fldCharType="end"/>
            </w:r>
          </w:hyperlink>
        </w:p>
        <w:p w:rsidR="00E76A7C" w:rsidRDefault="0087418A" w14:paraId="05E4AEC2" w14:textId="400ABFEA">
          <w:pPr>
            <w:pStyle w:val="TOC1"/>
            <w:tabs>
              <w:tab w:val="right" w:leader="dot" w:pos="9350"/>
            </w:tabs>
            <w:rPr>
              <w:rFonts w:asciiTheme="minorHAnsi" w:hAnsiTheme="minorHAnsi" w:cstheme="minorBidi"/>
              <w:noProof/>
              <w:sz w:val="22"/>
            </w:rPr>
          </w:pPr>
          <w:hyperlink w:history="1" w:anchor="_Toc76656588">
            <w:r w:rsidRPr="00BA10C5" w:rsidR="00E76A7C">
              <w:rPr>
                <w:rStyle w:val="Hyperlink"/>
                <w:noProof/>
              </w:rPr>
              <w:t>11.</w:t>
            </w:r>
            <w:r w:rsidR="00E76A7C">
              <w:rPr>
                <w:rFonts w:asciiTheme="minorHAnsi" w:hAnsiTheme="minorHAnsi" w:cstheme="minorBidi"/>
                <w:noProof/>
                <w:sz w:val="22"/>
              </w:rPr>
              <w:tab/>
            </w:r>
            <w:r w:rsidRPr="00BA10C5" w:rsidR="00E76A7C">
              <w:rPr>
                <w:rStyle w:val="Hyperlink"/>
                <w:noProof/>
              </w:rPr>
              <w:t>Impact of COVID-19 Pandemic</w:t>
            </w:r>
            <w:r w:rsidR="00E76A7C">
              <w:rPr>
                <w:noProof/>
                <w:webHidden/>
              </w:rPr>
              <w:tab/>
            </w:r>
            <w:r w:rsidR="00E76A7C">
              <w:rPr>
                <w:noProof/>
                <w:webHidden/>
              </w:rPr>
              <w:fldChar w:fldCharType="begin"/>
            </w:r>
            <w:r w:rsidR="00E76A7C">
              <w:rPr>
                <w:noProof/>
                <w:webHidden/>
              </w:rPr>
              <w:instrText xml:space="preserve"> PAGEREF _Toc76656588 \h </w:instrText>
            </w:r>
            <w:r w:rsidR="00E76A7C">
              <w:rPr>
                <w:noProof/>
                <w:webHidden/>
              </w:rPr>
            </w:r>
            <w:r w:rsidR="00E76A7C">
              <w:rPr>
                <w:noProof/>
                <w:webHidden/>
              </w:rPr>
              <w:fldChar w:fldCharType="separate"/>
            </w:r>
            <w:r w:rsidR="004A37DF">
              <w:rPr>
                <w:noProof/>
                <w:webHidden/>
              </w:rPr>
              <w:t>28</w:t>
            </w:r>
            <w:r w:rsidR="00E76A7C">
              <w:rPr>
                <w:noProof/>
                <w:webHidden/>
              </w:rPr>
              <w:fldChar w:fldCharType="end"/>
            </w:r>
          </w:hyperlink>
        </w:p>
        <w:p w:rsidR="00E76A7C" w:rsidRDefault="0087418A" w14:paraId="3110EC38" w14:textId="4FF278F2">
          <w:pPr>
            <w:pStyle w:val="TOC1"/>
            <w:tabs>
              <w:tab w:val="right" w:leader="dot" w:pos="9350"/>
            </w:tabs>
            <w:rPr>
              <w:rFonts w:asciiTheme="minorHAnsi" w:hAnsiTheme="minorHAnsi" w:cstheme="minorBidi"/>
              <w:noProof/>
              <w:sz w:val="22"/>
            </w:rPr>
          </w:pPr>
          <w:hyperlink w:history="1" w:anchor="_Toc76656589">
            <w:r w:rsidRPr="00BA10C5" w:rsidR="00E76A7C">
              <w:rPr>
                <w:rStyle w:val="Hyperlink"/>
                <w:noProof/>
              </w:rPr>
              <w:t>12.</w:t>
            </w:r>
            <w:r w:rsidR="00E76A7C">
              <w:rPr>
                <w:rFonts w:asciiTheme="minorHAnsi" w:hAnsiTheme="minorHAnsi" w:cstheme="minorBidi"/>
                <w:noProof/>
                <w:sz w:val="22"/>
              </w:rPr>
              <w:tab/>
            </w:r>
            <w:r w:rsidRPr="00BA10C5" w:rsidR="00E76A7C">
              <w:rPr>
                <w:rStyle w:val="Hyperlink"/>
                <w:noProof/>
              </w:rPr>
              <w:t>Conclusion</w:t>
            </w:r>
            <w:r w:rsidR="00E76A7C">
              <w:rPr>
                <w:noProof/>
                <w:webHidden/>
              </w:rPr>
              <w:tab/>
            </w:r>
            <w:r w:rsidR="00E76A7C">
              <w:rPr>
                <w:noProof/>
                <w:webHidden/>
              </w:rPr>
              <w:fldChar w:fldCharType="begin"/>
            </w:r>
            <w:r w:rsidR="00E76A7C">
              <w:rPr>
                <w:noProof/>
                <w:webHidden/>
              </w:rPr>
              <w:instrText xml:space="preserve"> PAGEREF _Toc76656589 \h </w:instrText>
            </w:r>
            <w:r w:rsidR="00E76A7C">
              <w:rPr>
                <w:noProof/>
                <w:webHidden/>
              </w:rPr>
            </w:r>
            <w:r w:rsidR="00E76A7C">
              <w:rPr>
                <w:noProof/>
                <w:webHidden/>
              </w:rPr>
              <w:fldChar w:fldCharType="separate"/>
            </w:r>
            <w:r w:rsidR="004A37DF">
              <w:rPr>
                <w:noProof/>
                <w:webHidden/>
              </w:rPr>
              <w:t>29</w:t>
            </w:r>
            <w:r w:rsidR="00E76A7C">
              <w:rPr>
                <w:noProof/>
                <w:webHidden/>
              </w:rPr>
              <w:fldChar w:fldCharType="end"/>
            </w:r>
          </w:hyperlink>
        </w:p>
        <w:p w:rsidR="00E76A7C" w:rsidRDefault="0087418A" w14:paraId="7142EC78" w14:textId="155049E9">
          <w:pPr>
            <w:pStyle w:val="TOC1"/>
            <w:tabs>
              <w:tab w:val="right" w:leader="dot" w:pos="9350"/>
            </w:tabs>
            <w:rPr>
              <w:rFonts w:asciiTheme="minorHAnsi" w:hAnsiTheme="minorHAnsi" w:cstheme="minorBidi"/>
              <w:noProof/>
              <w:sz w:val="22"/>
            </w:rPr>
          </w:pPr>
          <w:hyperlink w:history="1" w:anchor="_Toc76656590">
            <w:r w:rsidRPr="00BA10C5" w:rsidR="00E76A7C">
              <w:rPr>
                <w:rStyle w:val="Hyperlink"/>
                <w:noProof/>
              </w:rPr>
              <w:t>13.</w:t>
            </w:r>
            <w:r w:rsidR="00E76A7C">
              <w:rPr>
                <w:rFonts w:asciiTheme="minorHAnsi" w:hAnsiTheme="minorHAnsi" w:cstheme="minorBidi"/>
                <w:noProof/>
                <w:sz w:val="22"/>
              </w:rPr>
              <w:tab/>
            </w:r>
            <w:r w:rsidRPr="00BA10C5" w:rsidR="00E76A7C">
              <w:rPr>
                <w:rStyle w:val="Hyperlink"/>
                <w:noProof/>
              </w:rPr>
              <w:t>Comments</w:t>
            </w:r>
            <w:r w:rsidR="00E76A7C">
              <w:rPr>
                <w:noProof/>
                <w:webHidden/>
              </w:rPr>
              <w:tab/>
            </w:r>
            <w:r w:rsidR="00E76A7C">
              <w:rPr>
                <w:noProof/>
                <w:webHidden/>
              </w:rPr>
              <w:fldChar w:fldCharType="begin"/>
            </w:r>
            <w:r w:rsidR="00E76A7C">
              <w:rPr>
                <w:noProof/>
                <w:webHidden/>
              </w:rPr>
              <w:instrText xml:space="preserve"> PAGEREF _Toc76656590 \h </w:instrText>
            </w:r>
            <w:r w:rsidR="00E76A7C">
              <w:rPr>
                <w:noProof/>
                <w:webHidden/>
              </w:rPr>
            </w:r>
            <w:r w:rsidR="00E76A7C">
              <w:rPr>
                <w:noProof/>
                <w:webHidden/>
              </w:rPr>
              <w:fldChar w:fldCharType="separate"/>
            </w:r>
            <w:r w:rsidR="004A37DF">
              <w:rPr>
                <w:noProof/>
                <w:webHidden/>
              </w:rPr>
              <w:t>30</w:t>
            </w:r>
            <w:r w:rsidR="00E76A7C">
              <w:rPr>
                <w:noProof/>
                <w:webHidden/>
              </w:rPr>
              <w:fldChar w:fldCharType="end"/>
            </w:r>
          </w:hyperlink>
        </w:p>
        <w:p w:rsidR="00E76A7C" w:rsidRDefault="0087418A" w14:paraId="2F76A66A" w14:textId="070D9EF0">
          <w:pPr>
            <w:pStyle w:val="TOC1"/>
            <w:tabs>
              <w:tab w:val="right" w:leader="dot" w:pos="9350"/>
            </w:tabs>
            <w:rPr>
              <w:rFonts w:asciiTheme="minorHAnsi" w:hAnsiTheme="minorHAnsi" w:cstheme="minorBidi"/>
              <w:noProof/>
              <w:sz w:val="22"/>
            </w:rPr>
          </w:pPr>
          <w:hyperlink w:history="1" w:anchor="_Toc76656591">
            <w:r w:rsidRPr="00BA10C5" w:rsidR="00E76A7C">
              <w:rPr>
                <w:rStyle w:val="Hyperlink"/>
                <w:noProof/>
              </w:rPr>
              <w:t>Findings</w:t>
            </w:r>
            <w:r w:rsidR="00E76A7C">
              <w:rPr>
                <w:noProof/>
                <w:webHidden/>
              </w:rPr>
              <w:tab/>
            </w:r>
            <w:r w:rsidR="00E76A7C">
              <w:rPr>
                <w:noProof/>
                <w:webHidden/>
              </w:rPr>
              <w:fldChar w:fldCharType="begin"/>
            </w:r>
            <w:r w:rsidR="00E76A7C">
              <w:rPr>
                <w:noProof/>
                <w:webHidden/>
              </w:rPr>
              <w:instrText xml:space="preserve"> PAGEREF _Toc76656591 \h </w:instrText>
            </w:r>
            <w:r w:rsidR="00E76A7C">
              <w:rPr>
                <w:noProof/>
                <w:webHidden/>
              </w:rPr>
            </w:r>
            <w:r w:rsidR="00E76A7C">
              <w:rPr>
                <w:noProof/>
                <w:webHidden/>
              </w:rPr>
              <w:fldChar w:fldCharType="separate"/>
            </w:r>
            <w:r w:rsidR="004A37DF">
              <w:rPr>
                <w:noProof/>
                <w:webHidden/>
              </w:rPr>
              <w:t>34</w:t>
            </w:r>
            <w:r w:rsidR="00E76A7C">
              <w:rPr>
                <w:noProof/>
                <w:webHidden/>
              </w:rPr>
              <w:fldChar w:fldCharType="end"/>
            </w:r>
          </w:hyperlink>
        </w:p>
        <w:p w:rsidR="00E76A7C" w:rsidRDefault="0087418A" w14:paraId="75DAFCDB" w14:textId="2BAF7ABA">
          <w:pPr>
            <w:pStyle w:val="TOC1"/>
            <w:tabs>
              <w:tab w:val="right" w:leader="dot" w:pos="9350"/>
            </w:tabs>
            <w:rPr>
              <w:rFonts w:asciiTheme="minorHAnsi" w:hAnsiTheme="minorHAnsi" w:cstheme="minorBidi"/>
              <w:noProof/>
              <w:sz w:val="22"/>
            </w:rPr>
          </w:pPr>
          <w:hyperlink w:history="1" w:anchor="_Toc76656592">
            <w:r w:rsidRPr="00BA10C5" w:rsidR="00E76A7C">
              <w:rPr>
                <w:rStyle w:val="Hyperlink"/>
                <w:noProof/>
              </w:rPr>
              <w:t>THEREFORE, IT IS ORDERED THAT:</w:t>
            </w:r>
            <w:r w:rsidR="00E76A7C">
              <w:rPr>
                <w:noProof/>
                <w:webHidden/>
              </w:rPr>
              <w:tab/>
            </w:r>
            <w:r w:rsidR="00E76A7C">
              <w:rPr>
                <w:noProof/>
                <w:webHidden/>
              </w:rPr>
              <w:fldChar w:fldCharType="begin"/>
            </w:r>
            <w:r w:rsidR="00E76A7C">
              <w:rPr>
                <w:noProof/>
                <w:webHidden/>
              </w:rPr>
              <w:instrText xml:space="preserve"> PAGEREF _Toc76656592 \h </w:instrText>
            </w:r>
            <w:r w:rsidR="00E76A7C">
              <w:rPr>
                <w:noProof/>
                <w:webHidden/>
              </w:rPr>
            </w:r>
            <w:r w:rsidR="00E76A7C">
              <w:rPr>
                <w:noProof/>
                <w:webHidden/>
              </w:rPr>
              <w:fldChar w:fldCharType="separate"/>
            </w:r>
            <w:r w:rsidR="004A37DF">
              <w:rPr>
                <w:noProof/>
                <w:webHidden/>
              </w:rPr>
              <w:t>34</w:t>
            </w:r>
            <w:r w:rsidR="00E76A7C">
              <w:rPr>
                <w:noProof/>
                <w:webHidden/>
              </w:rPr>
              <w:fldChar w:fldCharType="end"/>
            </w:r>
          </w:hyperlink>
        </w:p>
        <w:p w:rsidRPr="00CB0D41" w:rsidR="00BA3550" w:rsidRDefault="00BA3550" w14:paraId="60DCDE10" w14:textId="6D236148">
          <w:r w:rsidRPr="001578CD">
            <w:rPr>
              <w:b/>
            </w:rPr>
            <w:fldChar w:fldCharType="end"/>
          </w:r>
        </w:p>
      </w:sdtContent>
    </w:sdt>
    <w:p w:rsidRPr="00C468E4" w:rsidR="00CE1A7D" w:rsidP="00CE1A7D" w:rsidRDefault="00CE1A7D" w14:paraId="1D58CA8F" w14:textId="08D19BC3">
      <w:pPr>
        <w:pStyle w:val="Standard"/>
        <w:spacing w:after="0"/>
      </w:pPr>
      <w:r w:rsidRPr="00C468E4">
        <w:t xml:space="preserve">Appendix A – </w:t>
      </w:r>
      <w:r w:rsidRPr="00C468E4" w:rsidR="009A561E">
        <w:t>Action Statement</w:t>
      </w:r>
    </w:p>
    <w:p w:rsidRPr="00C468E4" w:rsidR="00CE1A7D" w:rsidP="00CE1A7D" w:rsidRDefault="00CE1A7D" w14:paraId="725FA3DE" w14:textId="68DA3B93">
      <w:pPr>
        <w:pStyle w:val="Standard"/>
        <w:spacing w:after="0"/>
      </w:pPr>
      <w:r w:rsidRPr="00C468E4">
        <w:t xml:space="preserve">Appendix B – </w:t>
      </w:r>
      <w:r w:rsidRPr="00C468E4" w:rsidR="00B71F15">
        <w:t xml:space="preserve">Public Utilities Code Section 8386 </w:t>
      </w:r>
    </w:p>
    <w:p w:rsidRPr="00C468E4" w:rsidR="00C0754A" w:rsidRDefault="00C0754A" w14:paraId="2228010A" w14:textId="299D5254">
      <w:pPr>
        <w:pStyle w:val="Standard"/>
        <w:spacing w:after="0"/>
      </w:pPr>
    </w:p>
    <w:p w:rsidRPr="00C468E4" w:rsidR="00BA3550" w:rsidP="00BA3550" w:rsidRDefault="00BA3550" w14:paraId="0335294C" w14:textId="17DF3093">
      <w:pPr>
        <w:sectPr w:rsidRPr="00C468E4" w:rsidR="00BA3550" w:rsidSect="00C230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54"/>
        </w:sectPr>
      </w:pPr>
    </w:p>
    <w:p w:rsidRPr="00C468E4" w:rsidR="00382ADB" w:rsidP="007C7829" w:rsidRDefault="00382ADB" w14:paraId="06269F35" w14:textId="1ACD4570">
      <w:pPr>
        <w:pStyle w:val="Header2"/>
      </w:pPr>
      <w:bookmarkStart w:name="_Toc76656578" w:id="3"/>
      <w:r w:rsidRPr="00CB0D41">
        <w:lastRenderedPageBreak/>
        <w:t>Summary</w:t>
      </w:r>
      <w:bookmarkEnd w:id="3"/>
    </w:p>
    <w:p w:rsidRPr="00C468E4" w:rsidR="00382ADB" w:rsidP="00382ADB" w:rsidRDefault="00382ADB" w14:paraId="78467EAB" w14:textId="13823C9F">
      <w:pPr>
        <w:pStyle w:val="Standard"/>
      </w:pPr>
      <w:r w:rsidRPr="00C468E4">
        <w:t xml:space="preserve">This Resolution </w:t>
      </w:r>
      <w:r w:rsidRPr="00C468E4" w:rsidR="009A06F8">
        <w:t>ratifies</w:t>
      </w:r>
      <w:r w:rsidRPr="00C468E4" w:rsidR="009A06F8">
        <w:rPr>
          <w:color w:val="FF0000"/>
        </w:rPr>
        <w:t xml:space="preserve"> </w:t>
      </w:r>
      <w:r w:rsidRPr="00C468E4" w:rsidR="009A06F8">
        <w:t>the</w:t>
      </w:r>
      <w:r w:rsidRPr="00C468E4">
        <w:t xml:space="preserve"> attached Wildfire Safety Division’s (WSD)</w:t>
      </w:r>
      <w:r w:rsidRPr="00C468E4" w:rsidR="00477728">
        <w:t xml:space="preserve"> Action Statement</w:t>
      </w:r>
      <w:r w:rsidRPr="00C468E4">
        <w:t xml:space="preserve"> </w:t>
      </w:r>
      <w:r w:rsidRPr="00C468E4" w:rsidR="00477728">
        <w:t>approving</w:t>
      </w:r>
      <w:r w:rsidRPr="00C468E4">
        <w:t xml:space="preserve"> the </w:t>
      </w:r>
      <w:r w:rsidRPr="00C468E4" w:rsidR="00DA7FDD">
        <w:t xml:space="preserve">2021 </w:t>
      </w:r>
      <w:r w:rsidRPr="00C468E4">
        <w:t>Wildfire Mitigation Plan</w:t>
      </w:r>
      <w:r w:rsidRPr="00C468E4" w:rsidR="00477728">
        <w:t xml:space="preserve"> Update</w:t>
      </w:r>
      <w:r w:rsidRPr="00C468E4" w:rsidR="00715346">
        <w:t xml:space="preserve"> </w:t>
      </w:r>
      <w:r w:rsidRPr="00C468E4">
        <w:t xml:space="preserve">(WMP) submitted by </w:t>
      </w:r>
      <w:r w:rsidRPr="00C468E4" w:rsidR="003367A7">
        <w:t>San Diego Gas &amp; Electric Company</w:t>
      </w:r>
      <w:r w:rsidRPr="00C468E4">
        <w:rPr>
          <w:color w:val="FF0000"/>
        </w:rPr>
        <w:t xml:space="preserve"> </w:t>
      </w:r>
      <w:r w:rsidRPr="00C468E4">
        <w:t>(</w:t>
      </w:r>
      <w:r w:rsidRPr="00C468E4" w:rsidR="003367A7">
        <w:t>SDG&amp;E</w:t>
      </w:r>
      <w:r w:rsidRPr="00C468E4">
        <w:t xml:space="preserve">) on </w:t>
      </w:r>
      <w:r w:rsidRPr="00C468E4" w:rsidR="00872ECC">
        <w:t>February 5, 2021</w:t>
      </w:r>
      <w:r w:rsidRPr="00C468E4" w:rsidR="00CE0CA0">
        <w:t xml:space="preserve"> (Attachment A)</w:t>
      </w:r>
      <w:r w:rsidRPr="00C468E4">
        <w:t xml:space="preserve">. The </w:t>
      </w:r>
      <w:r w:rsidRPr="00C468E4" w:rsidR="009A06F8">
        <w:t xml:space="preserve">Commission </w:t>
      </w:r>
      <w:r w:rsidRPr="00C468E4">
        <w:t xml:space="preserve">finds that </w:t>
      </w:r>
      <w:r w:rsidRPr="00C468E4" w:rsidR="001C48B8">
        <w:t>SDG&amp;E</w:t>
      </w:r>
      <w:r w:rsidRPr="00C468E4">
        <w:rPr>
          <w:color w:val="FF0000"/>
        </w:rPr>
        <w:t xml:space="preserve"> </w:t>
      </w:r>
      <w:r w:rsidRPr="00C468E4">
        <w:t xml:space="preserve">is </w:t>
      </w:r>
      <w:r w:rsidRPr="00C468E4" w:rsidR="009A06F8">
        <w:t>in compliance</w:t>
      </w:r>
      <w:r w:rsidRPr="00C468E4">
        <w:t xml:space="preserve"> with the requirements for WMPs set forth in Assembly Bill (AB) 1054,</w:t>
      </w:r>
      <w:r w:rsidRPr="00CB0D41" w:rsidR="00DA7FDD">
        <w:rPr>
          <w:rStyle w:val="FootnoteReference"/>
        </w:rPr>
        <w:footnoteReference w:id="4"/>
      </w:r>
      <w:r w:rsidRPr="00CB0D41">
        <w:t xml:space="preserve"> codified at Public Utilities Code (Pub. Util. Code) Section 8386(c) and the WMP Guidelines issued by the Commission to electrical corporatio</w:t>
      </w:r>
      <w:r w:rsidRPr="00C468E4">
        <w:t>ns</w:t>
      </w:r>
      <w:r w:rsidRPr="00C468E4" w:rsidR="009A06F8">
        <w:t xml:space="preserve"> in Resolution WSD-011</w:t>
      </w:r>
      <w:r w:rsidRPr="00C468E4">
        <w:t>.</w:t>
      </w:r>
      <w:r w:rsidRPr="00CB0D41" w:rsidR="00DA7FDD">
        <w:rPr>
          <w:rStyle w:val="FootnoteReference"/>
        </w:rPr>
        <w:footnoteReference w:id="5"/>
      </w:r>
      <w:r w:rsidRPr="00CB0D41">
        <w:t xml:space="preserve"> </w:t>
      </w:r>
      <w:r w:rsidRPr="00C468E4" w:rsidR="00B127B3">
        <w:t xml:space="preserve">Pub. Util. Code </w:t>
      </w:r>
      <w:r w:rsidRPr="00C468E4">
        <w:t>Section 8386</w:t>
      </w:r>
      <w:r w:rsidRPr="00C468E4" w:rsidR="00741E9B">
        <w:t>(c)</w:t>
      </w:r>
      <w:r w:rsidRPr="00C468E4">
        <w:t xml:space="preserve"> requires that electrical corporations’ WMPs contain 22 elements; the full list of elements appears in</w:t>
      </w:r>
      <w:r w:rsidRPr="00C468E4" w:rsidR="00A7028F">
        <w:t xml:space="preserve"> Section 6.1</w:t>
      </w:r>
      <w:r w:rsidRPr="00C468E4">
        <w:t xml:space="preserve"> </w:t>
      </w:r>
      <w:r w:rsidRPr="00C468E4" w:rsidR="0083542C">
        <w:t xml:space="preserve">in </w:t>
      </w:r>
      <w:r w:rsidRPr="00C468E4">
        <w:t xml:space="preserve">this Resolution. </w:t>
      </w:r>
      <w:r w:rsidRPr="00C468E4" w:rsidR="009A06F8">
        <w:t>The WSD’s approval and the Commission’s ratification do not relieve the electrical corporation from any and all otherwise applicable permitting, ratemaking, or other legal and regulatory obligations.</w:t>
      </w:r>
    </w:p>
    <w:p w:rsidRPr="00C468E4" w:rsidR="00705C88" w:rsidP="00655232" w:rsidRDefault="00705C88" w14:paraId="117F41A6" w14:textId="4167FE14">
      <w:pPr>
        <w:pStyle w:val="Header2"/>
      </w:pPr>
      <w:bookmarkStart w:name="_Toc76656579" w:id="4"/>
      <w:r w:rsidRPr="00C468E4">
        <w:t>Background</w:t>
      </w:r>
      <w:r w:rsidRPr="00C468E4" w:rsidR="00D901CE">
        <w:t xml:space="preserve">, Procedural Background and </w:t>
      </w:r>
      <w:r w:rsidRPr="00C468E4" w:rsidR="009A06F8">
        <w:t>Legal Authority</w:t>
      </w:r>
      <w:bookmarkEnd w:id="4"/>
    </w:p>
    <w:p w:rsidRPr="00C468E4" w:rsidR="00CC7423" w:rsidP="000F30DB" w:rsidRDefault="000F30DB" w14:paraId="20743265" w14:textId="6770ACF7">
      <w:pPr>
        <w:spacing w:after="240"/>
      </w:pPr>
      <w:r w:rsidRPr="00C468E4">
        <w:t>Catastrophic wildfires in 2017-19 led the California Legislature to pass Senate Bill (SB) 901</w:t>
      </w:r>
      <w:r w:rsidRPr="00CB0D41" w:rsidR="00DA7FDD">
        <w:rPr>
          <w:rStyle w:val="FootnoteReference"/>
        </w:rPr>
        <w:footnoteReference w:id="6"/>
      </w:r>
      <w:r w:rsidRPr="00CB0D41">
        <w:t xml:space="preserve"> in 2018 and its successor AB 1054 as w</w:t>
      </w:r>
      <w:r w:rsidRPr="00C468E4">
        <w:t>ell as AB 111</w:t>
      </w:r>
      <w:r w:rsidRPr="00C468E4" w:rsidR="00F75B92">
        <w:t xml:space="preserve"> in 2019</w:t>
      </w:r>
      <w:r w:rsidRPr="00C468E4">
        <w:t>.</w:t>
      </w:r>
      <w:r w:rsidRPr="00CB0D41" w:rsidR="00DA7FDD">
        <w:rPr>
          <w:rStyle w:val="FootnoteReference"/>
        </w:rPr>
        <w:footnoteReference w:id="7"/>
      </w:r>
      <w:r w:rsidRPr="00CB0D41">
        <w:t xml:space="preserve"> </w:t>
      </w:r>
      <w:r w:rsidRPr="00C468E4" w:rsidR="00E557FF">
        <w:t xml:space="preserve">AB 111 establishes a new division, the WSD, within the Commission. </w:t>
      </w:r>
      <w:r w:rsidRPr="00C468E4">
        <w:t xml:space="preserve">SB 901 and AB 1054 contain detailed requirements for electrical corporations’ WMPs and provide </w:t>
      </w:r>
      <w:r w:rsidRPr="00C468E4" w:rsidR="00AB492F">
        <w:t xml:space="preserve">the WSD </w:t>
      </w:r>
      <w:r w:rsidRPr="00C468E4" w:rsidR="00DA7FDD">
        <w:t>three</w:t>
      </w:r>
      <w:r w:rsidRPr="00C468E4" w:rsidR="00AB492F">
        <w:t xml:space="preserve"> </w:t>
      </w:r>
      <w:r w:rsidRPr="00C468E4" w:rsidR="00DA7FDD">
        <w:t>month</w:t>
      </w:r>
      <w:r w:rsidRPr="00C468E4" w:rsidR="009A0F0F">
        <w:t xml:space="preserve">s </w:t>
      </w:r>
      <w:r w:rsidRPr="00C468E4" w:rsidR="00192E68">
        <w:t>to</w:t>
      </w:r>
      <w:r w:rsidRPr="00C468E4">
        <w:t xml:space="preserve"> review</w:t>
      </w:r>
      <w:r w:rsidRPr="00C468E4" w:rsidR="009A0F0F">
        <w:t xml:space="preserve"> the</w:t>
      </w:r>
      <w:r w:rsidRPr="00C468E4">
        <w:t xml:space="preserve"> WMPs. The duties of the WSD are contained in Pub. Util. Code Section 326(a)</w:t>
      </w:r>
      <w:r w:rsidRPr="00C468E4" w:rsidR="00DA7FDD">
        <w:t xml:space="preserve"> and include the requirement to </w:t>
      </w:r>
      <w:r w:rsidRPr="00C468E4">
        <w:t>evaluate, oversee</w:t>
      </w:r>
      <w:r w:rsidRPr="00C468E4" w:rsidR="00887484">
        <w:t>,</w:t>
      </w:r>
      <w:r w:rsidRPr="00C468E4">
        <w:t xml:space="preserve"> and enforce electrical corporations’ compliance with wildfire safety requirements and develop and recommend to the Commission performance metrics to achieve maximum feasible wildfire risk reduction</w:t>
      </w:r>
      <w:r w:rsidRPr="00CB0D41">
        <w:t xml:space="preserve">.  </w:t>
      </w:r>
    </w:p>
    <w:p w:rsidRPr="00C468E4" w:rsidR="001A1B63" w:rsidP="00A26715" w:rsidRDefault="000F30DB" w14:paraId="76EEE77C" w14:textId="31DB346C">
      <w:pPr>
        <w:spacing w:after="240"/>
      </w:pPr>
      <w:r w:rsidRPr="00C468E4">
        <w:t>SB 901 require</w:t>
      </w:r>
      <w:r w:rsidRPr="00C468E4" w:rsidR="00F71FCD">
        <w:t>s</w:t>
      </w:r>
      <w:r w:rsidRPr="00C468E4">
        <w:t xml:space="preserve"> </w:t>
      </w:r>
      <w:r w:rsidRPr="00C468E4" w:rsidR="000065D4">
        <w:t xml:space="preserve">electrical corporations to annually prepare and submit a </w:t>
      </w:r>
      <w:r w:rsidRPr="00C468E4" w:rsidR="00E557FF">
        <w:t>WMP</w:t>
      </w:r>
      <w:r w:rsidRPr="00C468E4" w:rsidR="000065D4">
        <w:t xml:space="preserve"> to the Commission for review</w:t>
      </w:r>
      <w:r w:rsidRPr="00C468E4" w:rsidR="000F43B0">
        <w:t>;</w:t>
      </w:r>
      <w:r w:rsidRPr="00C468E4">
        <w:t xml:space="preserve"> the Commission reviewed the 2019 WMPs in Rulemaking (R.) 18-10-007</w:t>
      </w:r>
      <w:r w:rsidRPr="00C468E4" w:rsidR="00CC7423">
        <w:t xml:space="preserve">. </w:t>
      </w:r>
      <w:r w:rsidRPr="00C468E4" w:rsidR="001A1B63">
        <w:t>After the Commission issued its WMP decisions on May 30, 2019,</w:t>
      </w:r>
      <w:r w:rsidRPr="00CB0D41" w:rsidR="001A1B63">
        <w:rPr>
          <w:rStyle w:val="FootnoteReference"/>
        </w:rPr>
        <w:footnoteReference w:id="8"/>
      </w:r>
      <w:r w:rsidRPr="00CB0D41" w:rsidR="001A1B63">
        <w:t xml:space="preserve"> the Legislature enacted AB 1054.</w:t>
      </w:r>
      <w:r w:rsidRPr="00C468E4" w:rsidR="009C6747">
        <w:t xml:space="preserve"> </w:t>
      </w:r>
      <w:r w:rsidRPr="00C468E4" w:rsidR="001A1B63">
        <w:t>AB 1054 contains similar WMP requirements to SB 901 but allows WMPs a three-year rather than one-year duration.</w:t>
      </w:r>
      <w:r w:rsidRPr="00C468E4" w:rsidR="009C6747">
        <w:t xml:space="preserve"> </w:t>
      </w:r>
      <w:r w:rsidRPr="00C468E4" w:rsidR="001A1B63">
        <w:t>AB 1054 requires</w:t>
      </w:r>
      <w:r w:rsidRPr="00C468E4" w:rsidR="00CC7423">
        <w:t xml:space="preserve"> the</w:t>
      </w:r>
      <w:r w:rsidRPr="00C468E4" w:rsidR="001A1B63">
        <w:t xml:space="preserve"> WSD to review and approve</w:t>
      </w:r>
      <w:r w:rsidRPr="00C468E4" w:rsidR="00CC7423">
        <w:t xml:space="preserve"> or</w:t>
      </w:r>
      <w:r w:rsidRPr="00C468E4" w:rsidR="001A1B63">
        <w:t xml:space="preserve"> deny electrical corporations’ WMPs, with Commission ratification </w:t>
      </w:r>
      <w:r w:rsidRPr="00C468E4" w:rsidR="00E66F98">
        <w:t xml:space="preserve">of any approval </w:t>
      </w:r>
      <w:r w:rsidRPr="00C468E4" w:rsidR="001A1B63">
        <w:t xml:space="preserve">to follow </w:t>
      </w:r>
      <w:r w:rsidRPr="00C468E4" w:rsidR="001A1B63">
        <w:lastRenderedPageBreak/>
        <w:t>thereafter.</w:t>
      </w:r>
      <w:r w:rsidRPr="00C468E4" w:rsidR="009C6747">
        <w:t xml:space="preserve"> </w:t>
      </w:r>
      <w:r w:rsidRPr="00C468E4" w:rsidR="001A1B63">
        <w:t xml:space="preserve">AB 1054 </w:t>
      </w:r>
      <w:r w:rsidRPr="00C468E4" w:rsidR="00CC7423">
        <w:t>establishe</w:t>
      </w:r>
      <w:r w:rsidRPr="00C468E4" w:rsidR="00131370">
        <w:t>s</w:t>
      </w:r>
      <w:r w:rsidRPr="00C468E4" w:rsidR="00CC7423">
        <w:t xml:space="preserve"> a </w:t>
      </w:r>
      <w:r w:rsidRPr="00C468E4" w:rsidR="001A1B63">
        <w:t>Wildfire Safety Advisory Board (WSAB) with appointees from the California Governor and Legislature to provide comment on the WMPs and develop and make recommendations related to the metrics used to evaluate WMPs in 2021 and beyond.</w:t>
      </w:r>
      <w:r w:rsidRPr="00CB0D41" w:rsidR="001A1B63">
        <w:rPr>
          <w:rStyle w:val="FootnoteReference"/>
        </w:rPr>
        <w:footnoteReference w:id="9"/>
      </w:r>
      <w:r w:rsidRPr="00CB0D41" w:rsidR="009C6747">
        <w:t xml:space="preserve"> </w:t>
      </w:r>
    </w:p>
    <w:p w:rsidRPr="00C468E4" w:rsidR="00CC7423" w:rsidP="001A1B63" w:rsidRDefault="001A1B63" w14:paraId="2C5663D8" w14:textId="49A7BDEE">
      <w:pPr>
        <w:pStyle w:val="Standard"/>
      </w:pPr>
      <w:r w:rsidRPr="00C468E4">
        <w:t xml:space="preserve">Building on lessons learned from the WMP review process in 2019, </w:t>
      </w:r>
      <w:r w:rsidRPr="00C468E4" w:rsidR="00CC7423">
        <w:t xml:space="preserve">the </w:t>
      </w:r>
      <w:r w:rsidRPr="00C468E4">
        <w:t>WSD developed and required all electrical corporations to conform their WMPs to a set of new WMP Guidelines starting in 2020.</w:t>
      </w:r>
      <w:r w:rsidRPr="00CB0D41">
        <w:rPr>
          <w:rStyle w:val="FootnoteReference"/>
        </w:rPr>
        <w:footnoteReference w:id="10"/>
      </w:r>
      <w:r w:rsidRPr="00CB0D41" w:rsidR="00CC7423">
        <w:t xml:space="preserve"> In 2020 electrical corporations submitted comprehensive WMPs cover</w:t>
      </w:r>
      <w:r w:rsidRPr="00C468E4" w:rsidR="00CC7423">
        <w:t>ing a three-year period from 2020-2022. The WSD evaluated each electrical corporation’s WMP and issued dispositions, ratified by the Commission, in Resolutions WSD-002</w:t>
      </w:r>
      <w:r w:rsidRPr="00C468E4" w:rsidR="001E5713">
        <w:t xml:space="preserve"> through </w:t>
      </w:r>
      <w:r w:rsidRPr="00C468E4" w:rsidR="00CC7423">
        <w:t>WSD-010.</w:t>
      </w:r>
    </w:p>
    <w:p w:rsidRPr="00C468E4" w:rsidR="001A1B63" w:rsidP="001A1B63" w:rsidRDefault="001A1B63" w14:paraId="6A150853" w14:textId="47D735A4">
      <w:pPr>
        <w:pStyle w:val="Standard"/>
      </w:pPr>
      <w:r w:rsidRPr="00C468E4">
        <w:t>For 202</w:t>
      </w:r>
      <w:r w:rsidRPr="00C468E4" w:rsidR="005C3E64">
        <w:t>1</w:t>
      </w:r>
      <w:r w:rsidRPr="00C468E4">
        <w:t xml:space="preserve">, the WMP Guidelines </w:t>
      </w:r>
      <w:r w:rsidRPr="00C468E4" w:rsidR="00CC7423">
        <w:t xml:space="preserve">as adopted in Resolution WSD-011 </w:t>
      </w:r>
      <w:r w:rsidRPr="00C468E4" w:rsidR="00304ECE">
        <w:t xml:space="preserve">build on the </w:t>
      </w:r>
      <w:r w:rsidRPr="00C468E4">
        <w:t>detail, data, and other supporting information</w:t>
      </w:r>
      <w:r w:rsidRPr="00C468E4" w:rsidR="00304ECE">
        <w:t xml:space="preserve"> provided in the 2020 WMP</w:t>
      </w:r>
      <w:r w:rsidRPr="00C468E4" w:rsidR="00015BF5">
        <w:t>s</w:t>
      </w:r>
      <w:r w:rsidRPr="00C468E4" w:rsidR="00614E51">
        <w:t xml:space="preserve"> and </w:t>
      </w:r>
      <w:r w:rsidRPr="00C468E4" w:rsidR="00EC205C">
        <w:t xml:space="preserve">enable the electrical corporation </w:t>
      </w:r>
      <w:r w:rsidRPr="00C468E4" w:rsidR="0089351B">
        <w:t>to provide</w:t>
      </w:r>
      <w:r w:rsidRPr="00C468E4" w:rsidR="00614E51">
        <w:t xml:space="preserve"> updated information for the 2020-2022 cycle period</w:t>
      </w:r>
      <w:r w:rsidRPr="00C468E4" w:rsidR="00CC7423">
        <w:t xml:space="preserve">. </w:t>
      </w:r>
      <w:bookmarkStart w:name="_Hlk66870706" w:id="5"/>
      <w:r w:rsidRPr="00C468E4">
        <w:t xml:space="preserve">The </w:t>
      </w:r>
      <w:r w:rsidRPr="00C468E4" w:rsidR="00CC7423">
        <w:t xml:space="preserve">2021 </w:t>
      </w:r>
      <w:r w:rsidRPr="00C468E4">
        <w:t xml:space="preserve">WMP Guidelines are designed </w:t>
      </w:r>
      <w:r w:rsidRPr="00C468E4" w:rsidR="00CC7423">
        <w:t xml:space="preserve">to </w:t>
      </w:r>
      <w:r w:rsidRPr="00C468E4" w:rsidR="00DF42B0">
        <w:t>(</w:t>
      </w:r>
      <w:r w:rsidRPr="00C468E4">
        <w:t xml:space="preserve">1) increase standardization of information collected on electrical corporations’ wildfire risk exposure, </w:t>
      </w:r>
      <w:r w:rsidRPr="00C468E4" w:rsidR="00226F3D">
        <w:t>(</w:t>
      </w:r>
      <w:r w:rsidRPr="00C468E4">
        <w:t xml:space="preserve">2) enable systematic and uniform review of information each electrical corporation submits, and </w:t>
      </w:r>
      <w:r w:rsidRPr="00C468E4" w:rsidR="00D85A4A">
        <w:t>(</w:t>
      </w:r>
      <w:r w:rsidRPr="00C468E4">
        <w:t>3) move electrical corporations toward an effective long-term wildfire mitigation strategy with systematic tracking of improvements over time.</w:t>
      </w:r>
      <w:bookmarkEnd w:id="5"/>
      <w:r w:rsidRPr="00C468E4" w:rsidR="009C6747">
        <w:t xml:space="preserve"> </w:t>
      </w:r>
      <w:r w:rsidRPr="00C468E4" w:rsidR="00EC205C">
        <w:t xml:space="preserve">The </w:t>
      </w:r>
      <w:r w:rsidRPr="00C468E4" w:rsidR="00EC205C">
        <w:rPr>
          <w:rFonts w:eastAsia="Book Antiqua" w:cs="Book Antiqua"/>
        </w:rPr>
        <w:t xml:space="preserve">WSD designed the </w:t>
      </w:r>
      <w:r w:rsidRPr="00C468E4" w:rsidR="00670F93">
        <w:rPr>
          <w:rFonts w:eastAsia="Book Antiqua" w:cs="Book Antiqua"/>
        </w:rPr>
        <w:t xml:space="preserve">2021 </w:t>
      </w:r>
      <w:r w:rsidRPr="00C468E4" w:rsidR="00EC205C">
        <w:rPr>
          <w:rFonts w:eastAsia="Book Antiqua" w:cs="Book Antiqua"/>
        </w:rPr>
        <w:t xml:space="preserve">WMP Guidelines to require that each </w:t>
      </w:r>
      <w:r w:rsidRPr="00C468E4" w:rsidR="00670F93">
        <w:rPr>
          <w:rFonts w:eastAsia="Book Antiqua" w:cs="Book Antiqua"/>
        </w:rPr>
        <w:t>electric corporation</w:t>
      </w:r>
      <w:r w:rsidRPr="00C468E4" w:rsidR="00EC205C">
        <w:rPr>
          <w:rFonts w:eastAsia="Book Antiqua" w:cs="Book Antiqua"/>
        </w:rPr>
        <w:t xml:space="preserve"> have a WMP that contains all elements required by AB 1054. </w:t>
      </w:r>
      <w:r w:rsidRPr="00C468E4" w:rsidR="0089351B">
        <w:rPr>
          <w:rFonts w:eastAsia="Book Antiqua" w:cs="Book Antiqua"/>
        </w:rPr>
        <w:t>For example</w:t>
      </w:r>
      <w:r w:rsidRPr="00C468E4" w:rsidR="00EC205C">
        <w:rPr>
          <w:rFonts w:eastAsia="Book Antiqua" w:cs="Book Antiqua"/>
        </w:rPr>
        <w:t xml:space="preserve">, every WMP must contain plans for vegetation management, system hardening, inspections of assets and vegetation, situational awareness, </w:t>
      </w:r>
      <w:r w:rsidRPr="00C468E4" w:rsidR="0064194C">
        <w:rPr>
          <w:rFonts w:eastAsia="Book Antiqua" w:cs="Book Antiqua"/>
        </w:rPr>
        <w:t>reduction and management of</w:t>
      </w:r>
      <w:r w:rsidRPr="00C468E4" w:rsidR="00EC205C">
        <w:rPr>
          <w:rFonts w:eastAsia="Book Antiqua" w:cs="Book Antiqua"/>
        </w:rPr>
        <w:t xml:space="preserve"> </w:t>
      </w:r>
      <w:r w:rsidRPr="00C468E4" w:rsidR="00670F93">
        <w:rPr>
          <w:rFonts w:eastAsia="Book Antiqua" w:cs="Book Antiqua"/>
        </w:rPr>
        <w:t>Public Safety Power Shutoff (</w:t>
      </w:r>
      <w:r w:rsidRPr="00C468E4" w:rsidR="00EC205C">
        <w:rPr>
          <w:rFonts w:eastAsia="Book Antiqua" w:cs="Book Antiqua"/>
        </w:rPr>
        <w:t>PSPS</w:t>
      </w:r>
      <w:r w:rsidRPr="00C468E4" w:rsidR="00670F93">
        <w:rPr>
          <w:rFonts w:eastAsia="Book Antiqua" w:cs="Book Antiqua"/>
        </w:rPr>
        <w:t>)</w:t>
      </w:r>
      <w:r w:rsidRPr="00C468E4" w:rsidR="00EC205C">
        <w:rPr>
          <w:rFonts w:eastAsia="Book Antiqua" w:cs="Book Antiqua"/>
        </w:rPr>
        <w:t xml:space="preserve"> events, customer and first responder outreach and coordination, risk analysis, </w:t>
      </w:r>
      <w:r w:rsidRPr="00C468E4" w:rsidR="00D16C4C">
        <w:rPr>
          <w:rFonts w:eastAsia="Book Antiqua" w:cs="Book Antiqua"/>
        </w:rPr>
        <w:t xml:space="preserve">and </w:t>
      </w:r>
      <w:r w:rsidRPr="00C468E4" w:rsidR="00A011AB">
        <w:rPr>
          <w:rFonts w:eastAsia="Book Antiqua" w:cs="Book Antiqua"/>
        </w:rPr>
        <w:t>g</w:t>
      </w:r>
      <w:r w:rsidRPr="00C468E4" w:rsidR="0080490D">
        <w:rPr>
          <w:rFonts w:eastAsia="Book Antiqua" w:cs="Book Antiqua"/>
        </w:rPr>
        <w:t xml:space="preserve">eographic </w:t>
      </w:r>
      <w:r w:rsidRPr="00C468E4" w:rsidR="00A011AB">
        <w:rPr>
          <w:rFonts w:eastAsia="Book Antiqua" w:cs="Book Antiqua"/>
        </w:rPr>
        <w:t>i</w:t>
      </w:r>
      <w:r w:rsidRPr="00C468E4" w:rsidR="0080490D">
        <w:rPr>
          <w:rFonts w:eastAsia="Book Antiqua" w:cs="Book Antiqua"/>
        </w:rPr>
        <w:t xml:space="preserve">nformation </w:t>
      </w:r>
      <w:r w:rsidRPr="00C468E4" w:rsidR="00A011AB">
        <w:rPr>
          <w:rFonts w:eastAsia="Book Antiqua" w:cs="Book Antiqua"/>
        </w:rPr>
        <w:t>s</w:t>
      </w:r>
      <w:r w:rsidRPr="00C468E4" w:rsidR="0080490D">
        <w:rPr>
          <w:rFonts w:eastAsia="Book Antiqua" w:cs="Book Antiqua"/>
        </w:rPr>
        <w:t xml:space="preserve">ystem </w:t>
      </w:r>
      <w:r w:rsidRPr="00C468E4" w:rsidR="00492E4D">
        <w:rPr>
          <w:rFonts w:eastAsia="Book Antiqua" w:cs="Book Antiqua"/>
        </w:rPr>
        <w:t>(</w:t>
      </w:r>
      <w:r w:rsidRPr="00C468E4" w:rsidR="00EC205C">
        <w:rPr>
          <w:rFonts w:eastAsia="Book Antiqua" w:cs="Book Antiqua"/>
        </w:rPr>
        <w:t>GIS</w:t>
      </w:r>
      <w:r w:rsidRPr="00C468E4" w:rsidR="00492E4D">
        <w:rPr>
          <w:rFonts w:eastAsia="Book Antiqua" w:cs="Book Antiqua"/>
        </w:rPr>
        <w:t>)</w:t>
      </w:r>
      <w:r w:rsidRPr="00C468E4" w:rsidR="00EC205C">
        <w:rPr>
          <w:rFonts w:eastAsia="Book Antiqua" w:cs="Book Antiqua"/>
        </w:rPr>
        <w:t xml:space="preserve"> data, </w:t>
      </w:r>
      <w:r w:rsidRPr="00C468E4" w:rsidR="00810816">
        <w:rPr>
          <w:rFonts w:eastAsia="Book Antiqua" w:cs="Book Antiqua"/>
        </w:rPr>
        <w:t xml:space="preserve">as well as </w:t>
      </w:r>
      <w:r w:rsidRPr="00C468E4" w:rsidR="00EC205C">
        <w:rPr>
          <w:rFonts w:eastAsia="Book Antiqua" w:cs="Book Antiqua"/>
        </w:rPr>
        <w:t>a short- and long-term vision,</w:t>
      </w:r>
      <w:r w:rsidRPr="00C468E4" w:rsidR="005C61D2">
        <w:rPr>
          <w:rFonts w:eastAsia="Book Antiqua" w:cs="Book Antiqua"/>
        </w:rPr>
        <w:t xml:space="preserve"> </w:t>
      </w:r>
      <w:r w:rsidRPr="00C468E4" w:rsidR="00A30D27">
        <w:rPr>
          <w:rFonts w:eastAsia="Book Antiqua" w:cs="Book Antiqua"/>
        </w:rPr>
        <w:t xml:space="preserve">an </w:t>
      </w:r>
      <w:r w:rsidRPr="00C468E4" w:rsidR="005C61D2">
        <w:rPr>
          <w:rFonts w:eastAsia="Book Antiqua" w:cs="Book Antiqua"/>
        </w:rPr>
        <w:t>ignition cause</w:t>
      </w:r>
      <w:r w:rsidRPr="00C468E4" w:rsidR="00EC205C">
        <w:rPr>
          <w:rFonts w:eastAsia="Book Antiqua" w:cs="Book Antiqua"/>
        </w:rPr>
        <w:t xml:space="preserve"> analysis, and many other elements.</w:t>
      </w:r>
    </w:p>
    <w:p w:rsidRPr="00C468E4" w:rsidR="001A1B63" w:rsidP="002A4444" w:rsidRDefault="00CC7423" w14:paraId="43ED4FF6" w14:textId="78B3B08F">
      <w:pPr>
        <w:pStyle w:val="Standard"/>
      </w:pPr>
      <w:r w:rsidRPr="00C468E4">
        <w:t>In addition to adopting guidelines for the review of 2021 WMPs, Resolution WSD-011 set</w:t>
      </w:r>
      <w:r w:rsidRPr="00C468E4" w:rsidR="001A1B63">
        <w:t xml:space="preserve"> forth the process for </w:t>
      </w:r>
      <w:r w:rsidRPr="00C468E4" w:rsidR="00670F93">
        <w:t xml:space="preserve">the </w:t>
      </w:r>
      <w:r w:rsidRPr="00C468E4" w:rsidR="001A1B63">
        <w:t>WSD</w:t>
      </w:r>
      <w:r w:rsidRPr="00C468E4" w:rsidR="00670F93">
        <w:t>’s</w:t>
      </w:r>
      <w:r w:rsidRPr="00C468E4" w:rsidR="001A1B63">
        <w:t xml:space="preserve"> and </w:t>
      </w:r>
      <w:r w:rsidRPr="00C468E4" w:rsidR="00670F93">
        <w:t xml:space="preserve">the </w:t>
      </w:r>
      <w:r w:rsidRPr="00C468E4" w:rsidR="001A1B63">
        <w:t>Commission</w:t>
      </w:r>
      <w:r w:rsidRPr="00C468E4" w:rsidR="00670F93">
        <w:t>’s</w:t>
      </w:r>
      <w:r w:rsidRPr="00C468E4" w:rsidR="001A1B63">
        <w:t xml:space="preserve"> review of </w:t>
      </w:r>
      <w:r w:rsidRPr="00C468E4" w:rsidR="00670F93">
        <w:t>the electrical corporation</w:t>
      </w:r>
      <w:r w:rsidRPr="00C468E4" w:rsidR="00A26715">
        <w:t>s</w:t>
      </w:r>
      <w:r w:rsidRPr="00C468E4" w:rsidR="00670F93">
        <w:t xml:space="preserve">’ </w:t>
      </w:r>
      <w:r w:rsidRPr="00C468E4">
        <w:t>2021</w:t>
      </w:r>
      <w:r w:rsidRPr="00C468E4" w:rsidR="001A1B63">
        <w:t xml:space="preserve"> WMP</w:t>
      </w:r>
      <w:r w:rsidRPr="00C468E4" w:rsidR="00670F93">
        <w:t xml:space="preserve"> submissions</w:t>
      </w:r>
      <w:r w:rsidRPr="00C468E4" w:rsidR="001A1B63">
        <w:t>.</w:t>
      </w:r>
      <w:r w:rsidRPr="00C468E4" w:rsidR="009C6747">
        <w:t xml:space="preserve"> </w:t>
      </w:r>
      <w:r w:rsidRPr="00C468E4" w:rsidR="001A1B63">
        <w:t xml:space="preserve">The resolution called for </w:t>
      </w:r>
      <w:r w:rsidRPr="00C468E4">
        <w:t>Pacific Gas and Electric Company</w:t>
      </w:r>
      <w:r w:rsidRPr="00C468E4" w:rsidR="00B16695">
        <w:t xml:space="preserve"> (PG&amp;E)</w:t>
      </w:r>
      <w:r w:rsidRPr="00C468E4">
        <w:t xml:space="preserve">, Southern California Edison Company </w:t>
      </w:r>
      <w:r w:rsidRPr="00C468E4" w:rsidR="00B16695">
        <w:t xml:space="preserve">(SCE) </w:t>
      </w:r>
      <w:r w:rsidRPr="00C468E4">
        <w:t>and San Diego Gas &amp; Electric Company</w:t>
      </w:r>
      <w:r w:rsidRPr="00C468E4" w:rsidR="00D901CE">
        <w:t xml:space="preserve"> </w:t>
      </w:r>
      <w:r w:rsidRPr="00C468E4" w:rsidR="00B16695">
        <w:t xml:space="preserve">(SDG&amp;E) </w:t>
      </w:r>
      <w:r w:rsidRPr="00C468E4" w:rsidR="00D901CE">
        <w:t>(the large electrical corporations)</w:t>
      </w:r>
      <w:r w:rsidRPr="00C468E4" w:rsidR="001A1B63">
        <w:t xml:space="preserve"> to submit their </w:t>
      </w:r>
      <w:r w:rsidRPr="00C468E4">
        <w:t>2021</w:t>
      </w:r>
      <w:r w:rsidRPr="00C468E4" w:rsidR="001A1B63">
        <w:t xml:space="preserve"> WMP</w:t>
      </w:r>
      <w:r w:rsidRPr="00C468E4" w:rsidR="008A60CD">
        <w:t xml:space="preserve"> Updates</w:t>
      </w:r>
      <w:r w:rsidRPr="00C468E4" w:rsidR="001A1B63">
        <w:t xml:space="preserve"> on </w:t>
      </w:r>
      <w:r w:rsidRPr="00C468E4">
        <w:t>February 5, 2021</w:t>
      </w:r>
      <w:r w:rsidRPr="00C468E4" w:rsidR="00B16695">
        <w:t xml:space="preserve">. The resolution called for </w:t>
      </w:r>
      <w:r w:rsidRPr="00C468E4">
        <w:t xml:space="preserve">PacifiCorp, </w:t>
      </w:r>
      <w:r w:rsidRPr="00C468E4" w:rsidR="00336FE3">
        <w:t>Bear Valley Electric Service, Inc.</w:t>
      </w:r>
      <w:r w:rsidRPr="00C468E4" w:rsidR="00B16695">
        <w:t xml:space="preserve"> (BVES)</w:t>
      </w:r>
      <w:r w:rsidRPr="00C468E4" w:rsidR="00336FE3">
        <w:t xml:space="preserve">, </w:t>
      </w:r>
      <w:r w:rsidRPr="00C468E4" w:rsidR="007A01AA">
        <w:t xml:space="preserve">and </w:t>
      </w:r>
      <w:r w:rsidRPr="00C468E4">
        <w:lastRenderedPageBreak/>
        <w:t xml:space="preserve">Liberty Utilities </w:t>
      </w:r>
      <w:r w:rsidRPr="00C468E4" w:rsidR="00D901CE">
        <w:t>(</w:t>
      </w:r>
      <w:r w:rsidRPr="00C468E4" w:rsidR="00B16695">
        <w:t xml:space="preserve">the </w:t>
      </w:r>
      <w:r w:rsidRPr="00C468E4" w:rsidR="00D901CE">
        <w:t>small and multijurisdictional electrical corporations, or SMJUs)</w:t>
      </w:r>
      <w:r w:rsidRPr="00C468E4" w:rsidR="00BE79B1">
        <w:t>,</w:t>
      </w:r>
      <w:r w:rsidRPr="00C468E4">
        <w:t xml:space="preserve"> and </w:t>
      </w:r>
      <w:r w:rsidRPr="00C468E4" w:rsidR="002A4444">
        <w:t xml:space="preserve">Trans Bay Cable, LLC, Horizon West Transmission, LLC </w:t>
      </w:r>
      <w:r w:rsidRPr="00C468E4" w:rsidR="008153F4">
        <w:t>(</w:t>
      </w:r>
      <w:r w:rsidRPr="00C468E4">
        <w:t xml:space="preserve">the </w:t>
      </w:r>
      <w:r w:rsidRPr="00C468E4" w:rsidR="00EA77AD">
        <w:t>i</w:t>
      </w:r>
      <w:r w:rsidRPr="00C468E4">
        <w:t xml:space="preserve">ndependent </w:t>
      </w:r>
      <w:r w:rsidRPr="00C468E4" w:rsidR="00EA77AD">
        <w:t>t</w:t>
      </w:r>
      <w:r w:rsidRPr="00C468E4">
        <w:t xml:space="preserve">ransmission </w:t>
      </w:r>
      <w:r w:rsidRPr="00C468E4" w:rsidR="00EA77AD">
        <w:t>o</w:t>
      </w:r>
      <w:r w:rsidRPr="00C468E4" w:rsidR="00BA353A">
        <w:t>perators</w:t>
      </w:r>
      <w:r w:rsidRPr="00C468E4" w:rsidR="00D901CE">
        <w:t xml:space="preserve"> </w:t>
      </w:r>
      <w:r w:rsidRPr="00C468E4" w:rsidR="008153F4">
        <w:t xml:space="preserve">or </w:t>
      </w:r>
      <w:r w:rsidRPr="00C468E4" w:rsidR="00D901CE">
        <w:t>ITOs)</w:t>
      </w:r>
      <w:r w:rsidRPr="00C468E4" w:rsidR="00607D03">
        <w:t>,</w:t>
      </w:r>
      <w:r w:rsidRPr="00C468E4">
        <w:t xml:space="preserve"> </w:t>
      </w:r>
      <w:r w:rsidRPr="00C468E4" w:rsidR="00B16695">
        <w:t xml:space="preserve">to submit </w:t>
      </w:r>
      <w:r w:rsidRPr="00C468E4" w:rsidR="00F466FD">
        <w:t>their WMP Updates</w:t>
      </w:r>
      <w:r w:rsidRPr="00C468E4" w:rsidR="00D74E80">
        <w:t xml:space="preserve"> on March 5, 2021. </w:t>
      </w:r>
      <w:r w:rsidRPr="00C468E4" w:rsidR="00536A4C">
        <w:t>SDG&amp;E</w:t>
      </w:r>
      <w:r w:rsidRPr="00C468E4" w:rsidR="001A1B63">
        <w:t xml:space="preserve"> </w:t>
      </w:r>
      <w:r w:rsidRPr="00C468E4" w:rsidR="00D74E80">
        <w:t xml:space="preserve">timely </w:t>
      </w:r>
      <w:r w:rsidRPr="00C468E4" w:rsidR="001A1B63">
        <w:t xml:space="preserve">submitted its </w:t>
      </w:r>
      <w:r w:rsidRPr="00C468E4" w:rsidR="00113EE5">
        <w:t xml:space="preserve">2021 </w:t>
      </w:r>
      <w:r w:rsidRPr="00C468E4" w:rsidR="00D74E80">
        <w:t>WMP</w:t>
      </w:r>
      <w:r w:rsidRPr="00C468E4" w:rsidR="00113EE5">
        <w:t xml:space="preserve"> </w:t>
      </w:r>
      <w:r w:rsidRPr="00C468E4" w:rsidR="00670F93">
        <w:t>Update</w:t>
      </w:r>
      <w:r w:rsidRPr="00C468E4" w:rsidR="00D74E80">
        <w:t>.</w:t>
      </w:r>
      <w:r w:rsidRPr="00C468E4" w:rsidR="009C6747">
        <w:t xml:space="preserve"> </w:t>
      </w:r>
    </w:p>
    <w:p w:rsidRPr="00C468E4" w:rsidR="00113EE5" w:rsidP="001A1B63" w:rsidRDefault="001A1B63" w14:paraId="261CD404" w14:textId="0EE72C22">
      <w:pPr>
        <w:pStyle w:val="Standard"/>
      </w:pPr>
      <w:r w:rsidRPr="00C468E4">
        <w:t xml:space="preserve">Shortly after electrical corporations </w:t>
      </w:r>
      <w:r w:rsidRPr="00C468E4" w:rsidR="004F7C06">
        <w:t>submitted</w:t>
      </w:r>
      <w:r w:rsidRPr="00C468E4">
        <w:t xml:space="preserve"> their WMP</w:t>
      </w:r>
      <w:r w:rsidRPr="00C468E4" w:rsidR="004F7C06">
        <w:t xml:space="preserve"> Update</w:t>
      </w:r>
      <w:r w:rsidRPr="00C468E4">
        <w:t xml:space="preserve">s, the WSD held </w:t>
      </w:r>
      <w:r w:rsidRPr="00C468E4" w:rsidR="00D901CE">
        <w:t>technical workshops on February 22 and 23</w:t>
      </w:r>
      <w:r w:rsidRPr="00C468E4" w:rsidR="00FF6470">
        <w:t>, 2021,</w:t>
      </w:r>
      <w:r w:rsidRPr="00C468E4" w:rsidR="00D901CE">
        <w:t xml:space="preserve"> for the large electrical corporations and </w:t>
      </w:r>
      <w:r w:rsidRPr="00C468E4" w:rsidR="00B16695">
        <w:t>March 23</w:t>
      </w:r>
      <w:r w:rsidRPr="00C468E4" w:rsidR="008323A2">
        <w:t>, 2021</w:t>
      </w:r>
      <w:r w:rsidRPr="00C468E4" w:rsidR="00457381">
        <w:t>,</w:t>
      </w:r>
      <w:r w:rsidRPr="00C468E4" w:rsidR="00D901CE">
        <w:t xml:space="preserve"> for the SMJUs and ITOs. </w:t>
      </w:r>
      <w:r w:rsidRPr="00C468E4" w:rsidR="00670F93">
        <w:t xml:space="preserve">The workshops </w:t>
      </w:r>
      <w:r w:rsidRPr="00C468E4" w:rsidR="00D901CE">
        <w:t>covered</w:t>
      </w:r>
      <w:r w:rsidRPr="00C468E4" w:rsidR="00113EE5">
        <w:t xml:space="preserve"> </w:t>
      </w:r>
      <w:r w:rsidRPr="00C468E4" w:rsidR="00670F93">
        <w:t>topics</w:t>
      </w:r>
      <w:r w:rsidRPr="00C468E4" w:rsidR="00113EE5">
        <w:t xml:space="preserve"> </w:t>
      </w:r>
      <w:r w:rsidRPr="00C468E4" w:rsidR="00670F93">
        <w:t>such as</w:t>
      </w:r>
      <w:r w:rsidRPr="00C468E4" w:rsidR="00D901CE">
        <w:t xml:space="preserve"> risk management, system design and grid hardening, and efforts to reduce the</w:t>
      </w:r>
      <w:r w:rsidRPr="00C468E4" w:rsidR="009400C6">
        <w:t xml:space="preserve"> scale</w:t>
      </w:r>
      <w:r w:rsidRPr="00C468E4" w:rsidR="00D901CE">
        <w:t xml:space="preserve">, </w:t>
      </w:r>
      <w:r w:rsidRPr="00C468E4" w:rsidR="009400C6">
        <w:t>scope</w:t>
      </w:r>
      <w:r w:rsidRPr="00C468E4" w:rsidR="005F57AF">
        <w:t>,</w:t>
      </w:r>
      <w:r w:rsidRPr="00C468E4" w:rsidR="00D901CE">
        <w:t xml:space="preserve"> and frequency</w:t>
      </w:r>
      <w:r w:rsidRPr="00C468E4" w:rsidR="009400C6">
        <w:t xml:space="preserve"> of PSPS events</w:t>
      </w:r>
      <w:r w:rsidRPr="00C468E4" w:rsidR="00D901CE">
        <w:t>.</w:t>
      </w:r>
      <w:r w:rsidRPr="00CB0D41">
        <w:rPr>
          <w:rStyle w:val="FootnoteReference"/>
        </w:rPr>
        <w:footnoteReference w:id="11"/>
      </w:r>
      <w:r w:rsidRPr="00CB0D41" w:rsidR="009C6747">
        <w:t xml:space="preserve"> </w:t>
      </w:r>
      <w:r w:rsidRPr="00C468E4" w:rsidR="00D901CE">
        <w:t xml:space="preserve">Stakeholders submitted comments on the large electrical corporations’ 2021 WMP Updates </w:t>
      </w:r>
      <w:r w:rsidRPr="00C468E4" w:rsidR="005F57AF">
        <w:t>by</w:t>
      </w:r>
      <w:r w:rsidRPr="00C468E4" w:rsidR="00D901CE">
        <w:t xml:space="preserve"> </w:t>
      </w:r>
      <w:r w:rsidRPr="00C468E4" w:rsidR="008114E1">
        <w:t>March 29, 2021,</w:t>
      </w:r>
      <w:r w:rsidRPr="00C468E4" w:rsidR="00D901CE">
        <w:t xml:space="preserve"> with replies </w:t>
      </w:r>
      <w:r w:rsidRPr="00C468E4" w:rsidR="005F57AF">
        <w:t>by</w:t>
      </w:r>
      <w:r w:rsidRPr="00C468E4" w:rsidR="00D901CE">
        <w:t xml:space="preserve"> </w:t>
      </w:r>
      <w:r w:rsidRPr="00C468E4" w:rsidR="006E24D0">
        <w:t>April 13, 2021</w:t>
      </w:r>
      <w:r w:rsidRPr="00C468E4" w:rsidR="00D901CE">
        <w:t>. The WSD accepted comments on the SMJU/ITO 2021 WMP</w:t>
      </w:r>
      <w:r w:rsidRPr="00C468E4" w:rsidR="00CB7652">
        <w:t xml:space="preserve"> Update</w:t>
      </w:r>
      <w:r w:rsidRPr="00C468E4" w:rsidR="00D901CE">
        <w:t xml:space="preserve">s </w:t>
      </w:r>
      <w:r w:rsidRPr="00C468E4" w:rsidR="005F57AF">
        <w:t>until</w:t>
      </w:r>
      <w:r w:rsidRPr="00C468E4" w:rsidR="00D901CE">
        <w:t xml:space="preserve"> </w:t>
      </w:r>
      <w:r w:rsidRPr="00C468E4" w:rsidR="007429D6">
        <w:t>April 14, 2021</w:t>
      </w:r>
      <w:r w:rsidRPr="00C468E4" w:rsidR="005777CE">
        <w:t>,</w:t>
      </w:r>
      <w:r w:rsidRPr="00C468E4" w:rsidR="00D901CE">
        <w:t xml:space="preserve"> with replies </w:t>
      </w:r>
      <w:r w:rsidRPr="00C468E4" w:rsidR="005F57AF">
        <w:t>by</w:t>
      </w:r>
      <w:r w:rsidRPr="00C468E4" w:rsidR="00CB72E8">
        <w:t xml:space="preserve"> </w:t>
      </w:r>
      <w:r w:rsidR="00C230C5">
        <w:br/>
      </w:r>
      <w:r w:rsidRPr="00C468E4" w:rsidR="00CB72E8">
        <w:t>April 21, 2021</w:t>
      </w:r>
      <w:r w:rsidRPr="00C468E4" w:rsidR="00D901CE">
        <w:t>.</w:t>
      </w:r>
      <w:r w:rsidRPr="00C468E4">
        <w:t xml:space="preserve"> </w:t>
      </w:r>
    </w:p>
    <w:p w:rsidRPr="00C468E4" w:rsidR="00705C88" w:rsidP="00581DC5" w:rsidRDefault="00705C88" w14:paraId="4835C472" w14:textId="4D8B1DAE">
      <w:pPr>
        <w:pStyle w:val="Standard"/>
        <w:rPr>
          <w:b/>
        </w:rPr>
      </w:pPr>
      <w:r w:rsidRPr="00C468E4">
        <w:rPr>
          <w:b/>
        </w:rPr>
        <w:t>Notice</w:t>
      </w:r>
    </w:p>
    <w:p w:rsidRPr="00C468E4" w:rsidR="00705C88" w:rsidP="00705C88" w:rsidRDefault="00705C88" w14:paraId="7D03A6C3" w14:textId="5594BEC3">
      <w:pPr>
        <w:pStyle w:val="Standard"/>
      </w:pPr>
      <w:r w:rsidRPr="00C468E4">
        <w:t>In accordance with Pub. Util. Code § 8386(d), notice of</w:t>
      </w:r>
      <w:r w:rsidRPr="00C468E4" w:rsidR="009400C6">
        <w:t xml:space="preserve"> </w:t>
      </w:r>
      <w:r w:rsidRPr="00C468E4" w:rsidR="00073C0C">
        <w:t>SDG&amp;E</w:t>
      </w:r>
      <w:r w:rsidRPr="00C468E4">
        <w:t xml:space="preserve">’s </w:t>
      </w:r>
      <w:r w:rsidRPr="00C468E4" w:rsidR="00614E51">
        <w:t xml:space="preserve">2021 </w:t>
      </w:r>
      <w:r w:rsidRPr="00C468E4">
        <w:t>WMP</w:t>
      </w:r>
      <w:r w:rsidRPr="00C468E4" w:rsidR="00614E51">
        <w:t xml:space="preserve"> Update</w:t>
      </w:r>
      <w:r w:rsidRPr="00C468E4">
        <w:t xml:space="preserve"> was given by posting the WMP</w:t>
      </w:r>
      <w:r w:rsidRPr="00C468E4" w:rsidR="00CC1317">
        <w:t xml:space="preserve"> Update</w:t>
      </w:r>
      <w:r w:rsidRPr="00C468E4">
        <w:t xml:space="preserve"> on the WSD’s web</w:t>
      </w:r>
      <w:r w:rsidRPr="00C468E4" w:rsidR="00AC623A">
        <w:t xml:space="preserve"> </w:t>
      </w:r>
      <w:r w:rsidRPr="00C468E4">
        <w:t>page at</w:t>
      </w:r>
      <w:r w:rsidRPr="00C468E4" w:rsidR="005D30BA">
        <w:rPr>
          <w:rStyle w:val="Hyperlink"/>
        </w:rPr>
        <w:t xml:space="preserve"> https://www.cpuc.ca.gov/wildfiremitigationplans</w:t>
      </w:r>
      <w:r w:rsidRPr="00C468E4">
        <w:t xml:space="preserve"> on</w:t>
      </w:r>
      <w:r w:rsidRPr="00C468E4" w:rsidR="009400C6">
        <w:t xml:space="preserve"> </w:t>
      </w:r>
      <w:r w:rsidRPr="00C468E4" w:rsidR="00D9187A">
        <w:t>February 8, 2021,</w:t>
      </w:r>
      <w:r w:rsidRPr="00C468E4">
        <w:t xml:space="preserve"> in accordance with the requirements of Pub. Util. Code Section 8386(d).</w:t>
      </w:r>
      <w:r w:rsidRPr="00C468E4" w:rsidR="009C6747">
        <w:t xml:space="preserve"> </w:t>
      </w:r>
      <w:r w:rsidRPr="00C468E4">
        <w:t xml:space="preserve">Further, the electrical corporation served its </w:t>
      </w:r>
      <w:r w:rsidRPr="00C468E4" w:rsidR="00614E51">
        <w:t>2021</w:t>
      </w:r>
      <w:r w:rsidRPr="00C468E4">
        <w:t xml:space="preserve"> WMP</w:t>
      </w:r>
      <w:r w:rsidRPr="00C468E4" w:rsidR="004634BB">
        <w:t xml:space="preserve"> Update</w:t>
      </w:r>
      <w:r w:rsidRPr="00C468E4">
        <w:t xml:space="preserve"> on the Commission’s </w:t>
      </w:r>
      <w:r w:rsidR="00C230C5">
        <w:br/>
      </w:r>
      <w:r w:rsidRPr="00C468E4">
        <w:t>R.18-10-007 service list, as Resolution WSD-</w:t>
      </w:r>
      <w:r w:rsidRPr="00C468E4" w:rsidR="00115BE5">
        <w:t>001</w:t>
      </w:r>
      <w:r w:rsidRPr="00C468E4">
        <w:t xml:space="preserve"> </w:t>
      </w:r>
      <w:r w:rsidRPr="00C468E4" w:rsidR="00614E51">
        <w:t>requires</w:t>
      </w:r>
      <w:r w:rsidRPr="00C468E4">
        <w:t>.</w:t>
      </w:r>
      <w:r w:rsidRPr="00C468E4" w:rsidR="009C6747">
        <w:t xml:space="preserve"> </w:t>
      </w:r>
      <w:r w:rsidRPr="00C468E4">
        <w:t>Resolution WSD</w:t>
      </w:r>
      <w:r w:rsidRPr="00C468E4" w:rsidR="00115BE5">
        <w:t>-001</w:t>
      </w:r>
      <w:r w:rsidRPr="00C468E4">
        <w:t xml:space="preserve"> also require</w:t>
      </w:r>
      <w:r w:rsidRPr="00C468E4" w:rsidR="00C03BE0">
        <w:t>s</w:t>
      </w:r>
      <w:r w:rsidRPr="00C468E4">
        <w:t xml:space="preserve"> </w:t>
      </w:r>
      <w:r w:rsidRPr="00C468E4" w:rsidR="004634BB">
        <w:t xml:space="preserve">an </w:t>
      </w:r>
      <w:r w:rsidRPr="00C468E4" w:rsidR="00614E51">
        <w:t xml:space="preserve">electrical corporation </w:t>
      </w:r>
      <w:r w:rsidRPr="00C468E4">
        <w:t>to post all</w:t>
      </w:r>
      <w:r w:rsidRPr="00C468E4" w:rsidR="00521562">
        <w:t xml:space="preserve"> </w:t>
      </w:r>
      <w:r w:rsidRPr="00C468E4">
        <w:t xml:space="preserve">data request responses </w:t>
      </w:r>
      <w:r w:rsidRPr="00C468E4" w:rsidR="009818E4">
        <w:t>and</w:t>
      </w:r>
      <w:r w:rsidRPr="00C468E4">
        <w:t xml:space="preserve"> any document referenced in its WMP on </w:t>
      </w:r>
      <w:r w:rsidRPr="00C468E4" w:rsidR="004634BB">
        <w:t xml:space="preserve">its </w:t>
      </w:r>
      <w:r w:rsidRPr="00C468E4">
        <w:t>own website</w:t>
      </w:r>
      <w:r w:rsidRPr="00C468E4" w:rsidR="00C03BE0">
        <w:t xml:space="preserve">. It </w:t>
      </w:r>
      <w:r w:rsidRPr="00C468E4" w:rsidR="00DF5B0A">
        <w:t>additionally</w:t>
      </w:r>
      <w:r w:rsidRPr="00C468E4" w:rsidR="00C03BE0">
        <w:t xml:space="preserve"> requires</w:t>
      </w:r>
      <w:r w:rsidRPr="00C468E4">
        <w:t xml:space="preserve"> </w:t>
      </w:r>
      <w:r w:rsidRPr="00C468E4" w:rsidR="004634BB">
        <w:t xml:space="preserve">an </w:t>
      </w:r>
      <w:r w:rsidRPr="00C468E4" w:rsidR="00DF5B0A">
        <w:t xml:space="preserve">electrical corporation to </w:t>
      </w:r>
      <w:r w:rsidRPr="00C468E4" w:rsidR="00947542">
        <w:t>notify</w:t>
      </w:r>
      <w:r w:rsidRPr="00C468E4">
        <w:t xml:space="preserve"> the R.18-10-007 </w:t>
      </w:r>
      <w:r w:rsidRPr="00C468E4" w:rsidR="00D82651">
        <w:t xml:space="preserve">service list </w:t>
      </w:r>
      <w:r w:rsidRPr="00C468E4" w:rsidR="00AE76A0">
        <w:t xml:space="preserve">about </w:t>
      </w:r>
      <w:r w:rsidRPr="00C468E4" w:rsidR="004634BB">
        <w:t>its</w:t>
      </w:r>
      <w:r w:rsidRPr="00C468E4" w:rsidR="00AE76A0">
        <w:t xml:space="preserve"> website</w:t>
      </w:r>
      <w:r w:rsidRPr="00C468E4" w:rsidR="00717769">
        <w:t xml:space="preserve"> updates</w:t>
      </w:r>
      <w:r w:rsidRPr="00C468E4" w:rsidR="00AE76A0">
        <w:t xml:space="preserve"> </w:t>
      </w:r>
      <w:r w:rsidRPr="00C468E4">
        <w:t>on a weekly basis.</w:t>
      </w:r>
    </w:p>
    <w:p w:rsidRPr="00CB2643" w:rsidR="00463304" w:rsidP="00CB2643" w:rsidRDefault="00705C88" w14:paraId="1CFC0509" w14:textId="2BAE325F">
      <w:pPr>
        <w:pStyle w:val="Header2"/>
      </w:pPr>
      <w:bookmarkStart w:name="_Toc76656580" w:id="6"/>
      <w:r w:rsidRPr="00CB2643">
        <w:t>Wildfire Safety Division Analysis of WMP</w:t>
      </w:r>
      <w:r w:rsidRPr="00CB2643" w:rsidR="004A3C7C">
        <w:t xml:space="preserve"> Update</w:t>
      </w:r>
      <w:r w:rsidRPr="00CB2643" w:rsidR="00C803B0">
        <w:t>s</w:t>
      </w:r>
      <w:bookmarkEnd w:id="6"/>
      <w:r w:rsidRPr="00CB2643" w:rsidR="004634BB">
        <w:t xml:space="preserve"> </w:t>
      </w:r>
    </w:p>
    <w:p w:rsidRPr="00C468E4" w:rsidR="5B5E984F" w:rsidP="00164AEB" w:rsidRDefault="2B5F662C" w14:paraId="38C96F01" w14:textId="5C05F9DB">
      <w:pPr>
        <w:pStyle w:val="Standard"/>
        <w:rPr>
          <w:rFonts w:eastAsia="Book Antiqua" w:cs="Book Antiqua"/>
        </w:rPr>
      </w:pPr>
      <w:r w:rsidRPr="00C468E4">
        <w:rPr>
          <w:rFonts w:eastAsia="Book Antiqua" w:cs="Book Antiqua"/>
        </w:rPr>
        <w:t xml:space="preserve">To reach a conclusion about each WMP, </w:t>
      </w:r>
      <w:r w:rsidRPr="00C468E4" w:rsidR="00EC205C">
        <w:rPr>
          <w:rFonts w:eastAsia="Book Antiqua" w:cs="Book Antiqua"/>
        </w:rPr>
        <w:t xml:space="preserve">the </w:t>
      </w:r>
      <w:r w:rsidRPr="00C468E4">
        <w:rPr>
          <w:rFonts w:eastAsia="Book Antiqua" w:cs="Book Antiqua"/>
        </w:rPr>
        <w:t>WSD review</w:t>
      </w:r>
      <w:r w:rsidRPr="00C468E4" w:rsidR="004634BB">
        <w:rPr>
          <w:rFonts w:eastAsia="Book Antiqua" w:cs="Book Antiqua"/>
        </w:rPr>
        <w:t>s</w:t>
      </w:r>
      <w:r w:rsidRPr="00C468E4">
        <w:rPr>
          <w:rFonts w:eastAsia="Book Antiqua" w:cs="Book Antiqua"/>
        </w:rPr>
        <w:t xml:space="preserve"> </w:t>
      </w:r>
      <w:r w:rsidRPr="00C468E4" w:rsidR="000F30DB">
        <w:rPr>
          <w:rFonts w:eastAsia="Book Antiqua" w:cs="Book Antiqua"/>
        </w:rPr>
        <w:t>each electrical corporation</w:t>
      </w:r>
      <w:r w:rsidRPr="00C468E4" w:rsidR="00A85D9E">
        <w:rPr>
          <w:rFonts w:eastAsia="Book Antiqua" w:cs="Book Antiqua"/>
        </w:rPr>
        <w:t>’s</w:t>
      </w:r>
      <w:r w:rsidRPr="00C468E4">
        <w:rPr>
          <w:rFonts w:eastAsia="Book Antiqua" w:cs="Book Antiqua"/>
        </w:rPr>
        <w:t xml:space="preserve"> </w:t>
      </w:r>
      <w:r w:rsidRPr="00C468E4" w:rsidR="004634BB">
        <w:t>WMP</w:t>
      </w:r>
      <w:r w:rsidRPr="00C468E4">
        <w:rPr>
          <w:rFonts w:eastAsia="Book Antiqua" w:cs="Book Antiqua"/>
        </w:rPr>
        <w:t xml:space="preserve"> (including </w:t>
      </w:r>
      <w:r w:rsidRPr="00C468E4" w:rsidR="00B0684C">
        <w:rPr>
          <w:rFonts w:eastAsia="Book Antiqua" w:cs="Book Antiqua"/>
        </w:rPr>
        <w:t>tabular</w:t>
      </w:r>
      <w:r w:rsidRPr="00C468E4">
        <w:rPr>
          <w:rFonts w:eastAsia="Book Antiqua" w:cs="Book Antiqua"/>
        </w:rPr>
        <w:t xml:space="preserve"> and GIS data),</w:t>
      </w:r>
      <w:r w:rsidRPr="00C468E4" w:rsidR="00447980">
        <w:rPr>
          <w:rFonts w:eastAsia="Book Antiqua" w:cs="Book Antiqua"/>
        </w:rPr>
        <w:t xml:space="preserve"> as well as</w:t>
      </w:r>
      <w:r w:rsidRPr="00C468E4">
        <w:rPr>
          <w:rFonts w:eastAsia="Book Antiqua" w:cs="Book Antiqua"/>
        </w:rPr>
        <w:t xml:space="preserve"> </w:t>
      </w:r>
      <w:r w:rsidRPr="00C468E4" w:rsidR="001D10F6">
        <w:rPr>
          <w:rFonts w:eastAsia="Book Antiqua" w:cs="Book Antiqua"/>
        </w:rPr>
        <w:t>input and comments from</w:t>
      </w:r>
      <w:r w:rsidRPr="00C468E4" w:rsidR="00447980">
        <w:rPr>
          <w:rFonts w:eastAsia="Book Antiqua" w:cs="Book Antiqua"/>
        </w:rPr>
        <w:t xml:space="preserve"> </w:t>
      </w:r>
      <w:r w:rsidRPr="00C468E4">
        <w:rPr>
          <w:rFonts w:eastAsia="Book Antiqua" w:cs="Book Antiqua"/>
        </w:rPr>
        <w:t>WSAB</w:t>
      </w:r>
      <w:r w:rsidRPr="00C468E4" w:rsidR="00447980">
        <w:rPr>
          <w:rFonts w:eastAsia="Book Antiqua" w:cs="Book Antiqua"/>
        </w:rPr>
        <w:t xml:space="preserve">, </w:t>
      </w:r>
      <w:r w:rsidRPr="00C468E4" w:rsidR="001D10F6">
        <w:rPr>
          <w:rFonts w:eastAsia="Book Antiqua" w:cs="Book Antiqua"/>
        </w:rPr>
        <w:t>California Department of Forestry and Fire Protection (</w:t>
      </w:r>
      <w:r w:rsidRPr="00C468E4" w:rsidR="00447980">
        <w:rPr>
          <w:rFonts w:eastAsia="Book Antiqua" w:cs="Book Antiqua"/>
        </w:rPr>
        <w:t>CAL FIRE</w:t>
      </w:r>
      <w:r w:rsidRPr="00C468E4" w:rsidR="001D10F6">
        <w:rPr>
          <w:rFonts w:eastAsia="Book Antiqua" w:cs="Book Antiqua"/>
        </w:rPr>
        <w:t>)</w:t>
      </w:r>
      <w:r w:rsidRPr="00C468E4" w:rsidR="00F61EC9">
        <w:rPr>
          <w:rFonts w:eastAsia="Book Antiqua" w:cs="Book Antiqua"/>
        </w:rPr>
        <w:t>,</w:t>
      </w:r>
      <w:r w:rsidRPr="00C468E4" w:rsidR="001D10F6">
        <w:rPr>
          <w:rFonts w:eastAsia="Book Antiqua" w:cs="Book Antiqua"/>
        </w:rPr>
        <w:t xml:space="preserve"> and stakeholders</w:t>
      </w:r>
      <w:r w:rsidRPr="00C468E4">
        <w:rPr>
          <w:rFonts w:eastAsia="Book Antiqua" w:cs="Book Antiqua"/>
        </w:rPr>
        <w:t>, responses to data requests</w:t>
      </w:r>
      <w:r w:rsidRPr="00C468E4" w:rsidR="00B16695">
        <w:rPr>
          <w:rFonts w:eastAsia="Book Antiqua" w:cs="Book Antiqua"/>
        </w:rPr>
        <w:t>,</w:t>
      </w:r>
      <w:r w:rsidRPr="00C468E4">
        <w:rPr>
          <w:rFonts w:eastAsia="Book Antiqua" w:cs="Book Antiqua"/>
        </w:rPr>
        <w:t xml:space="preserve"> responses to the </w:t>
      </w:r>
      <w:r w:rsidRPr="00C468E4" w:rsidR="00A26715">
        <w:rPr>
          <w:rFonts w:eastAsia="Book Antiqua" w:cs="Book Antiqua"/>
        </w:rPr>
        <w:t>M</w:t>
      </w:r>
      <w:r w:rsidRPr="00C468E4">
        <w:rPr>
          <w:rFonts w:eastAsia="Book Antiqua" w:cs="Book Antiqua"/>
        </w:rPr>
        <w:t xml:space="preserve">aturity </w:t>
      </w:r>
      <w:r w:rsidRPr="00C468E4" w:rsidR="00A26715">
        <w:rPr>
          <w:rFonts w:eastAsia="Book Antiqua" w:cs="Book Antiqua"/>
        </w:rPr>
        <w:t>M</w:t>
      </w:r>
      <w:r w:rsidRPr="00C468E4">
        <w:rPr>
          <w:rFonts w:eastAsia="Book Antiqua" w:cs="Book Antiqua"/>
        </w:rPr>
        <w:t>odel survey questions</w:t>
      </w:r>
      <w:r w:rsidRPr="00C468E4" w:rsidR="00447980">
        <w:rPr>
          <w:rFonts w:eastAsia="Book Antiqua" w:cs="Book Antiqua"/>
        </w:rPr>
        <w:t xml:space="preserve">, and responses to ongoing reporting required in the 2020 WMP decisions and follow-on </w:t>
      </w:r>
      <w:r w:rsidRPr="00C468E4" w:rsidR="004B2DE8">
        <w:rPr>
          <w:rFonts w:eastAsia="Book Antiqua" w:cs="Book Antiqua"/>
        </w:rPr>
        <w:t>submissions</w:t>
      </w:r>
      <w:r w:rsidRPr="00C468E4">
        <w:rPr>
          <w:rFonts w:eastAsia="Book Antiqua" w:cs="Book Antiqua"/>
        </w:rPr>
        <w:t xml:space="preserve">. </w:t>
      </w:r>
    </w:p>
    <w:p w:rsidRPr="00C468E4" w:rsidR="00AB7B45" w:rsidP="00447980" w:rsidRDefault="00447980" w14:paraId="2FECEFD1" w14:textId="5C598B5F">
      <w:pPr>
        <w:spacing w:line="259" w:lineRule="auto"/>
        <w:rPr>
          <w:rFonts w:cs="Calibri"/>
          <w:szCs w:val="26"/>
        </w:rPr>
      </w:pPr>
      <w:r w:rsidRPr="00C468E4">
        <w:rPr>
          <w:rFonts w:cs="Calibri"/>
          <w:szCs w:val="26"/>
        </w:rPr>
        <w:lastRenderedPageBreak/>
        <w:t>For 2021</w:t>
      </w:r>
      <w:r w:rsidRPr="00C468E4" w:rsidR="00601DE4">
        <w:rPr>
          <w:rFonts w:cs="Calibri"/>
          <w:szCs w:val="26"/>
        </w:rPr>
        <w:t>,</w:t>
      </w:r>
      <w:r w:rsidRPr="00C468E4">
        <w:rPr>
          <w:rFonts w:cs="Calibri"/>
          <w:szCs w:val="26"/>
        </w:rPr>
        <w:t xml:space="preserve"> the WSD amended its review process </w:t>
      </w:r>
      <w:r w:rsidRPr="00C468E4" w:rsidR="00F50C29">
        <w:rPr>
          <w:rFonts w:cs="Calibri"/>
          <w:szCs w:val="26"/>
        </w:rPr>
        <w:t>s</w:t>
      </w:r>
      <w:r w:rsidRPr="00C468E4" w:rsidR="00C37691">
        <w:rPr>
          <w:rFonts w:cs="Calibri"/>
          <w:szCs w:val="26"/>
        </w:rPr>
        <w:t>uch</w:t>
      </w:r>
      <w:r w:rsidRPr="00C468E4" w:rsidR="00F50C29">
        <w:rPr>
          <w:rFonts w:cs="Calibri"/>
          <w:szCs w:val="26"/>
        </w:rPr>
        <w:t xml:space="preserve"> </w:t>
      </w:r>
      <w:r w:rsidRPr="00C468E4" w:rsidR="00A121AE">
        <w:rPr>
          <w:rFonts w:cs="Calibri"/>
          <w:szCs w:val="26"/>
        </w:rPr>
        <w:t xml:space="preserve">that it will </w:t>
      </w:r>
      <w:r w:rsidRPr="00C468E4">
        <w:rPr>
          <w:rFonts w:cs="Calibri"/>
          <w:szCs w:val="26"/>
        </w:rPr>
        <w:t xml:space="preserve">no longer issue conditional approvals. Instead, where the WSD </w:t>
      </w:r>
      <w:r w:rsidRPr="00C468E4" w:rsidR="008E2F1D">
        <w:rPr>
          <w:rFonts w:cs="Calibri"/>
          <w:szCs w:val="26"/>
        </w:rPr>
        <w:t>found</w:t>
      </w:r>
      <w:r w:rsidRPr="00C468E4">
        <w:rPr>
          <w:rFonts w:cs="Calibri"/>
          <w:szCs w:val="26"/>
        </w:rPr>
        <w:t xml:space="preserve"> critical issues with 2021 submissions, the WSD issue</w:t>
      </w:r>
      <w:r w:rsidRPr="00C468E4" w:rsidR="008E2F1D">
        <w:rPr>
          <w:rFonts w:cs="Calibri"/>
          <w:szCs w:val="26"/>
        </w:rPr>
        <w:t>d</w:t>
      </w:r>
      <w:r w:rsidRPr="00C468E4">
        <w:rPr>
          <w:rFonts w:cs="Calibri"/>
          <w:szCs w:val="26"/>
        </w:rPr>
        <w:t xml:space="preserve"> a Revision Notic</w:t>
      </w:r>
      <w:r w:rsidRPr="00C468E4" w:rsidR="008B6EF0">
        <w:rPr>
          <w:rFonts w:cs="Calibri"/>
          <w:szCs w:val="26"/>
        </w:rPr>
        <w:t>e</w:t>
      </w:r>
      <w:r w:rsidRPr="00C468E4">
        <w:rPr>
          <w:rFonts w:cs="Calibri"/>
          <w:szCs w:val="26"/>
        </w:rPr>
        <w:t xml:space="preserve"> requiring the electrical corporation to remedy such issues prior to completion of the 2021 WMP Update evaluation. Upon receipt of the electrical corporation’s response to the Revision Notice, the WSD determine</w:t>
      </w:r>
      <w:r w:rsidRPr="00C468E4" w:rsidR="00A24782">
        <w:rPr>
          <w:rFonts w:cs="Calibri"/>
          <w:szCs w:val="26"/>
        </w:rPr>
        <w:t>d</w:t>
      </w:r>
      <w:r w:rsidRPr="00C468E4">
        <w:rPr>
          <w:rFonts w:cs="Calibri"/>
          <w:szCs w:val="26"/>
        </w:rPr>
        <w:t xml:space="preserve"> whether the response </w:t>
      </w:r>
      <w:r w:rsidRPr="00C468E4" w:rsidR="00693794">
        <w:rPr>
          <w:rFonts w:cs="Calibri"/>
          <w:szCs w:val="26"/>
        </w:rPr>
        <w:t>was</w:t>
      </w:r>
      <w:r w:rsidRPr="00C468E4">
        <w:rPr>
          <w:rFonts w:cs="Calibri"/>
          <w:szCs w:val="26"/>
        </w:rPr>
        <w:t xml:space="preserve"> sufficient to warrant approval of the WMP</w:t>
      </w:r>
      <w:r w:rsidRPr="00C468E4" w:rsidR="00CE4BC7">
        <w:rPr>
          <w:rFonts w:cs="Calibri"/>
          <w:szCs w:val="26"/>
        </w:rPr>
        <w:t xml:space="preserve"> Update</w:t>
      </w:r>
      <w:r w:rsidRPr="00C468E4">
        <w:rPr>
          <w:rFonts w:cs="Calibri"/>
          <w:szCs w:val="26"/>
        </w:rPr>
        <w:t xml:space="preserve">, </w:t>
      </w:r>
      <w:r w:rsidRPr="00C468E4" w:rsidR="00907E23">
        <w:rPr>
          <w:rFonts w:cs="Calibri"/>
          <w:szCs w:val="26"/>
        </w:rPr>
        <w:t xml:space="preserve">or </w:t>
      </w:r>
      <w:r w:rsidRPr="00C468E4">
        <w:rPr>
          <w:rFonts w:cs="Calibri"/>
          <w:szCs w:val="26"/>
        </w:rPr>
        <w:t xml:space="preserve">the response </w:t>
      </w:r>
      <w:r w:rsidRPr="00C468E4" w:rsidR="00693794">
        <w:rPr>
          <w:rFonts w:cs="Calibri"/>
          <w:szCs w:val="26"/>
        </w:rPr>
        <w:t>was</w:t>
      </w:r>
      <w:r w:rsidRPr="00C468E4">
        <w:rPr>
          <w:rFonts w:cs="Calibri"/>
          <w:szCs w:val="26"/>
        </w:rPr>
        <w:t xml:space="preserve"> </w:t>
      </w:r>
      <w:r w:rsidRPr="00C468E4" w:rsidR="00633AA0">
        <w:rPr>
          <w:rFonts w:cs="Calibri"/>
          <w:szCs w:val="26"/>
        </w:rPr>
        <w:t xml:space="preserve">deemed </w:t>
      </w:r>
      <w:r w:rsidRPr="00C468E4">
        <w:rPr>
          <w:rFonts w:cs="Calibri"/>
          <w:szCs w:val="26"/>
        </w:rPr>
        <w:t xml:space="preserve">insufficient such that denial of the WMP </w:t>
      </w:r>
      <w:r w:rsidRPr="00C468E4" w:rsidR="00CE4BC7">
        <w:rPr>
          <w:rFonts w:cs="Calibri"/>
          <w:szCs w:val="26"/>
        </w:rPr>
        <w:t xml:space="preserve">Update </w:t>
      </w:r>
      <w:r w:rsidRPr="00C468E4" w:rsidR="00693794">
        <w:rPr>
          <w:rFonts w:cs="Calibri"/>
          <w:szCs w:val="26"/>
        </w:rPr>
        <w:t>was</w:t>
      </w:r>
      <w:r w:rsidRPr="00C468E4">
        <w:rPr>
          <w:rFonts w:cs="Calibri"/>
          <w:szCs w:val="26"/>
        </w:rPr>
        <w:t xml:space="preserve"> warranted.</w:t>
      </w:r>
      <w:r w:rsidRPr="00C468E4" w:rsidR="00B16695">
        <w:rPr>
          <w:rFonts w:cs="Calibri"/>
          <w:szCs w:val="26"/>
        </w:rPr>
        <w:t xml:space="preserve"> </w:t>
      </w:r>
    </w:p>
    <w:p w:rsidRPr="00C468E4" w:rsidR="00AB7B45" w:rsidP="00447980" w:rsidRDefault="00AB7B45" w14:paraId="3F793AA5" w14:textId="77777777">
      <w:pPr>
        <w:spacing w:line="259" w:lineRule="auto"/>
        <w:rPr>
          <w:rFonts w:cs="Calibri"/>
          <w:szCs w:val="26"/>
        </w:rPr>
      </w:pPr>
    </w:p>
    <w:p w:rsidRPr="00C468E4" w:rsidR="00447980" w:rsidP="00A26715" w:rsidRDefault="00447980" w14:paraId="1A1F60E4" w14:textId="77777777">
      <w:pPr>
        <w:spacing w:line="259" w:lineRule="auto"/>
        <w:rPr>
          <w:rFonts w:cs="Calibri"/>
          <w:szCs w:val="26"/>
        </w:rPr>
      </w:pPr>
      <w:bookmarkStart w:name="_Hlk66870865" w:id="7"/>
      <w:r w:rsidRPr="00C468E4">
        <w:rPr>
          <w:rFonts w:cs="Calibri"/>
          <w:szCs w:val="26"/>
        </w:rPr>
        <w:t>The WSD evaluated 2021 WMP Updates according to the following factors:</w:t>
      </w:r>
    </w:p>
    <w:p w:rsidRPr="00C468E4" w:rsidR="00447980" w:rsidP="00447980" w:rsidRDefault="00447980" w14:paraId="40D4D7B4" w14:textId="7938FEFF">
      <w:pPr>
        <w:numPr>
          <w:ilvl w:val="0"/>
          <w:numId w:val="36"/>
        </w:numPr>
        <w:spacing w:after="120" w:line="259" w:lineRule="auto"/>
        <w:rPr>
          <w:rFonts w:cs="Calibri"/>
          <w:szCs w:val="26"/>
        </w:rPr>
      </w:pPr>
      <w:r w:rsidRPr="00C468E4">
        <w:rPr>
          <w:rFonts w:cs="Calibri"/>
          <w:szCs w:val="26"/>
          <w:u w:val="single"/>
        </w:rPr>
        <w:t>Completeness:</w:t>
      </w:r>
      <w:r w:rsidRPr="00C468E4">
        <w:rPr>
          <w:rFonts w:cs="Calibri"/>
          <w:szCs w:val="26"/>
        </w:rPr>
        <w:t xml:space="preserve"> The WMP </w:t>
      </w:r>
      <w:r w:rsidRPr="00C468E4" w:rsidR="00643278">
        <w:rPr>
          <w:rFonts w:cs="Calibri"/>
          <w:szCs w:val="26"/>
        </w:rPr>
        <w:t xml:space="preserve">Update </w:t>
      </w:r>
      <w:r w:rsidRPr="00C468E4">
        <w:rPr>
          <w:rFonts w:cs="Calibri"/>
          <w:szCs w:val="26"/>
        </w:rPr>
        <w:t>is complete and comprehensively responds to the WMP statutory requirements and WMP Guidelines.</w:t>
      </w:r>
    </w:p>
    <w:p w:rsidRPr="00C468E4" w:rsidR="00447980" w:rsidP="00447980" w:rsidRDefault="00447980" w14:paraId="4063FC2B" w14:textId="1355028D">
      <w:pPr>
        <w:numPr>
          <w:ilvl w:val="0"/>
          <w:numId w:val="36"/>
        </w:numPr>
        <w:spacing w:after="120" w:line="259" w:lineRule="auto"/>
        <w:rPr>
          <w:rFonts w:cs="Calibri"/>
          <w:szCs w:val="26"/>
        </w:rPr>
      </w:pPr>
      <w:r w:rsidRPr="00C468E4">
        <w:rPr>
          <w:rFonts w:cs="Calibri"/>
          <w:szCs w:val="26"/>
          <w:u w:val="single"/>
        </w:rPr>
        <w:t>Technical feasibility and effectiveness:</w:t>
      </w:r>
      <w:r w:rsidRPr="00C468E4">
        <w:rPr>
          <w:rFonts w:cs="Calibri"/>
          <w:szCs w:val="26"/>
        </w:rPr>
        <w:t xml:space="preserve"> Initiatives proposed in the WMP</w:t>
      </w:r>
      <w:r w:rsidRPr="00C468E4" w:rsidR="00643278">
        <w:rPr>
          <w:rFonts w:cs="Calibri"/>
          <w:szCs w:val="26"/>
        </w:rPr>
        <w:t xml:space="preserve"> Update</w:t>
      </w:r>
      <w:r w:rsidRPr="00C468E4">
        <w:rPr>
          <w:rFonts w:cs="Calibri"/>
          <w:szCs w:val="26"/>
        </w:rPr>
        <w:t xml:space="preserve"> are technically feasible and are effective in addressing the risks that exist in the electrical corporation’s service territory.</w:t>
      </w:r>
    </w:p>
    <w:p w:rsidRPr="00C468E4" w:rsidR="00447980" w:rsidP="00447980" w:rsidRDefault="00447980" w14:paraId="56CDC70D" w14:textId="4214F878">
      <w:pPr>
        <w:numPr>
          <w:ilvl w:val="0"/>
          <w:numId w:val="36"/>
        </w:numPr>
        <w:spacing w:after="120" w:line="259" w:lineRule="auto"/>
        <w:rPr>
          <w:rFonts w:cs="Calibri"/>
          <w:szCs w:val="26"/>
        </w:rPr>
      </w:pPr>
      <w:r w:rsidRPr="00C468E4">
        <w:rPr>
          <w:rFonts w:cs="Calibri"/>
          <w:szCs w:val="26"/>
          <w:u w:val="single"/>
        </w:rPr>
        <w:t>Resource use efficiency:</w:t>
      </w:r>
      <w:r w:rsidRPr="00C468E4">
        <w:rPr>
          <w:rFonts w:cs="Calibri"/>
          <w:szCs w:val="26"/>
        </w:rPr>
        <w:t xml:space="preserve"> Initiatives are an efficient use of resources and focus on achieving the greatest risk reduction at the lowest cost.</w:t>
      </w:r>
    </w:p>
    <w:p w:rsidRPr="00C468E4" w:rsidR="00447980" w:rsidP="00447980" w:rsidRDefault="007A55A7" w14:paraId="2F5A17DD" w14:textId="7D4F6AE1">
      <w:pPr>
        <w:numPr>
          <w:ilvl w:val="0"/>
          <w:numId w:val="36"/>
        </w:numPr>
        <w:spacing w:after="120" w:line="259" w:lineRule="auto"/>
        <w:rPr>
          <w:rFonts w:cs="Calibri"/>
          <w:szCs w:val="26"/>
        </w:rPr>
      </w:pPr>
      <w:r w:rsidRPr="00C468E4">
        <w:rPr>
          <w:rFonts w:cs="Calibri"/>
          <w:szCs w:val="26"/>
          <w:u w:val="single"/>
        </w:rPr>
        <w:t>Y</w:t>
      </w:r>
      <w:r w:rsidRPr="00C468E4" w:rsidR="00447980">
        <w:rPr>
          <w:rFonts w:cs="Calibri"/>
          <w:szCs w:val="26"/>
          <w:u w:val="single"/>
        </w:rPr>
        <w:t>ear-over-year progress:</w:t>
      </w:r>
      <w:r w:rsidRPr="00C468E4" w:rsidR="00447980">
        <w:rPr>
          <w:rFonts w:cs="Calibri"/>
          <w:szCs w:val="26"/>
        </w:rPr>
        <w:t xml:space="preserve"> The electrical corporation has demonstrated sufficient progress on objectives and program targets reported in the prior annual WMP.</w:t>
      </w:r>
    </w:p>
    <w:p w:rsidRPr="00C468E4" w:rsidR="00447980" w:rsidP="00447980" w:rsidRDefault="00447980" w14:paraId="2E524078" w14:textId="6AC43657">
      <w:pPr>
        <w:numPr>
          <w:ilvl w:val="0"/>
          <w:numId w:val="36"/>
        </w:numPr>
        <w:spacing w:after="120" w:line="259" w:lineRule="auto"/>
        <w:rPr>
          <w:rFonts w:cs="Calibri"/>
          <w:szCs w:val="26"/>
        </w:rPr>
      </w:pPr>
      <w:r w:rsidRPr="00C468E4">
        <w:rPr>
          <w:rFonts w:cs="Calibri"/>
          <w:szCs w:val="26"/>
          <w:u w:val="single"/>
        </w:rPr>
        <w:t>Forward</w:t>
      </w:r>
      <w:r w:rsidRPr="00C468E4" w:rsidR="004B49C3">
        <w:rPr>
          <w:rFonts w:cs="Calibri"/>
          <w:szCs w:val="26"/>
          <w:u w:val="single"/>
        </w:rPr>
        <w:t>-</w:t>
      </w:r>
      <w:r w:rsidRPr="00C468E4">
        <w:rPr>
          <w:rFonts w:cs="Calibri"/>
          <w:szCs w:val="26"/>
          <w:u w:val="single"/>
        </w:rPr>
        <w:t>looking growth:</w:t>
      </w:r>
      <w:r w:rsidRPr="00C468E4">
        <w:rPr>
          <w:rFonts w:cs="Calibri"/>
          <w:szCs w:val="26"/>
        </w:rPr>
        <w:t xml:space="preserve"> The electrical corporation demonstrates a clear action plan to continue reducing utility-related wildfires and the scale, scope</w:t>
      </w:r>
      <w:r w:rsidRPr="00C468E4" w:rsidR="00E87D0C">
        <w:rPr>
          <w:rFonts w:cs="Calibri"/>
          <w:szCs w:val="26"/>
        </w:rPr>
        <w:t>,</w:t>
      </w:r>
      <w:r w:rsidRPr="00C468E4">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C468E4" w:rsidR="00705C88" w:rsidP="00CB2643" w:rsidRDefault="00705C88" w14:paraId="7C708937" w14:textId="46F403F0">
      <w:pPr>
        <w:pStyle w:val="Header2"/>
      </w:pPr>
      <w:bookmarkStart w:name="_Toc76656581" w:id="8"/>
      <w:bookmarkEnd w:id="7"/>
      <w:r w:rsidRPr="00C468E4">
        <w:t>Wildfire Safety Advisory Board Input</w:t>
      </w:r>
      <w:bookmarkEnd w:id="8"/>
    </w:p>
    <w:p w:rsidRPr="00C468E4" w:rsidR="006335BC" w:rsidP="00C57FE5" w:rsidRDefault="1258F349" w14:paraId="4EF7CA0F" w14:textId="786BD8CB">
      <w:pPr>
        <w:spacing w:after="120"/>
        <w:rPr>
          <w:rFonts w:eastAsia="Book Antiqua" w:cs="Book Antiqua"/>
        </w:rPr>
      </w:pPr>
      <w:r w:rsidRPr="00C468E4">
        <w:rPr>
          <w:rFonts w:eastAsia="Book Antiqua" w:cs="Book Antiqua"/>
        </w:rPr>
        <w:t>The WSAB provided recommendations on the WMP</w:t>
      </w:r>
      <w:r w:rsidRPr="00C468E4" w:rsidR="00ED5AD1">
        <w:rPr>
          <w:rFonts w:eastAsia="Book Antiqua" w:cs="Book Antiqua"/>
        </w:rPr>
        <w:t xml:space="preserve"> Update</w:t>
      </w:r>
      <w:r w:rsidRPr="00C468E4">
        <w:rPr>
          <w:rFonts w:eastAsia="Book Antiqua" w:cs="Book Antiqua"/>
        </w:rPr>
        <w:t>s</w:t>
      </w:r>
      <w:r w:rsidRPr="00C468E4" w:rsidR="108EA9DA">
        <w:rPr>
          <w:rFonts w:eastAsia="Book Antiqua" w:cs="Book Antiqua"/>
        </w:rPr>
        <w:t xml:space="preserve"> of </w:t>
      </w:r>
      <w:r w:rsidRPr="00C468E4" w:rsidR="00ED5AD1">
        <w:rPr>
          <w:rFonts w:eastAsia="Book Antiqua" w:cs="Book Antiqua"/>
        </w:rPr>
        <w:t>PG&amp;E, SCE, and SDG&amp;E</w:t>
      </w:r>
      <w:r w:rsidRPr="00C468E4" w:rsidR="00447980">
        <w:rPr>
          <w:rFonts w:eastAsia="Book Antiqua" w:cs="Book Antiqua"/>
        </w:rPr>
        <w:t xml:space="preserve"> on </w:t>
      </w:r>
      <w:r w:rsidRPr="00C468E4" w:rsidR="00B43472">
        <w:rPr>
          <w:rFonts w:eastAsia="Book Antiqua" w:cs="Book Antiqua"/>
        </w:rPr>
        <w:t>April 16, 2021</w:t>
      </w:r>
      <w:r w:rsidRPr="00C468E4" w:rsidR="00447980">
        <w:rPr>
          <w:rFonts w:eastAsia="Book Antiqua" w:cs="Book Antiqua"/>
        </w:rPr>
        <w:t>.</w:t>
      </w:r>
      <w:r w:rsidRPr="00C468E4" w:rsidR="009C6747">
        <w:rPr>
          <w:rFonts w:eastAsia="Book Antiqua" w:cs="Book Antiqua"/>
        </w:rPr>
        <w:t xml:space="preserve"> </w:t>
      </w:r>
      <w:r w:rsidRPr="00C468E4" w:rsidR="00ED5AD1">
        <w:rPr>
          <w:rFonts w:eastAsia="Book Antiqua" w:cs="Book Antiqua"/>
        </w:rPr>
        <w:t xml:space="preserve">The WSAB provided recommendations on the WMP Updates of </w:t>
      </w:r>
      <w:r w:rsidRPr="00C468E4" w:rsidR="0042349C">
        <w:rPr>
          <w:rFonts w:eastAsia="Book Antiqua" w:cs="Book Antiqua"/>
        </w:rPr>
        <w:t>PacifiCorp, BVES, and Liberty Utilities</w:t>
      </w:r>
      <w:r w:rsidRPr="00C468E4" w:rsidR="00ED5AD1">
        <w:rPr>
          <w:rFonts w:eastAsia="Book Antiqua" w:cs="Book Antiqua"/>
        </w:rPr>
        <w:t xml:space="preserve"> on </w:t>
      </w:r>
      <w:r w:rsidRPr="00C468E4" w:rsidR="003A7242">
        <w:rPr>
          <w:rFonts w:eastAsia="Book Antiqua" w:cs="Book Antiqua"/>
        </w:rPr>
        <w:t>May 1</w:t>
      </w:r>
      <w:r w:rsidRPr="00C468E4" w:rsidR="00651402">
        <w:rPr>
          <w:rFonts w:eastAsia="Book Antiqua" w:cs="Book Antiqua"/>
        </w:rPr>
        <w:t>3</w:t>
      </w:r>
      <w:r w:rsidRPr="00C468E4" w:rsidR="00ED5AD1">
        <w:rPr>
          <w:rFonts w:eastAsia="Book Antiqua" w:cs="Book Antiqua"/>
        </w:rPr>
        <w:t xml:space="preserve">, 2021. </w:t>
      </w:r>
      <w:r w:rsidRPr="00C468E4">
        <w:rPr>
          <w:rFonts w:eastAsia="Book Antiqua" w:cs="Book Antiqua"/>
        </w:rPr>
        <w:t xml:space="preserve">The </w:t>
      </w:r>
      <w:r w:rsidRPr="00C468E4" w:rsidR="34E8184B">
        <w:rPr>
          <w:rFonts w:eastAsia="Book Antiqua" w:cs="Book Antiqua"/>
        </w:rPr>
        <w:t xml:space="preserve">WSD </w:t>
      </w:r>
      <w:r w:rsidRPr="00C468E4">
        <w:rPr>
          <w:rFonts w:eastAsia="Book Antiqua" w:cs="Book Antiqua"/>
        </w:rPr>
        <w:t>considered the WSAB’s recommendations</w:t>
      </w:r>
      <w:r w:rsidRPr="00C468E4" w:rsidR="12A2D769">
        <w:rPr>
          <w:rFonts w:eastAsia="Book Antiqua" w:cs="Book Antiqua"/>
        </w:rPr>
        <w:t xml:space="preserve">, and </w:t>
      </w:r>
      <w:r w:rsidRPr="00C468E4" w:rsidR="00447980">
        <w:rPr>
          <w:rFonts w:eastAsia="Book Antiqua" w:cs="Book Antiqua"/>
        </w:rPr>
        <w:t>the attached Action Statement</w:t>
      </w:r>
      <w:r w:rsidRPr="00C468E4" w:rsidR="12A2D769">
        <w:rPr>
          <w:rFonts w:eastAsia="Book Antiqua" w:cs="Book Antiqua"/>
        </w:rPr>
        <w:t xml:space="preserve"> incorporates</w:t>
      </w:r>
      <w:r w:rsidRPr="00C468E4" w:rsidR="00447980">
        <w:rPr>
          <w:rFonts w:eastAsia="Book Antiqua" w:cs="Book Antiqua"/>
        </w:rPr>
        <w:t xml:space="preserve"> the</w:t>
      </w:r>
      <w:r w:rsidRPr="00C468E4" w:rsidR="12A2D769">
        <w:rPr>
          <w:rFonts w:eastAsia="Book Antiqua" w:cs="Book Antiqua"/>
        </w:rPr>
        <w:t xml:space="preserve"> WSAB’s input throughout.</w:t>
      </w:r>
    </w:p>
    <w:p w:rsidRPr="00C468E4" w:rsidR="1258F349" w:rsidP="353ADA43" w:rsidRDefault="1258F349" w14:paraId="4D62F696" w14:textId="209AFC8F">
      <w:pPr>
        <w:pStyle w:val="Standard"/>
      </w:pPr>
    </w:p>
    <w:p w:rsidRPr="00C468E4" w:rsidR="00705C88" w:rsidP="00CB2643" w:rsidRDefault="00705C88" w14:paraId="3CD98A1E" w14:textId="361DE05B">
      <w:pPr>
        <w:pStyle w:val="Header2"/>
      </w:pPr>
      <w:bookmarkStart w:name="_Toc76656582" w:id="9"/>
      <w:r w:rsidRPr="00C468E4">
        <w:lastRenderedPageBreak/>
        <w:t>Public and Stakeholder Comment</w:t>
      </w:r>
      <w:bookmarkEnd w:id="9"/>
    </w:p>
    <w:p w:rsidRPr="00C468E4" w:rsidR="00BD4B9D" w:rsidP="00BF48CC" w:rsidRDefault="00493D1D" w14:paraId="45744D2B" w14:textId="46671156">
      <w:pPr>
        <w:pStyle w:val="Standard"/>
      </w:pPr>
      <w:r w:rsidRPr="00C468E4">
        <w:t xml:space="preserve">The following individuals and organizations submitted comments by </w:t>
      </w:r>
      <w:r w:rsidR="00C230C5">
        <w:br/>
      </w:r>
      <w:r w:rsidRPr="00C468E4">
        <w:t>March 29, 2021, and reply comments by April 13, 2021, on SDG&amp;E’s WMP</w:t>
      </w:r>
      <w:r w:rsidRPr="00C468E4" w:rsidR="00BD4B9D">
        <w:t xml:space="preserve"> Update</w:t>
      </w:r>
      <w:r w:rsidRPr="00C468E4">
        <w:t xml:space="preserve">: </w:t>
      </w:r>
      <w:r w:rsidRPr="00C468E4" w:rsidR="00447980">
        <w:t xml:space="preserve"> </w:t>
      </w:r>
    </w:p>
    <w:p w:rsidRPr="00C468E4" w:rsidR="009270F7" w:rsidP="00F750E4" w:rsidRDefault="009270F7" w14:paraId="02542407" w14:textId="77777777">
      <w:pPr>
        <w:pStyle w:val="Standard"/>
        <w:numPr>
          <w:ilvl w:val="0"/>
          <w:numId w:val="39"/>
        </w:numPr>
      </w:pPr>
      <w:r w:rsidRPr="00C468E4">
        <w:t>Acton Town Council</w:t>
      </w:r>
    </w:p>
    <w:p w:rsidRPr="00C468E4" w:rsidR="009270F7" w:rsidP="00FB4CD8" w:rsidRDefault="009270F7" w14:paraId="0B2EC417" w14:textId="57E8355D">
      <w:pPr>
        <w:pStyle w:val="Standard"/>
        <w:numPr>
          <w:ilvl w:val="0"/>
          <w:numId w:val="39"/>
        </w:numPr>
      </w:pPr>
      <w:r w:rsidRPr="00C468E4">
        <w:t>Public Advocates Office at the California Public Utilities Commission (Cal Advocates)</w:t>
      </w:r>
    </w:p>
    <w:p w:rsidRPr="00C468E4" w:rsidR="009270F7" w:rsidP="00FB4CD8" w:rsidRDefault="009270F7" w14:paraId="1C256E84" w14:textId="65600994">
      <w:pPr>
        <w:pStyle w:val="Standard"/>
        <w:numPr>
          <w:ilvl w:val="0"/>
          <w:numId w:val="39"/>
        </w:numPr>
      </w:pPr>
      <w:r w:rsidRPr="00C468E4">
        <w:t>Green Power Institute (GPI)</w:t>
      </w:r>
    </w:p>
    <w:p w:rsidRPr="00C468E4" w:rsidR="009270F7" w:rsidP="00FB4CD8" w:rsidRDefault="009270F7" w14:paraId="630D6E5B" w14:textId="305C5F90">
      <w:pPr>
        <w:pStyle w:val="Standard"/>
        <w:numPr>
          <w:ilvl w:val="0"/>
          <w:numId w:val="39"/>
        </w:numPr>
      </w:pPr>
      <w:r w:rsidRPr="00C468E4">
        <w:t>Mussey Grade Road Alliance (MGRA)</w:t>
      </w:r>
    </w:p>
    <w:p w:rsidRPr="00C468E4" w:rsidR="009270F7" w:rsidP="00FB4CD8" w:rsidRDefault="009270F7" w14:paraId="154F7FF0" w14:textId="62CAE742">
      <w:pPr>
        <w:pStyle w:val="Standard"/>
        <w:numPr>
          <w:ilvl w:val="0"/>
          <w:numId w:val="39"/>
        </w:numPr>
      </w:pPr>
      <w:r w:rsidRPr="00C468E4">
        <w:t>Protect Our Communities Foundation (PCF)</w:t>
      </w:r>
    </w:p>
    <w:p w:rsidRPr="00C468E4" w:rsidR="009270F7" w:rsidP="00FB4CD8" w:rsidRDefault="009270F7" w14:paraId="25EBDCBA" w14:textId="1D16C7EA">
      <w:pPr>
        <w:pStyle w:val="Standard"/>
        <w:numPr>
          <w:ilvl w:val="0"/>
          <w:numId w:val="39"/>
        </w:numPr>
      </w:pPr>
      <w:r w:rsidRPr="00C468E4">
        <w:t>Small Business Utility Advocates (SBUA)</w:t>
      </w:r>
    </w:p>
    <w:p w:rsidRPr="00C468E4" w:rsidR="009270F7" w:rsidP="00FB4CD8" w:rsidRDefault="009270F7" w14:paraId="647F8A6F" w14:textId="0E0015EE">
      <w:pPr>
        <w:pStyle w:val="Standard"/>
        <w:numPr>
          <w:ilvl w:val="0"/>
          <w:numId w:val="39"/>
        </w:numPr>
      </w:pPr>
      <w:r w:rsidRPr="00C468E4">
        <w:t>The Utility Reform Network (TURN)</w:t>
      </w:r>
    </w:p>
    <w:p w:rsidRPr="00C468E4" w:rsidR="00BD4B9D" w:rsidP="00FB4CD8" w:rsidRDefault="009270F7" w14:paraId="2507C494" w14:textId="34560E99">
      <w:pPr>
        <w:pStyle w:val="Standard"/>
        <w:numPr>
          <w:ilvl w:val="0"/>
          <w:numId w:val="39"/>
        </w:numPr>
      </w:pPr>
      <w:r w:rsidRPr="00C468E4">
        <w:t>Other members of the public</w:t>
      </w:r>
    </w:p>
    <w:p w:rsidRPr="00C468E4" w:rsidR="00BF48CC" w:rsidP="00BF48CC" w:rsidRDefault="00447980" w14:paraId="7CFB6A3D" w14:textId="52D36219">
      <w:pPr>
        <w:pStyle w:val="Standard"/>
      </w:pPr>
      <w:r w:rsidRPr="00C468E4">
        <w:t>A summary of comments incorporated into the WSD’s dis</w:t>
      </w:r>
      <w:r w:rsidRPr="00C468E4" w:rsidR="0042401C">
        <w:t xml:space="preserve">position of </w:t>
      </w:r>
      <w:r w:rsidRPr="00C468E4" w:rsidR="00BD4B9D">
        <w:t>SDG&amp;E’s</w:t>
      </w:r>
      <w:r w:rsidRPr="00C468E4" w:rsidR="0042401C">
        <w:t xml:space="preserve"> WMP</w:t>
      </w:r>
      <w:r w:rsidRPr="00C468E4" w:rsidR="00BD4B9D">
        <w:t xml:space="preserve"> Update</w:t>
      </w:r>
      <w:r w:rsidRPr="00C468E4" w:rsidR="0042401C">
        <w:t xml:space="preserve"> can be found in the attached Action Statement.</w:t>
      </w:r>
    </w:p>
    <w:p w:rsidRPr="00C468E4" w:rsidR="00705C88" w:rsidP="00CB2643" w:rsidRDefault="00705C88" w14:paraId="354CCC2F" w14:textId="3FE41F0D">
      <w:pPr>
        <w:pStyle w:val="Header2"/>
      </w:pPr>
      <w:bookmarkStart w:name="_Toc76656583" w:id="10"/>
      <w:r w:rsidRPr="00C468E4">
        <w:t>Discussion</w:t>
      </w:r>
      <w:bookmarkEnd w:id="10"/>
    </w:p>
    <w:p w:rsidRPr="00C468E4" w:rsidR="00E56BCE" w:rsidP="001F7053" w:rsidRDefault="00B265CF" w14:paraId="18E19091" w14:textId="701588F3">
      <w:pPr>
        <w:pStyle w:val="Standard"/>
        <w:rPr>
          <w:color w:val="FF0000"/>
        </w:rPr>
      </w:pPr>
      <w:r w:rsidRPr="00C468E4">
        <w:t>The Commission has</w:t>
      </w:r>
      <w:r w:rsidRPr="00C468E4" w:rsidR="00D848B9">
        <w:t xml:space="preserve"> reviewed the WSDs evaluation</w:t>
      </w:r>
      <w:r w:rsidRPr="00C468E4">
        <w:t xml:space="preserve"> </w:t>
      </w:r>
      <w:r w:rsidRPr="00C468E4" w:rsidR="00D848B9">
        <w:t xml:space="preserve">of </w:t>
      </w:r>
      <w:r w:rsidRPr="00C468E4" w:rsidR="005C415B">
        <w:t>SDG&amp;E’s</w:t>
      </w:r>
      <w:r w:rsidRPr="00C468E4" w:rsidR="00D848B9">
        <w:rPr>
          <w:color w:val="FF0000"/>
        </w:rPr>
        <w:t xml:space="preserve"> </w:t>
      </w:r>
      <w:r w:rsidRPr="00C468E4" w:rsidR="00A232C8">
        <w:t xml:space="preserve">2021 </w:t>
      </w:r>
      <w:r w:rsidRPr="00C468E4" w:rsidR="00D848B9">
        <w:t>WMP</w:t>
      </w:r>
      <w:r w:rsidRPr="00C468E4" w:rsidR="00A232C8">
        <w:t xml:space="preserve"> Update</w:t>
      </w:r>
      <w:r w:rsidRPr="00C468E4" w:rsidR="005D213A">
        <w:t xml:space="preserve">, </w:t>
      </w:r>
      <w:r w:rsidRPr="00C468E4" w:rsidR="0042401C">
        <w:t>the Action Statement issued</w:t>
      </w:r>
      <w:r w:rsidRPr="00C468E4" w:rsidR="000A1DB9">
        <w:t xml:space="preserve"> by</w:t>
      </w:r>
      <w:r w:rsidRPr="00C468E4">
        <w:t xml:space="preserve"> </w:t>
      </w:r>
      <w:r w:rsidRPr="00C468E4" w:rsidR="000012B6">
        <w:t xml:space="preserve">the </w:t>
      </w:r>
      <w:r w:rsidRPr="00C468E4">
        <w:t>WSD pursuant to Pub</w:t>
      </w:r>
      <w:r w:rsidRPr="00C468E4" w:rsidR="00691011">
        <w:t>.</w:t>
      </w:r>
      <w:r w:rsidRPr="00C468E4">
        <w:t xml:space="preserve"> Util</w:t>
      </w:r>
      <w:r w:rsidRPr="00C468E4" w:rsidR="00587B85">
        <w:t>.</w:t>
      </w:r>
      <w:r w:rsidRPr="00C468E4">
        <w:t xml:space="preserve"> Code </w:t>
      </w:r>
      <w:r w:rsidRPr="00C468E4" w:rsidR="0025161A">
        <w:t>S</w:t>
      </w:r>
      <w:r w:rsidRPr="00C468E4">
        <w:t xml:space="preserve">ection 8386.3, the recommendations </w:t>
      </w:r>
      <w:r w:rsidRPr="00C468E4" w:rsidR="0A16F0B1">
        <w:t xml:space="preserve">of </w:t>
      </w:r>
      <w:r w:rsidRPr="00C468E4" w:rsidR="0042401C">
        <w:t>the WSAB</w:t>
      </w:r>
      <w:r w:rsidRPr="00C468E4">
        <w:t>, stakeholder comments served on the R.18-10-007 service list, and other public input.</w:t>
      </w:r>
      <w:r w:rsidRPr="00C468E4" w:rsidR="009C6747">
        <w:t xml:space="preserve"> </w:t>
      </w:r>
      <w:r w:rsidRPr="00C468E4" w:rsidR="0042401C">
        <w:t>The Commission ratifies</w:t>
      </w:r>
      <w:r w:rsidRPr="00C468E4" w:rsidR="0042401C">
        <w:rPr>
          <w:color w:val="FF0000"/>
        </w:rPr>
        <w:t xml:space="preserve"> </w:t>
      </w:r>
      <w:r w:rsidRPr="00C468E4" w:rsidR="0042401C">
        <w:t>the WSD’s action approving</w:t>
      </w:r>
      <w:r w:rsidRPr="00C468E4" w:rsidR="003A7A9B">
        <w:t xml:space="preserve"> SDG&amp;E’s</w:t>
      </w:r>
      <w:r w:rsidRPr="00C468E4" w:rsidR="0042401C">
        <w:t xml:space="preserve"> 2021 WMP Update.</w:t>
      </w:r>
    </w:p>
    <w:p w:rsidRPr="00C468E4" w:rsidR="00915ADC" w:rsidP="00915ADC" w:rsidRDefault="008D0082" w14:paraId="4E21F54B" w14:textId="5AAC6BCE">
      <w:pPr>
        <w:pStyle w:val="Standard"/>
      </w:pPr>
      <w:r w:rsidRPr="00C468E4">
        <w:t xml:space="preserve">The attached Action Statement </w:t>
      </w:r>
      <w:r w:rsidRPr="00C468E4" w:rsidR="006335BC">
        <w:t>discuss</w:t>
      </w:r>
      <w:r w:rsidRPr="00C468E4">
        <w:t>es</w:t>
      </w:r>
      <w:r w:rsidRPr="00C468E4" w:rsidR="006335BC">
        <w:t xml:space="preserve"> in detail </w:t>
      </w:r>
      <w:r w:rsidRPr="00C468E4" w:rsidR="003A7A9B">
        <w:t>SDG&amp;E’s</w:t>
      </w:r>
      <w:r w:rsidRPr="00C468E4" w:rsidR="0042401C">
        <w:t xml:space="preserve"> 2021 </w:t>
      </w:r>
      <w:r w:rsidRPr="00C468E4" w:rsidR="006335BC">
        <w:t>WMP</w:t>
      </w:r>
      <w:r w:rsidRPr="00C468E4" w:rsidR="0042401C">
        <w:t xml:space="preserve"> Update and provides the WSD’s analysis. In particular, the WSD focuses its analysis on progress over the past year, key areas for improvement</w:t>
      </w:r>
      <w:r w:rsidRPr="00C468E4" w:rsidR="009D584A">
        <w:t xml:space="preserve"> SDG&amp;E</w:t>
      </w:r>
      <w:r w:rsidRPr="00C468E4" w:rsidR="0042401C">
        <w:rPr>
          <w:color w:val="FF0000"/>
        </w:rPr>
        <w:t xml:space="preserve"> </w:t>
      </w:r>
      <w:r w:rsidRPr="00C468E4" w:rsidR="0042401C">
        <w:t>must focus on in the coming year (including ongoing reporting requirements)</w:t>
      </w:r>
      <w:r w:rsidRPr="00C468E4" w:rsidR="00EF2433">
        <w:t>,</w:t>
      </w:r>
      <w:r w:rsidRPr="00C468E4" w:rsidR="0042401C">
        <w:t xml:space="preserve"> and additional </w:t>
      </w:r>
      <w:r w:rsidRPr="00C468E4" w:rsidR="008826B2">
        <w:t>issues</w:t>
      </w:r>
      <w:r w:rsidRPr="00C468E4" w:rsidR="0042401C">
        <w:t xml:space="preserve"> where progress is needed to improve</w:t>
      </w:r>
      <w:r w:rsidRPr="00C468E4" w:rsidR="009D584A">
        <w:t xml:space="preserve"> SDG&amp;E’s</w:t>
      </w:r>
      <w:r w:rsidRPr="00C468E4" w:rsidR="0042401C">
        <w:rPr>
          <w:color w:val="FF0000"/>
        </w:rPr>
        <w:t xml:space="preserve"> </w:t>
      </w:r>
      <w:r w:rsidRPr="00C468E4" w:rsidR="0042401C">
        <w:t>maturity over time.</w:t>
      </w:r>
      <w:r w:rsidRPr="00C468E4" w:rsidR="009C6747">
        <w:t xml:space="preserve"> </w:t>
      </w:r>
    </w:p>
    <w:p w:rsidRPr="00C468E4" w:rsidR="00050B84" w:rsidP="006335BC" w:rsidRDefault="000012B6" w14:paraId="5113129A" w14:textId="116A030C">
      <w:pPr>
        <w:pStyle w:val="Standard"/>
        <w:rPr>
          <w:b/>
        </w:rPr>
      </w:pPr>
      <w:r w:rsidRPr="00C468E4">
        <w:rPr>
          <w:b/>
        </w:rPr>
        <w:t>6.1</w:t>
      </w:r>
      <w:r w:rsidR="00556DBF">
        <w:rPr>
          <w:b/>
        </w:rPr>
        <w:t>.</w:t>
      </w:r>
      <w:r w:rsidRPr="00C468E4">
        <w:rPr>
          <w:b/>
        </w:rPr>
        <w:t xml:space="preserve"> </w:t>
      </w:r>
      <w:r w:rsidRPr="00C468E4" w:rsidR="00050B84">
        <w:rPr>
          <w:b/>
        </w:rPr>
        <w:t xml:space="preserve">Requirements of Pub. Util. Code </w:t>
      </w:r>
      <w:r w:rsidRPr="00C468E4" w:rsidR="00382FD4">
        <w:rPr>
          <w:b/>
        </w:rPr>
        <w:t xml:space="preserve">Section </w:t>
      </w:r>
      <w:r w:rsidRPr="00C468E4" w:rsidR="00050B84">
        <w:rPr>
          <w:b/>
        </w:rPr>
        <w:t>8386(c)</w:t>
      </w:r>
    </w:p>
    <w:p w:rsidRPr="00C468E4" w:rsidR="00050B84" w:rsidP="006335BC" w:rsidRDefault="000A5AC3" w14:paraId="16975084" w14:textId="1B7F6DE0">
      <w:pPr>
        <w:pStyle w:val="Standard"/>
      </w:pPr>
      <w:r w:rsidRPr="00C468E4">
        <w:t>Below is a summary of where</w:t>
      </w:r>
      <w:r w:rsidRPr="00C468E4" w:rsidR="009D584A">
        <w:t xml:space="preserve"> SDG&amp;E</w:t>
      </w:r>
      <w:r w:rsidRPr="00C468E4">
        <w:rPr>
          <w:color w:val="FF0000"/>
        </w:rPr>
        <w:t xml:space="preserve"> </w:t>
      </w:r>
      <w:r w:rsidRPr="00C468E4">
        <w:t>has met each requirement pursuant to P</w:t>
      </w:r>
      <w:r w:rsidRPr="00C468E4" w:rsidR="0042401C">
        <w:t>ub. Util. Code</w:t>
      </w:r>
      <w:r w:rsidRPr="00C468E4" w:rsidR="008C1708">
        <w:t xml:space="preserve"> </w:t>
      </w:r>
      <w:r w:rsidRPr="00C468E4" w:rsidR="00382FD4">
        <w:t xml:space="preserve">Section </w:t>
      </w:r>
      <w:r w:rsidRPr="00C468E4">
        <w:t>8386(c)</w:t>
      </w:r>
      <w:r w:rsidRPr="00C468E4" w:rsidR="0042401C">
        <w:t xml:space="preserve">. The Commission finds that </w:t>
      </w:r>
      <w:r w:rsidRPr="00C468E4" w:rsidR="00D5486B">
        <w:t>SDG&amp;E</w:t>
      </w:r>
      <w:r w:rsidRPr="00C468E4" w:rsidR="0042401C">
        <w:t xml:space="preserve">’s 2021 WMP </w:t>
      </w:r>
      <w:r w:rsidRPr="00C468E4" w:rsidR="0042401C">
        <w:lastRenderedPageBreak/>
        <w:t xml:space="preserve">Update satisfies the requirements of Pub. Util. Code </w:t>
      </w:r>
      <w:r w:rsidRPr="00C468E4" w:rsidR="00382FD4">
        <w:t xml:space="preserve">Section </w:t>
      </w:r>
      <w:r w:rsidRPr="00C468E4" w:rsidR="0042401C">
        <w:t>8386(c).</w:t>
      </w:r>
      <w:r w:rsidRPr="00C468E4" w:rsidR="00683D93">
        <w:t xml:space="preserve"> Discussion of how SDG&amp;E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Pr="00C468E4" w:rsidR="000A5AC3" w:rsidTr="000012B6" w14:paraId="4DD1BAFE" w14:textId="3923A6E8">
        <w:tc>
          <w:tcPr>
            <w:tcW w:w="4315" w:type="dxa"/>
          </w:tcPr>
          <w:p w:rsidRPr="00C468E4" w:rsidR="000A5AC3" w:rsidP="006335BC" w:rsidRDefault="000A5AC3" w14:paraId="2AD6BDA9" w14:textId="07242856">
            <w:pPr>
              <w:pStyle w:val="Standard"/>
              <w:rPr>
                <w:b/>
              </w:rPr>
            </w:pPr>
            <w:bookmarkStart w:name="_Hlk66780589" w:id="11"/>
            <w:r w:rsidRPr="00C468E4">
              <w:rPr>
                <w:b/>
              </w:rPr>
              <w:t>Requirement</w:t>
            </w:r>
          </w:p>
        </w:tc>
        <w:tc>
          <w:tcPr>
            <w:tcW w:w="2700" w:type="dxa"/>
          </w:tcPr>
          <w:p w:rsidRPr="00C468E4" w:rsidR="000A5AC3" w:rsidP="006335BC" w:rsidRDefault="007779AE" w14:paraId="0B36BBDD" w14:textId="59F65A5E">
            <w:pPr>
              <w:pStyle w:val="Standard"/>
              <w:rPr>
                <w:b/>
              </w:rPr>
            </w:pPr>
            <w:r w:rsidRPr="00C468E4">
              <w:rPr>
                <w:b/>
              </w:rPr>
              <w:t>R</w:t>
            </w:r>
            <w:r w:rsidRPr="00C468E4" w:rsidR="000A5AC3">
              <w:rPr>
                <w:b/>
              </w:rPr>
              <w:t>equirement</w:t>
            </w:r>
            <w:r w:rsidRPr="00C468E4" w:rsidR="007E6FD1">
              <w:rPr>
                <w:b/>
              </w:rPr>
              <w:t xml:space="preserve"> status</w:t>
            </w:r>
            <w:r w:rsidRPr="00C468E4">
              <w:rPr>
                <w:b/>
              </w:rPr>
              <w:t xml:space="preserve"> in WMP</w:t>
            </w:r>
            <w:r w:rsidRPr="00C468E4" w:rsidR="00F51826">
              <w:rPr>
                <w:b/>
              </w:rPr>
              <w:t xml:space="preserve"> Update</w:t>
            </w:r>
          </w:p>
        </w:tc>
        <w:tc>
          <w:tcPr>
            <w:tcW w:w="2335" w:type="dxa"/>
          </w:tcPr>
          <w:p w:rsidRPr="00C468E4" w:rsidR="000A5AC3" w:rsidP="006335BC" w:rsidRDefault="000A5AC3" w14:paraId="27C6E561" w14:textId="1C15091A">
            <w:pPr>
              <w:pStyle w:val="Standard"/>
              <w:rPr>
                <w:b/>
              </w:rPr>
            </w:pPr>
            <w:r w:rsidRPr="00C468E4">
              <w:rPr>
                <w:b/>
              </w:rPr>
              <w:t xml:space="preserve">Reference to where in WMP </w:t>
            </w:r>
            <w:r w:rsidRPr="00C468E4" w:rsidR="00F51826">
              <w:rPr>
                <w:b/>
              </w:rPr>
              <w:t xml:space="preserve">Update </w:t>
            </w:r>
            <w:r w:rsidRPr="00C468E4">
              <w:rPr>
                <w:b/>
              </w:rPr>
              <w:t>requirement is met</w:t>
            </w:r>
          </w:p>
        </w:tc>
      </w:tr>
      <w:tr w:rsidRPr="00C468E4" w:rsidR="000A5AC3" w:rsidTr="000012B6" w14:paraId="40A337CC" w14:textId="145A7E93">
        <w:tc>
          <w:tcPr>
            <w:tcW w:w="4315" w:type="dxa"/>
          </w:tcPr>
          <w:p w:rsidRPr="00C468E4" w:rsidR="000A5AC3" w:rsidP="00B95640" w:rsidRDefault="00543640" w14:paraId="01FF7479" w14:textId="0314D451">
            <w:pPr>
              <w:pStyle w:val="Standard"/>
            </w:pPr>
            <w:r w:rsidRPr="00C468E4">
              <w:t xml:space="preserve">1. An accounting of the responsibilities </w:t>
            </w:r>
            <w:r w:rsidRPr="00C468E4" w:rsidR="00777877">
              <w:t>of the responsible person(s)</w:t>
            </w:r>
            <w:r w:rsidRPr="00C468E4" w:rsidR="000966EA">
              <w:t xml:space="preserve"> </w:t>
            </w:r>
            <w:r w:rsidRPr="00C468E4" w:rsidR="00777877">
              <w:t>executing the plan</w:t>
            </w:r>
          </w:p>
        </w:tc>
        <w:tc>
          <w:tcPr>
            <w:tcW w:w="2700" w:type="dxa"/>
          </w:tcPr>
          <w:p w:rsidRPr="00C468E4" w:rsidR="000A5AC3" w:rsidP="006335BC" w:rsidRDefault="00152236" w14:paraId="40240366" w14:textId="37ABCAB1">
            <w:pPr>
              <w:pStyle w:val="Standard"/>
            </w:pPr>
            <w:r w:rsidRPr="00C468E4">
              <w:t>Met</w:t>
            </w:r>
            <w:r w:rsidRPr="00C468E4" w:rsidR="00B86810">
              <w:t xml:space="preserve"> fully</w:t>
            </w:r>
          </w:p>
        </w:tc>
        <w:tc>
          <w:tcPr>
            <w:tcW w:w="2335" w:type="dxa"/>
          </w:tcPr>
          <w:p w:rsidRPr="00C468E4" w:rsidR="000A5AC3" w:rsidP="006335BC" w:rsidRDefault="00B86810" w14:paraId="6EB69A0D" w14:textId="65D134E8">
            <w:pPr>
              <w:pStyle w:val="Standard"/>
            </w:pPr>
            <w:r w:rsidRPr="00C468E4">
              <w:t xml:space="preserve">Section 1, pages 1-2 </w:t>
            </w:r>
          </w:p>
        </w:tc>
      </w:tr>
      <w:bookmarkEnd w:id="11"/>
      <w:tr w:rsidRPr="00C468E4" w:rsidR="00543640" w:rsidTr="000012B6" w14:paraId="2151CE0B" w14:textId="77777777">
        <w:tc>
          <w:tcPr>
            <w:tcW w:w="4315" w:type="dxa"/>
          </w:tcPr>
          <w:p w:rsidRPr="00C468E4" w:rsidR="00543640" w:rsidRDefault="00543640" w14:paraId="6F255531" w14:textId="46D051BA">
            <w:pPr>
              <w:pStyle w:val="Standard"/>
            </w:pPr>
            <w:r w:rsidRPr="00C468E4">
              <w:t>2. The objectives of the plan</w:t>
            </w:r>
          </w:p>
        </w:tc>
        <w:tc>
          <w:tcPr>
            <w:tcW w:w="2700" w:type="dxa"/>
          </w:tcPr>
          <w:p w:rsidRPr="00C468E4" w:rsidR="00543640" w:rsidP="006335BC" w:rsidRDefault="00E147BE" w14:paraId="0642284C" w14:textId="3D63B8C1">
            <w:pPr>
              <w:pStyle w:val="Standard"/>
              <w:rPr>
                <w:color w:val="FF0000"/>
              </w:rPr>
            </w:pPr>
            <w:r w:rsidRPr="00C468E4">
              <w:t>Met fully</w:t>
            </w:r>
          </w:p>
        </w:tc>
        <w:tc>
          <w:tcPr>
            <w:tcW w:w="2335" w:type="dxa"/>
          </w:tcPr>
          <w:p w:rsidRPr="00C468E4" w:rsidR="00543640" w:rsidP="006335BC" w:rsidRDefault="00BA52C9" w14:paraId="3310A9E0" w14:textId="35A05CE5">
            <w:pPr>
              <w:pStyle w:val="Standard"/>
              <w:rPr>
                <w:color w:val="FF0000"/>
              </w:rPr>
            </w:pPr>
            <w:r w:rsidRPr="00C468E4">
              <w:t>Section 5.2</w:t>
            </w:r>
            <w:r w:rsidRPr="00C468E4" w:rsidR="00C50C21">
              <w:t>, pages 110-114</w:t>
            </w:r>
          </w:p>
        </w:tc>
      </w:tr>
      <w:tr w:rsidRPr="00C468E4" w:rsidR="000A5AC3" w:rsidTr="000012B6" w14:paraId="746F7BD3" w14:textId="6E40DDF4">
        <w:tc>
          <w:tcPr>
            <w:tcW w:w="4315" w:type="dxa"/>
          </w:tcPr>
          <w:p w:rsidRPr="00C468E4" w:rsidR="000A5AC3" w:rsidRDefault="00543640" w14:paraId="50A0727D" w14:textId="4F542329">
            <w:pPr>
              <w:pStyle w:val="Standard"/>
            </w:pPr>
            <w:r w:rsidRPr="00C468E4">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C468E4" w:rsidR="000A5AC3" w:rsidP="006335BC" w:rsidRDefault="00E147BE" w14:paraId="3654F609" w14:textId="35B39809">
            <w:pPr>
              <w:pStyle w:val="Standard"/>
            </w:pPr>
            <w:r w:rsidRPr="00C468E4">
              <w:t>Met fully</w:t>
            </w:r>
          </w:p>
        </w:tc>
        <w:tc>
          <w:tcPr>
            <w:tcW w:w="2335" w:type="dxa"/>
          </w:tcPr>
          <w:p w:rsidRPr="00C468E4" w:rsidR="000A5AC3" w:rsidP="006335BC" w:rsidRDefault="002E0331" w14:paraId="498FD5F2" w14:textId="2131FE23">
            <w:pPr>
              <w:pStyle w:val="Standard"/>
            </w:pPr>
            <w:r w:rsidRPr="00C468E4">
              <w:t>Section 7.3, pages 157-348</w:t>
            </w:r>
          </w:p>
        </w:tc>
      </w:tr>
      <w:tr w:rsidRPr="00C468E4" w:rsidR="000A5AC3" w:rsidTr="000012B6" w14:paraId="0729B762" w14:textId="2E0F8BF1">
        <w:tc>
          <w:tcPr>
            <w:tcW w:w="4315" w:type="dxa"/>
          </w:tcPr>
          <w:p w:rsidRPr="00C468E4" w:rsidR="000A5AC3" w:rsidP="006335BC" w:rsidRDefault="00543640" w14:paraId="73EE5592" w14:textId="17494BD1">
            <w:pPr>
              <w:pStyle w:val="Standard"/>
            </w:pPr>
            <w:r w:rsidRPr="00C468E4">
              <w:t xml:space="preserve">4. A description of the metrics the electrical corporation plans to use to evaluate the </w:t>
            </w:r>
            <w:r w:rsidRPr="00C468E4" w:rsidR="00601DE4">
              <w:t>WMP</w:t>
            </w:r>
            <w:r w:rsidR="00940D52">
              <w:t>’</w:t>
            </w:r>
            <w:r w:rsidRPr="00C468E4" w:rsidR="00601DE4">
              <w:t xml:space="preserve">s </w:t>
            </w:r>
            <w:r w:rsidRPr="00C468E4">
              <w:t>performance and the assumptions that underlie the use of those metrics</w:t>
            </w:r>
          </w:p>
        </w:tc>
        <w:tc>
          <w:tcPr>
            <w:tcW w:w="2700" w:type="dxa"/>
          </w:tcPr>
          <w:p w:rsidRPr="00C468E4" w:rsidR="000A5AC3" w:rsidP="006335BC" w:rsidRDefault="00E147BE" w14:paraId="1955AF10" w14:textId="45DC5587">
            <w:pPr>
              <w:pStyle w:val="Standard"/>
            </w:pPr>
            <w:r w:rsidRPr="00C468E4">
              <w:t>Met fully</w:t>
            </w:r>
          </w:p>
        </w:tc>
        <w:tc>
          <w:tcPr>
            <w:tcW w:w="2335" w:type="dxa"/>
          </w:tcPr>
          <w:p w:rsidRPr="00C468E4" w:rsidR="000A5AC3" w:rsidP="006335BC" w:rsidRDefault="00040B1A" w14:paraId="25786D07" w14:textId="7B10E98E">
            <w:pPr>
              <w:pStyle w:val="Standard"/>
            </w:pPr>
            <w:r w:rsidRPr="00C468E4">
              <w:t>Section 5.3, esp. Table 5</w:t>
            </w:r>
            <w:r w:rsidRPr="00C468E4">
              <w:rPr>
                <w:rFonts w:ascii="Times New Roman" w:hAnsi="Times New Roman" w:cs="Times New Roman"/>
              </w:rPr>
              <w:t>‐</w:t>
            </w:r>
            <w:r w:rsidRPr="00C468E4">
              <w:t xml:space="preserve">2 </w:t>
            </w:r>
            <w:r w:rsidRPr="00C468E4">
              <w:rPr>
                <w:rFonts w:cs="Book Antiqua"/>
              </w:rPr>
              <w:t>“</w:t>
            </w:r>
            <w:r w:rsidRPr="00C468E4">
              <w:t>List and Description of Program Targets, Last 5 Years,</w:t>
            </w:r>
            <w:r w:rsidRPr="00C468E4">
              <w:rPr>
                <w:rFonts w:cs="Book Antiqua"/>
              </w:rPr>
              <w:t>” pages</w:t>
            </w:r>
            <w:r w:rsidRPr="00C468E4" w:rsidR="00206F6A">
              <w:rPr>
                <w:rFonts w:cs="Book Antiqua"/>
              </w:rPr>
              <w:t xml:space="preserve"> </w:t>
            </w:r>
            <w:r w:rsidR="00C230C5">
              <w:rPr>
                <w:rFonts w:cs="Book Antiqua"/>
              </w:rPr>
              <w:br/>
            </w:r>
            <w:r w:rsidRPr="00C468E4" w:rsidR="00206F6A">
              <w:rPr>
                <w:rFonts w:cs="Book Antiqua"/>
              </w:rPr>
              <w:t>115-121</w:t>
            </w:r>
          </w:p>
        </w:tc>
      </w:tr>
      <w:tr w:rsidRPr="00C468E4" w:rsidR="000A5AC3" w:rsidTr="000012B6" w14:paraId="69B3C70D" w14:textId="17FB5C2B">
        <w:tc>
          <w:tcPr>
            <w:tcW w:w="4315" w:type="dxa"/>
          </w:tcPr>
          <w:p w:rsidRPr="00C468E4" w:rsidR="000A5AC3" w:rsidP="006335BC" w:rsidRDefault="00543640" w14:paraId="666CD16A" w14:textId="2FD9DF06">
            <w:pPr>
              <w:pStyle w:val="Standard"/>
            </w:pPr>
            <w:r w:rsidRPr="00C468E4">
              <w:t xml:space="preserve">5. A discussion of how the application of previously identified metrics to previous plan performances has informed the </w:t>
            </w:r>
            <w:r w:rsidRPr="00C468E4" w:rsidR="00601DE4">
              <w:t>WMP</w:t>
            </w:r>
          </w:p>
        </w:tc>
        <w:tc>
          <w:tcPr>
            <w:tcW w:w="2700" w:type="dxa"/>
          </w:tcPr>
          <w:p w:rsidRPr="00C468E4" w:rsidR="000A5AC3" w:rsidP="006335BC" w:rsidRDefault="00E147BE" w14:paraId="77AAACCA" w14:textId="30CA0817">
            <w:pPr>
              <w:pStyle w:val="Standard"/>
            </w:pPr>
            <w:r w:rsidRPr="00C468E4">
              <w:t>Met fully</w:t>
            </w:r>
          </w:p>
        </w:tc>
        <w:tc>
          <w:tcPr>
            <w:tcW w:w="2335" w:type="dxa"/>
          </w:tcPr>
          <w:p w:rsidRPr="00C468E4" w:rsidR="000A5AC3" w:rsidP="006335BC" w:rsidRDefault="00C80D3F" w14:paraId="210BA10F" w14:textId="045A9710">
            <w:pPr>
              <w:pStyle w:val="Standard"/>
            </w:pPr>
            <w:r w:rsidRPr="00C468E4">
              <w:t>Section 4.1, pages 10-21</w:t>
            </w:r>
            <w:r w:rsidRPr="00C468E4" w:rsidR="00D241F8">
              <w:t>;</w:t>
            </w:r>
            <w:r w:rsidRPr="00C468E4">
              <w:t xml:space="preserve"> </w:t>
            </w:r>
            <w:r w:rsidRPr="00C468E4" w:rsidR="00950465">
              <w:t xml:space="preserve">Section 5.3, </w:t>
            </w:r>
            <w:r w:rsidRPr="00C468E4" w:rsidR="00216718">
              <w:t>Table 5-2, page 115</w:t>
            </w:r>
          </w:p>
        </w:tc>
      </w:tr>
      <w:tr w:rsidRPr="00C468E4" w:rsidR="000A5AC3" w:rsidTr="000012B6" w14:paraId="5D521255" w14:textId="562E8235">
        <w:tc>
          <w:tcPr>
            <w:tcW w:w="4315" w:type="dxa"/>
          </w:tcPr>
          <w:p w:rsidRPr="00C468E4" w:rsidR="000A5AC3" w:rsidP="006335BC" w:rsidRDefault="00543640" w14:paraId="30E83FB9" w14:textId="4DCB597C">
            <w:pPr>
              <w:pStyle w:val="Standard"/>
            </w:pPr>
            <w:r w:rsidRPr="00C468E4">
              <w:lastRenderedPageBreak/>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C468E4" w:rsidR="003768BB">
              <w:t>:</w:t>
            </w:r>
            <w:r w:rsidRPr="00C468E4">
              <w:t xml:space="preserve"> critical first responders</w:t>
            </w:r>
            <w:r w:rsidRPr="00C468E4" w:rsidR="003768BB">
              <w:t>,</w:t>
            </w:r>
            <w:r w:rsidRPr="00C468E4">
              <w:t xml:space="preserve"> health and communication infrastructure</w:t>
            </w:r>
            <w:r w:rsidRPr="00C468E4" w:rsidR="003768BB">
              <w:t>,</w:t>
            </w:r>
            <w:r w:rsidRPr="00C468E4" w:rsidR="00740CEB">
              <w:t xml:space="preserve"> </w:t>
            </w:r>
            <w:r w:rsidRPr="00C468E4" w:rsidR="003768BB">
              <w:t xml:space="preserve">customers with access and functional needs, and those with financial </w:t>
            </w:r>
            <w:r w:rsidRPr="00C468E4" w:rsidR="00BE091C">
              <w:t>concerns</w:t>
            </w:r>
            <w:r w:rsidRPr="00C468E4" w:rsidR="003768BB">
              <w:t>.</w:t>
            </w:r>
          </w:p>
        </w:tc>
        <w:tc>
          <w:tcPr>
            <w:tcW w:w="2700" w:type="dxa"/>
          </w:tcPr>
          <w:p w:rsidRPr="00C468E4" w:rsidR="000A5AC3" w:rsidP="006335BC" w:rsidRDefault="00E147BE" w14:paraId="58E17BAA" w14:textId="51A53159">
            <w:pPr>
              <w:pStyle w:val="Standard"/>
            </w:pPr>
            <w:r w:rsidRPr="00C468E4">
              <w:t>Met fully</w:t>
            </w:r>
          </w:p>
        </w:tc>
        <w:tc>
          <w:tcPr>
            <w:tcW w:w="2335" w:type="dxa"/>
          </w:tcPr>
          <w:p w:rsidRPr="00C468E4" w:rsidR="000A5AC3" w:rsidP="006335BC" w:rsidRDefault="0016128E" w14:paraId="51460937" w14:textId="4C486CB7">
            <w:pPr>
              <w:pStyle w:val="Standard"/>
            </w:pPr>
            <w:r w:rsidRPr="00C468E4">
              <w:t>Section 7.3.6.1.1 “Recloser protocols,” pages 289-290</w:t>
            </w:r>
            <w:r w:rsidRPr="00C468E4" w:rsidR="00D241F8">
              <w:t>; Section</w:t>
            </w:r>
            <w:r w:rsidRPr="00C468E4">
              <w:t xml:space="preserve"> 8. 2 “Protocols on Public Safety Power Shutoff</w:t>
            </w:r>
            <w:r w:rsidRPr="00C468E4" w:rsidR="00D241F8">
              <w:t>,</w:t>
            </w:r>
            <w:r w:rsidRPr="00C468E4">
              <w:t>” pages 355-366</w:t>
            </w:r>
          </w:p>
        </w:tc>
      </w:tr>
      <w:tr w:rsidRPr="00C468E4" w:rsidR="000A5AC3" w:rsidTr="000012B6" w14:paraId="3F839B2B" w14:textId="06DC5448">
        <w:tc>
          <w:tcPr>
            <w:tcW w:w="4315" w:type="dxa"/>
          </w:tcPr>
          <w:p w:rsidRPr="00C468E4" w:rsidR="000A5AC3" w:rsidP="006335BC" w:rsidRDefault="00543640" w14:paraId="30961E19" w14:textId="3ADFB6AA">
            <w:pPr>
              <w:pStyle w:val="Standard"/>
            </w:pPr>
            <w:r w:rsidRPr="00C468E4">
              <w:t xml:space="preserve">7. Appropriate and feasible procedures for notifying a customer who may be impacted by the deenergizing of electrical lines. </w:t>
            </w:r>
            <w:r w:rsidRPr="00C468E4" w:rsidR="00072426">
              <w:t xml:space="preserve">The procedures shall direct notification to all public safety offices, critical first responders, health care facilities, and operators of telecommunications infrastructure with premises within the footprint of potential </w:t>
            </w:r>
            <w:r w:rsidRPr="00C468E4" w:rsidR="00601DE4">
              <w:t xml:space="preserve">PSPS </w:t>
            </w:r>
            <w:r w:rsidRPr="00C468E4" w:rsidR="00072426">
              <w:t>for a given event.</w:t>
            </w:r>
          </w:p>
        </w:tc>
        <w:tc>
          <w:tcPr>
            <w:tcW w:w="2700" w:type="dxa"/>
          </w:tcPr>
          <w:p w:rsidRPr="00C468E4" w:rsidR="000A5AC3" w:rsidP="006335BC" w:rsidRDefault="00E147BE" w14:paraId="0A0D690C" w14:textId="4962F8C0">
            <w:pPr>
              <w:pStyle w:val="Standard"/>
            </w:pPr>
            <w:r w:rsidRPr="00C468E4">
              <w:t>Met fully</w:t>
            </w:r>
          </w:p>
        </w:tc>
        <w:tc>
          <w:tcPr>
            <w:tcW w:w="2335" w:type="dxa"/>
          </w:tcPr>
          <w:p w:rsidRPr="00C468E4" w:rsidR="000A5AC3" w:rsidP="006335BC" w:rsidRDefault="00E6213D" w14:paraId="4D9A04B4" w14:textId="4E57B262">
            <w:pPr>
              <w:pStyle w:val="Standard"/>
            </w:pPr>
            <w:r w:rsidRPr="00C468E4">
              <w:t>Section 7.3.10.1.1 “PSPS communication practices,” pages 319-342</w:t>
            </w:r>
          </w:p>
        </w:tc>
      </w:tr>
      <w:tr w:rsidRPr="00C468E4" w:rsidR="000A5AC3" w:rsidTr="000012B6" w14:paraId="277439A0" w14:textId="28B35039">
        <w:tc>
          <w:tcPr>
            <w:tcW w:w="4315" w:type="dxa"/>
          </w:tcPr>
          <w:p w:rsidRPr="00C468E4" w:rsidR="000A5AC3" w:rsidP="006335BC" w:rsidRDefault="00072426" w14:paraId="36E4A819" w14:textId="336F65D6">
            <w:pPr>
              <w:pStyle w:val="Standard"/>
            </w:pPr>
            <w:r w:rsidRPr="00C468E4">
              <w:t>8. Plans for vegetation management</w:t>
            </w:r>
          </w:p>
        </w:tc>
        <w:tc>
          <w:tcPr>
            <w:tcW w:w="2700" w:type="dxa"/>
          </w:tcPr>
          <w:p w:rsidRPr="00C468E4" w:rsidR="000A5AC3" w:rsidP="006335BC" w:rsidRDefault="00E147BE" w14:paraId="7D119B00" w14:textId="74EDBA49">
            <w:pPr>
              <w:pStyle w:val="Standard"/>
            </w:pPr>
            <w:r w:rsidRPr="00C468E4">
              <w:t>Met fully</w:t>
            </w:r>
          </w:p>
        </w:tc>
        <w:tc>
          <w:tcPr>
            <w:tcW w:w="2335" w:type="dxa"/>
          </w:tcPr>
          <w:p w:rsidRPr="00C468E4" w:rsidR="000A5AC3" w:rsidP="006335BC" w:rsidRDefault="0075789C" w14:paraId="02196497" w14:textId="7622FB3A">
            <w:pPr>
              <w:pStyle w:val="Standard"/>
            </w:pPr>
            <w:r w:rsidRPr="00C468E4">
              <w:t>Section 7.3.5, pages 263-264</w:t>
            </w:r>
          </w:p>
        </w:tc>
      </w:tr>
      <w:tr w:rsidRPr="00C468E4" w:rsidR="000A5AC3" w:rsidTr="000012B6" w14:paraId="2BB5AE2F" w14:textId="77777777">
        <w:tc>
          <w:tcPr>
            <w:tcW w:w="4315" w:type="dxa"/>
          </w:tcPr>
          <w:p w:rsidRPr="00C468E4" w:rsidR="000A5AC3" w:rsidP="006335BC" w:rsidRDefault="00072426" w14:paraId="278E34B0" w14:textId="53A2808F">
            <w:pPr>
              <w:pStyle w:val="Standard"/>
            </w:pPr>
            <w:r w:rsidRPr="00C468E4">
              <w:t>9. Plans for inspections of the electrical corporation's electrical infrastructure</w:t>
            </w:r>
          </w:p>
        </w:tc>
        <w:tc>
          <w:tcPr>
            <w:tcW w:w="2700" w:type="dxa"/>
          </w:tcPr>
          <w:p w:rsidRPr="00C468E4" w:rsidR="000A5AC3" w:rsidP="006335BC" w:rsidRDefault="00E147BE" w14:paraId="1587FACA" w14:textId="5F1068DF">
            <w:pPr>
              <w:pStyle w:val="Standard"/>
            </w:pPr>
            <w:r w:rsidRPr="00C468E4">
              <w:t>Met fully</w:t>
            </w:r>
          </w:p>
        </w:tc>
        <w:tc>
          <w:tcPr>
            <w:tcW w:w="2335" w:type="dxa"/>
          </w:tcPr>
          <w:p w:rsidRPr="00C468E4" w:rsidR="000A5AC3" w:rsidP="006335BC" w:rsidRDefault="00A72E3B" w14:paraId="1CACC95D" w14:textId="77F440DE">
            <w:pPr>
              <w:pStyle w:val="Standard"/>
            </w:pPr>
            <w:r w:rsidRPr="00C468E4">
              <w:t xml:space="preserve">Section 7.3.4, </w:t>
            </w:r>
            <w:r w:rsidRPr="00C468E4" w:rsidR="00E33EF8">
              <w:t xml:space="preserve">pages 231-262 </w:t>
            </w:r>
          </w:p>
        </w:tc>
      </w:tr>
      <w:tr w:rsidRPr="00C468E4" w:rsidR="00072426" w:rsidTr="000012B6" w14:paraId="5AC40935" w14:textId="77777777">
        <w:tc>
          <w:tcPr>
            <w:tcW w:w="4315" w:type="dxa"/>
          </w:tcPr>
          <w:p w:rsidRPr="00C468E4" w:rsidR="00072426" w:rsidP="006335BC" w:rsidRDefault="00072426" w14:paraId="0BBCF37E" w14:textId="3B05A908">
            <w:pPr>
              <w:pStyle w:val="Standard"/>
            </w:pPr>
            <w:r w:rsidRPr="00C468E4">
              <w:t xml:space="preserve">10. </w:t>
            </w:r>
            <w:r w:rsidRPr="00C468E4" w:rsidR="00601DE4">
              <w:t>PSPS p</w:t>
            </w:r>
            <w:r w:rsidRPr="00C468E4">
              <w:t xml:space="preserve">rotocols </w:t>
            </w:r>
            <w:r w:rsidRPr="00C468E4" w:rsidR="00601DE4">
              <w:t>associated with</w:t>
            </w:r>
            <w:r w:rsidRPr="00C468E4">
              <w:t xml:space="preserve"> the electrical corporation’s transmission infrastructure, for instances when the </w:t>
            </w:r>
            <w:r w:rsidRPr="00C468E4" w:rsidR="00601DE4">
              <w:t xml:space="preserve">PSPS </w:t>
            </w:r>
            <w:r w:rsidRPr="00C468E4">
              <w:t xml:space="preserve">may impact customers who, or entities </w:t>
            </w:r>
            <w:r w:rsidRPr="00C468E4">
              <w:lastRenderedPageBreak/>
              <w:t>that, are dependent upon the infrastructure</w:t>
            </w:r>
          </w:p>
        </w:tc>
        <w:tc>
          <w:tcPr>
            <w:tcW w:w="2700" w:type="dxa"/>
          </w:tcPr>
          <w:p w:rsidRPr="00C468E4" w:rsidR="00072426" w:rsidP="006335BC" w:rsidRDefault="00E147BE" w14:paraId="6AD5CE89" w14:textId="139411A6">
            <w:pPr>
              <w:pStyle w:val="Standard"/>
            </w:pPr>
            <w:r w:rsidRPr="00C468E4">
              <w:lastRenderedPageBreak/>
              <w:t>Met fully</w:t>
            </w:r>
          </w:p>
        </w:tc>
        <w:tc>
          <w:tcPr>
            <w:tcW w:w="2335" w:type="dxa"/>
          </w:tcPr>
          <w:p w:rsidRPr="00C468E4" w:rsidR="00072426" w:rsidP="006335BC" w:rsidRDefault="00A72E3B" w14:paraId="27614C97" w14:textId="25F3CDE2">
            <w:pPr>
              <w:pStyle w:val="Standard"/>
            </w:pPr>
            <w:r w:rsidRPr="00C468E4">
              <w:t xml:space="preserve">Section 8.2, pages 355-366 </w:t>
            </w:r>
          </w:p>
        </w:tc>
      </w:tr>
      <w:tr w:rsidRPr="00C468E4" w:rsidR="000A5AC3" w:rsidTr="000012B6" w14:paraId="61A6D8C2" w14:textId="77777777">
        <w:tc>
          <w:tcPr>
            <w:tcW w:w="4315" w:type="dxa"/>
          </w:tcPr>
          <w:p w:rsidRPr="00C468E4" w:rsidR="000A5AC3" w:rsidP="006335BC" w:rsidRDefault="00072426" w14:paraId="63D8188C" w14:textId="63325F63">
            <w:pPr>
              <w:pStyle w:val="Standard"/>
            </w:pPr>
            <w:r w:rsidRPr="00C468E4">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C468E4" w:rsidR="00601DE4">
              <w:t xml:space="preserve">(SMAP) </w:t>
            </w:r>
            <w:r w:rsidRPr="00C468E4">
              <w:t xml:space="preserve">and Risk Assessment Mitigation Phase </w:t>
            </w:r>
            <w:r w:rsidRPr="00C468E4" w:rsidR="00822A5F">
              <w:t xml:space="preserve">(RAMP) </w:t>
            </w:r>
            <w:r w:rsidRPr="00C468E4">
              <w:t>filings</w:t>
            </w:r>
          </w:p>
        </w:tc>
        <w:tc>
          <w:tcPr>
            <w:tcW w:w="2700" w:type="dxa"/>
          </w:tcPr>
          <w:p w:rsidRPr="00C468E4" w:rsidR="000A5AC3" w:rsidP="006335BC" w:rsidRDefault="00B86810" w14:paraId="743294CA" w14:textId="5A0A6628">
            <w:pPr>
              <w:pStyle w:val="Standard"/>
            </w:pPr>
            <w:r w:rsidRPr="00C468E4">
              <w:t>Met but areas for improvement identified</w:t>
            </w:r>
          </w:p>
        </w:tc>
        <w:tc>
          <w:tcPr>
            <w:tcW w:w="2335" w:type="dxa"/>
          </w:tcPr>
          <w:p w:rsidRPr="00C468E4" w:rsidR="000A5AC3" w:rsidP="006B551B" w:rsidRDefault="00D66AAB" w14:paraId="5382F2BB" w14:textId="52DCDA35">
            <w:pPr>
              <w:pStyle w:val="Standard"/>
            </w:pPr>
            <w:r w:rsidRPr="00C468E4">
              <w:t>Unprioritized list of wildfire risks</w:t>
            </w:r>
            <w:r w:rsidRPr="00C468E4" w:rsidR="00B171C4">
              <w:t xml:space="preserve"> and risk drivers can be found in </w:t>
            </w:r>
            <w:r w:rsidRPr="00C468E4" w:rsidR="00904C37">
              <w:t xml:space="preserve">Section 7.3.b “Detailed Information on Mitigation Initiatives </w:t>
            </w:r>
            <w:r w:rsidRPr="00C468E4" w:rsidR="00DB33BF">
              <w:t>b</w:t>
            </w:r>
            <w:r w:rsidRPr="00C468E4" w:rsidR="00904C37">
              <w:t>y Category and Activity,” pages 158-175 (</w:t>
            </w:r>
            <w:r w:rsidRPr="00C468E4" w:rsidR="001F6FCB">
              <w:t xml:space="preserve">in particular </w:t>
            </w:r>
            <w:r w:rsidRPr="00C468E4" w:rsidR="00904C37">
              <w:t xml:space="preserve">see </w:t>
            </w:r>
            <w:r w:rsidRPr="00C468E4" w:rsidR="001F6FCB">
              <w:t>“Risk to be Mitigated”</w:t>
            </w:r>
            <w:r w:rsidRPr="00C468E4" w:rsidR="00904C37">
              <w:t xml:space="preserve"> </w:t>
            </w:r>
            <w:r w:rsidRPr="00C468E4" w:rsidR="001F6FCB">
              <w:t xml:space="preserve">column </w:t>
            </w:r>
            <w:r w:rsidRPr="00C468E4" w:rsidR="00904C37">
              <w:t>in Table 7-1 “Summary of Models Used to Evaluate SDG&amp;E’s Initiatives”</w:t>
            </w:r>
            <w:r w:rsidRPr="00C468E4" w:rsidR="006D34F0">
              <w:t xml:space="preserve"> </w:t>
            </w:r>
            <w:r w:rsidR="00C230C5">
              <w:br/>
            </w:r>
            <w:r w:rsidRPr="00C468E4" w:rsidR="006D34F0">
              <w:t>p. 160-175</w:t>
            </w:r>
            <w:r w:rsidRPr="00C468E4" w:rsidR="00904C37">
              <w:t>)</w:t>
            </w:r>
            <w:r w:rsidRPr="00C468E4" w:rsidR="00963BC3">
              <w:t xml:space="preserve">; also </w:t>
            </w:r>
            <w:r w:rsidRPr="00C468E4" w:rsidR="006B551B">
              <w:t xml:space="preserve">Table 7.1 </w:t>
            </w:r>
            <w:r w:rsidRPr="00C468E4" w:rsidR="009A44C1">
              <w:t>“</w:t>
            </w:r>
            <w:r w:rsidRPr="00C468E4" w:rsidR="006B551B">
              <w:t>Key recent and projected drivers of risk events</w:t>
            </w:r>
            <w:r w:rsidRPr="00C468E4" w:rsidR="009A44C1">
              <w:t>”</w:t>
            </w:r>
          </w:p>
        </w:tc>
      </w:tr>
      <w:tr w:rsidRPr="00C468E4" w:rsidR="000A5AC3" w:rsidTr="000012B6" w14:paraId="4E15F525" w14:textId="77777777">
        <w:tc>
          <w:tcPr>
            <w:tcW w:w="4315" w:type="dxa"/>
          </w:tcPr>
          <w:p w:rsidRPr="00C468E4" w:rsidR="000A5AC3" w:rsidP="006335BC" w:rsidRDefault="00072426" w14:paraId="58D668BC" w14:textId="0FB8E73B">
            <w:pPr>
              <w:pStyle w:val="Standard"/>
            </w:pPr>
            <w:r w:rsidRPr="00C468E4">
              <w:t xml:space="preserve">12. A description of how the </w:t>
            </w:r>
            <w:r w:rsidRPr="00C468E4" w:rsidR="00822A5F">
              <w:t xml:space="preserve">WMP </w:t>
            </w:r>
            <w:r w:rsidRPr="00C468E4">
              <w:t xml:space="preserve">accounts for the wildfire risk identified in the electrical corporation's </w:t>
            </w:r>
            <w:r w:rsidRPr="00C468E4" w:rsidR="00822A5F">
              <w:t>RAMP</w:t>
            </w:r>
            <w:r w:rsidRPr="00C468E4">
              <w:t xml:space="preserve"> filing</w:t>
            </w:r>
          </w:p>
        </w:tc>
        <w:tc>
          <w:tcPr>
            <w:tcW w:w="2700" w:type="dxa"/>
          </w:tcPr>
          <w:p w:rsidRPr="00C468E4" w:rsidR="000A5AC3" w:rsidP="006335BC" w:rsidRDefault="00E147BE" w14:paraId="347CE178" w14:textId="3275D097">
            <w:pPr>
              <w:pStyle w:val="Standard"/>
            </w:pPr>
            <w:r w:rsidRPr="00C468E4">
              <w:t>Met fully</w:t>
            </w:r>
          </w:p>
        </w:tc>
        <w:tc>
          <w:tcPr>
            <w:tcW w:w="2335" w:type="dxa"/>
          </w:tcPr>
          <w:p w:rsidRPr="00C468E4" w:rsidR="000A5AC3" w:rsidRDefault="00230FFA" w14:paraId="35E28506" w14:textId="7C3F26C1">
            <w:pPr>
              <w:pStyle w:val="Standard"/>
            </w:pPr>
            <w:r w:rsidRPr="00C468E4">
              <w:t>Section 4.2 “Understanding Major Trends Impacting Ignition Probability and Wildfire Consequence</w:t>
            </w:r>
            <w:r w:rsidRPr="00C468E4" w:rsidR="009061C4">
              <w:t>,</w:t>
            </w:r>
            <w:r w:rsidRPr="00C468E4">
              <w:t>”</w:t>
            </w:r>
            <w:r w:rsidRPr="00C468E4" w:rsidR="009061C4">
              <w:t xml:space="preserve"> pages 22-43;</w:t>
            </w:r>
            <w:r w:rsidRPr="00C468E4">
              <w:t xml:space="preserve"> </w:t>
            </w:r>
            <w:r w:rsidRPr="00C468E4" w:rsidR="009061C4">
              <w:t xml:space="preserve">Section 7.1 </w:t>
            </w:r>
            <w:r w:rsidRPr="00C468E4" w:rsidR="009061C4">
              <w:lastRenderedPageBreak/>
              <w:t>“Wildfire Mitigation</w:t>
            </w:r>
            <w:r w:rsidRPr="00C468E4" w:rsidR="005C3C24">
              <w:t xml:space="preserve"> </w:t>
            </w:r>
            <w:r w:rsidRPr="00C468E4" w:rsidR="009061C4">
              <w:t>Strategy,”</w:t>
            </w:r>
            <w:r w:rsidRPr="00C468E4">
              <w:t xml:space="preserve">pages 138-153 </w:t>
            </w:r>
          </w:p>
        </w:tc>
      </w:tr>
      <w:tr w:rsidRPr="00C468E4" w:rsidR="000A5AC3" w:rsidTr="000012B6" w14:paraId="3A984184" w14:textId="77777777">
        <w:tc>
          <w:tcPr>
            <w:tcW w:w="4315" w:type="dxa"/>
          </w:tcPr>
          <w:p w:rsidRPr="00C468E4" w:rsidR="000A5AC3" w:rsidP="006335BC" w:rsidRDefault="00072426" w14:paraId="3B6A6E99" w14:textId="598A6E0E">
            <w:pPr>
              <w:pStyle w:val="Standard"/>
            </w:pPr>
            <w:r w:rsidRPr="00C468E4">
              <w:lastRenderedPageBreak/>
              <w:t xml:space="preserve">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w:t>
            </w:r>
            <w:r w:rsidRPr="00C468E4" w:rsidR="003B219E">
              <w:t>insulating of distribution wires, and replacing poles</w:t>
            </w:r>
          </w:p>
        </w:tc>
        <w:tc>
          <w:tcPr>
            <w:tcW w:w="2700" w:type="dxa"/>
          </w:tcPr>
          <w:p w:rsidRPr="00C468E4" w:rsidR="000A5AC3" w:rsidP="006335BC" w:rsidRDefault="00E147BE" w14:paraId="7D21BB78" w14:textId="6CD00F0A">
            <w:pPr>
              <w:pStyle w:val="Standard"/>
            </w:pPr>
            <w:r w:rsidRPr="00C468E4">
              <w:t>Met fully</w:t>
            </w:r>
          </w:p>
        </w:tc>
        <w:tc>
          <w:tcPr>
            <w:tcW w:w="2335" w:type="dxa"/>
          </w:tcPr>
          <w:p w:rsidRPr="00C468E4" w:rsidR="000A5AC3" w:rsidP="006335BC" w:rsidRDefault="00AD44B0" w14:paraId="1221ED46" w14:textId="246BD8B8">
            <w:pPr>
              <w:pStyle w:val="Standard"/>
            </w:pPr>
            <w:r w:rsidRPr="00C468E4">
              <w:t xml:space="preserve">Section 5.2, pages 110-114 </w:t>
            </w:r>
          </w:p>
        </w:tc>
      </w:tr>
      <w:tr w:rsidRPr="00C468E4" w:rsidR="00072426" w:rsidTr="000012B6" w14:paraId="71516020" w14:textId="77777777">
        <w:tc>
          <w:tcPr>
            <w:tcW w:w="4315" w:type="dxa"/>
          </w:tcPr>
          <w:p w:rsidRPr="00C468E4" w:rsidR="00072426" w:rsidP="006335BC" w:rsidRDefault="00072426" w14:paraId="7FAB549C" w14:textId="2EACF4EA">
            <w:pPr>
              <w:pStyle w:val="Standard"/>
            </w:pPr>
            <w:r w:rsidRPr="00C468E4">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C468E4" w:rsidR="00072426" w:rsidP="006335BC" w:rsidRDefault="007A2D57" w14:paraId="6AD9DFC7" w14:textId="134C2779">
            <w:pPr>
              <w:pStyle w:val="Standard"/>
            </w:pPr>
            <w:r w:rsidRPr="00C468E4">
              <w:t>Met fully</w:t>
            </w:r>
          </w:p>
        </w:tc>
        <w:tc>
          <w:tcPr>
            <w:tcW w:w="2335" w:type="dxa"/>
          </w:tcPr>
          <w:p w:rsidRPr="00C468E4" w:rsidR="00072426" w:rsidP="006335BC" w:rsidRDefault="00C5580A" w14:paraId="436ABFEB" w14:textId="61A475B8">
            <w:pPr>
              <w:pStyle w:val="Standard"/>
            </w:pPr>
            <w:r w:rsidRPr="00C468E4">
              <w:t>Section 7.3.3.16, pages 215-217</w:t>
            </w:r>
            <w:r w:rsidRPr="00C468E4" w:rsidR="00746321">
              <w:t xml:space="preserve"> (in particular</w:t>
            </w:r>
            <w:r w:rsidRPr="00C468E4" w:rsidR="0008644B">
              <w:t xml:space="preserve"> “Progress on initiative</w:t>
            </w:r>
            <w:r w:rsidRPr="00C468E4" w:rsidR="00746321">
              <w:t>,</w:t>
            </w:r>
            <w:r w:rsidRPr="00C468E4" w:rsidR="0008644B">
              <w:t>”</w:t>
            </w:r>
            <w:r w:rsidRPr="00C468E4" w:rsidR="00746321">
              <w:t xml:space="preserve"> p. 217)</w:t>
            </w:r>
          </w:p>
        </w:tc>
      </w:tr>
      <w:tr w:rsidRPr="00C468E4" w:rsidR="000A5AC3" w:rsidTr="000012B6" w14:paraId="4709A3A6" w14:textId="77777777">
        <w:tc>
          <w:tcPr>
            <w:tcW w:w="4315" w:type="dxa"/>
          </w:tcPr>
          <w:p w:rsidRPr="00C468E4" w:rsidR="00CD3A26" w:rsidP="00B95640" w:rsidRDefault="00072426" w14:paraId="7E16296F" w14:textId="7C9010AB">
            <w:pPr>
              <w:pStyle w:val="Standard"/>
            </w:pPr>
            <w:r w:rsidRPr="00C468E4">
              <w:t xml:space="preserve">15. A showing that the </w:t>
            </w:r>
            <w:r w:rsidRPr="00C468E4" w:rsidR="00993728">
              <w:t xml:space="preserve">electrical corporation </w:t>
            </w:r>
            <w:r w:rsidRPr="00C468E4">
              <w:t>has an adequate</w:t>
            </w:r>
            <w:r w:rsidRPr="00C468E4" w:rsidR="00993728">
              <w:t>ly</w:t>
            </w:r>
            <w:r w:rsidRPr="00C468E4">
              <w:t xml:space="preserve"> sized and trained workforce to promptly restore service after a major event, taking into account employees of other utilities pursuant to mutual aid agreements and employees of entities that have entered into contracts with the </w:t>
            </w:r>
            <w:r w:rsidRPr="00C468E4" w:rsidR="005435BB">
              <w:t>electrical corporation</w:t>
            </w:r>
          </w:p>
        </w:tc>
        <w:tc>
          <w:tcPr>
            <w:tcW w:w="2700" w:type="dxa"/>
          </w:tcPr>
          <w:p w:rsidRPr="00C468E4" w:rsidR="000A5AC3" w:rsidP="006335BC" w:rsidRDefault="00B86810" w14:paraId="33408847" w14:textId="42940145">
            <w:pPr>
              <w:pStyle w:val="Standard"/>
            </w:pPr>
            <w:r w:rsidRPr="00C468E4">
              <w:t>Met but areas for improvement identified</w:t>
            </w:r>
          </w:p>
        </w:tc>
        <w:tc>
          <w:tcPr>
            <w:tcW w:w="2335" w:type="dxa"/>
          </w:tcPr>
          <w:p w:rsidRPr="00C468E4" w:rsidR="000A5AC3" w:rsidP="006335BC" w:rsidRDefault="00B171C4" w14:paraId="4DB8D67F" w14:textId="7DABF333">
            <w:pPr>
              <w:pStyle w:val="Standard"/>
            </w:pPr>
            <w:r w:rsidRPr="00C468E4">
              <w:t xml:space="preserve">A description of the training of the service restoration workforce can be found in Section 7.3.9.1, pages </w:t>
            </w:r>
            <w:r w:rsidR="00C230C5">
              <w:br/>
            </w:r>
            <w:r w:rsidRPr="00C468E4">
              <w:t>313-315 and</w:t>
            </w:r>
            <w:r w:rsidRPr="00C468E4" w:rsidR="00AC7642">
              <w:t xml:space="preserve"> Section 7.3.9.5,</w:t>
            </w:r>
            <w:r w:rsidRPr="00C468E4">
              <w:t xml:space="preserve"> pages 326-328 </w:t>
            </w:r>
          </w:p>
        </w:tc>
      </w:tr>
      <w:tr w:rsidRPr="00C468E4" w:rsidR="000A5AC3" w:rsidTr="000012B6" w14:paraId="2F96B8E2" w14:textId="77777777">
        <w:tc>
          <w:tcPr>
            <w:tcW w:w="4315" w:type="dxa"/>
          </w:tcPr>
          <w:p w:rsidRPr="00C468E4" w:rsidR="000A5AC3" w:rsidP="006335BC" w:rsidRDefault="00072426" w14:paraId="57D7E527" w14:textId="04124FFA">
            <w:pPr>
              <w:pStyle w:val="Standard"/>
            </w:pPr>
            <w:r w:rsidRPr="00C468E4">
              <w:lastRenderedPageBreak/>
              <w:t xml:space="preserve">16. Identification of any geographic area in the electrical corporation's service territory that is a higher wildfire threat than is currently identified in a </w:t>
            </w:r>
            <w:r w:rsidRPr="00C468E4" w:rsidR="00D0351F">
              <w:t>C</w:t>
            </w:r>
            <w:r w:rsidRPr="00C468E4">
              <w:t xml:space="preserve">ommission fire threat map, and where the </w:t>
            </w:r>
            <w:r w:rsidRPr="00C468E4" w:rsidR="00D0351F">
              <w:t>C</w:t>
            </w:r>
            <w:r w:rsidRPr="00C468E4">
              <w:t>ommission should consider expanding the high fire threat district based on new information or changes in the environment</w:t>
            </w:r>
          </w:p>
        </w:tc>
        <w:tc>
          <w:tcPr>
            <w:tcW w:w="2700" w:type="dxa"/>
          </w:tcPr>
          <w:p w:rsidRPr="00C468E4" w:rsidR="000A5AC3" w:rsidP="006335BC" w:rsidRDefault="007A2D57" w14:paraId="107EFECF" w14:textId="6B931530">
            <w:pPr>
              <w:pStyle w:val="Standard"/>
            </w:pPr>
            <w:r w:rsidRPr="00C468E4">
              <w:t>Met fully</w:t>
            </w:r>
          </w:p>
        </w:tc>
        <w:tc>
          <w:tcPr>
            <w:tcW w:w="2335" w:type="dxa"/>
          </w:tcPr>
          <w:p w:rsidRPr="00C468E4" w:rsidR="000A5AC3" w:rsidP="006335BC" w:rsidRDefault="0094325C" w14:paraId="7302056A" w14:textId="339DD77B">
            <w:pPr>
              <w:pStyle w:val="Standard"/>
            </w:pPr>
            <w:r w:rsidRPr="00C468E4">
              <w:t>Section 4.2.1 “Service Territory Fire</w:t>
            </w:r>
            <w:r w:rsidRPr="00C468E4">
              <w:rPr>
                <w:rFonts w:ascii="Times New Roman" w:hAnsi="Times New Roman" w:cs="Times New Roman"/>
              </w:rPr>
              <w:t>‐</w:t>
            </w:r>
            <w:r w:rsidRPr="00C468E4">
              <w:t>Threat Evaluation and Ignition Risk Trends,” p. 41</w:t>
            </w:r>
          </w:p>
        </w:tc>
      </w:tr>
      <w:tr w:rsidRPr="00C468E4" w:rsidR="000A5AC3" w:rsidTr="000012B6" w14:paraId="7EFBB12D" w14:textId="77777777">
        <w:tc>
          <w:tcPr>
            <w:tcW w:w="4315" w:type="dxa"/>
          </w:tcPr>
          <w:p w:rsidRPr="00C468E4" w:rsidR="000A5AC3" w:rsidP="006335BC" w:rsidRDefault="00072426" w14:paraId="47C54CBF" w14:textId="18122955">
            <w:pPr>
              <w:pStyle w:val="Standard"/>
            </w:pPr>
            <w:r w:rsidRPr="00C468E4">
              <w:t xml:space="preserve">17. A methodology for identifying and presenting enterprise-wide safety risk and wildfire-related risk that is consistent with the methodology used by other electrical corporations unless the </w:t>
            </w:r>
            <w:r w:rsidRPr="00C468E4" w:rsidR="00165268">
              <w:t>C</w:t>
            </w:r>
            <w:r w:rsidRPr="00C468E4">
              <w:t>ommission determines otherwise</w:t>
            </w:r>
          </w:p>
        </w:tc>
        <w:tc>
          <w:tcPr>
            <w:tcW w:w="2700" w:type="dxa"/>
          </w:tcPr>
          <w:p w:rsidRPr="00C468E4" w:rsidR="000A5AC3" w:rsidP="006335BC" w:rsidRDefault="007A2D57" w14:paraId="771E050A" w14:textId="04A0B02D">
            <w:pPr>
              <w:pStyle w:val="Standard"/>
            </w:pPr>
            <w:r w:rsidRPr="00C468E4">
              <w:t>Met fully</w:t>
            </w:r>
          </w:p>
        </w:tc>
        <w:tc>
          <w:tcPr>
            <w:tcW w:w="2335" w:type="dxa"/>
          </w:tcPr>
          <w:p w:rsidRPr="00C468E4" w:rsidR="000A5AC3" w:rsidP="006335BC" w:rsidRDefault="004E42B4" w14:paraId="55B43FAD" w14:textId="4ED43F8C">
            <w:pPr>
              <w:pStyle w:val="Standard"/>
            </w:pPr>
            <w:r w:rsidRPr="00C468E4">
              <w:t>Section 4.2A, pages 22-24</w:t>
            </w:r>
          </w:p>
        </w:tc>
      </w:tr>
      <w:tr w:rsidRPr="00C468E4" w:rsidR="000A5AC3" w:rsidTr="000012B6" w14:paraId="0E709C38" w14:textId="77777777">
        <w:tc>
          <w:tcPr>
            <w:tcW w:w="4315" w:type="dxa"/>
          </w:tcPr>
          <w:p w:rsidRPr="00C468E4" w:rsidR="00072426" w:rsidP="00072426" w:rsidRDefault="00072426" w14:paraId="2BAD62DF" w14:textId="5D4342E4">
            <w:pPr>
              <w:pStyle w:val="Standard"/>
            </w:pPr>
            <w:r w:rsidRPr="00C468E4">
              <w:t>18. A description of how the plan is consistent with the electrical corporation's disaster and emergency preparedness plan prepared pursuant to Section 768.6, including both of the following:</w:t>
            </w:r>
          </w:p>
          <w:p w:rsidRPr="00C468E4" w:rsidR="00072426" w:rsidP="00072426" w:rsidRDefault="00072426" w14:paraId="4170DB4F" w14:textId="0BC86BD6">
            <w:pPr>
              <w:pStyle w:val="Standard"/>
            </w:pPr>
            <w:r w:rsidRPr="00C468E4">
              <w:t>(A) Plans to prepare for, and to restore service after, a wildfire, including workforce mobilization and prepositioning equipment and employees</w:t>
            </w:r>
          </w:p>
          <w:p w:rsidRPr="00C468E4" w:rsidR="000A5AC3" w:rsidP="00072426" w:rsidRDefault="00072426" w14:paraId="18C909AE" w14:textId="22DDAEEF">
            <w:pPr>
              <w:pStyle w:val="Standard"/>
            </w:pPr>
            <w:r w:rsidRPr="00C468E4">
              <w:t xml:space="preserve">(B) Plans for community outreach and public awareness before, during, and after a wildfire, including language notification in English, Spanish, and the top three primary languages used in the state other than English or Spanish, as determined by the </w:t>
            </w:r>
            <w:r w:rsidRPr="00C468E4" w:rsidR="00845776">
              <w:t>C</w:t>
            </w:r>
            <w:r w:rsidRPr="00C468E4">
              <w:t xml:space="preserve">ommission </w:t>
            </w:r>
            <w:r w:rsidRPr="00C468E4">
              <w:lastRenderedPageBreak/>
              <w:t>based on the United States Census data.</w:t>
            </w:r>
          </w:p>
        </w:tc>
        <w:tc>
          <w:tcPr>
            <w:tcW w:w="2700" w:type="dxa"/>
          </w:tcPr>
          <w:p w:rsidRPr="00C468E4" w:rsidR="000A5AC3" w:rsidP="006335BC" w:rsidRDefault="007A2D57" w14:paraId="73851546" w14:textId="23936AD1">
            <w:pPr>
              <w:pStyle w:val="Standard"/>
            </w:pPr>
            <w:r w:rsidRPr="00C468E4">
              <w:lastRenderedPageBreak/>
              <w:t>Met fully</w:t>
            </w:r>
          </w:p>
        </w:tc>
        <w:tc>
          <w:tcPr>
            <w:tcW w:w="2335" w:type="dxa"/>
          </w:tcPr>
          <w:p w:rsidRPr="00C468E4" w:rsidR="000A5AC3" w:rsidP="006335BC" w:rsidRDefault="00FA6738" w14:paraId="538E200E" w14:textId="505D3C9D">
            <w:pPr>
              <w:pStyle w:val="Standard"/>
            </w:pPr>
            <w:r w:rsidRPr="00C468E4">
              <w:t xml:space="preserve">Section 7.3.9.4, pages 325-326 </w:t>
            </w:r>
          </w:p>
        </w:tc>
      </w:tr>
      <w:tr w:rsidRPr="00C468E4" w:rsidR="000A5AC3" w:rsidTr="000012B6" w14:paraId="7761EEF0" w14:textId="77777777">
        <w:tc>
          <w:tcPr>
            <w:tcW w:w="4315" w:type="dxa"/>
          </w:tcPr>
          <w:p w:rsidRPr="00C468E4" w:rsidR="000A5AC3" w:rsidP="006335BC" w:rsidRDefault="00072426" w14:paraId="1125CFBC" w14:textId="169229D4">
            <w:pPr>
              <w:pStyle w:val="Standard"/>
            </w:pPr>
            <w:r w:rsidRPr="00C468E4">
              <w:t>19. A statement of how the electrical corporation will restore service after a wildfire.</w:t>
            </w:r>
          </w:p>
        </w:tc>
        <w:tc>
          <w:tcPr>
            <w:tcW w:w="2700" w:type="dxa"/>
          </w:tcPr>
          <w:p w:rsidRPr="00C468E4" w:rsidR="000A5AC3" w:rsidP="006335BC" w:rsidRDefault="007A2D57" w14:paraId="729F2C65" w14:textId="69759DCE">
            <w:pPr>
              <w:pStyle w:val="Standard"/>
            </w:pPr>
            <w:r w:rsidRPr="00C468E4">
              <w:t>Met fully</w:t>
            </w:r>
          </w:p>
        </w:tc>
        <w:tc>
          <w:tcPr>
            <w:tcW w:w="2335" w:type="dxa"/>
          </w:tcPr>
          <w:p w:rsidRPr="00C468E4" w:rsidR="000A5AC3" w:rsidP="006335BC" w:rsidRDefault="00AA2942" w14:paraId="5F771B5F" w14:textId="5F75A1CA">
            <w:pPr>
              <w:pStyle w:val="Standard"/>
            </w:pPr>
            <w:r w:rsidRPr="00C468E4">
              <w:t>Section 8.2</w:t>
            </w:r>
            <w:r w:rsidRPr="00C468E4" w:rsidR="009900BC">
              <w:t xml:space="preserve"> “Protocols on Public Safety Power Shutoff,”  page 364; </w:t>
            </w:r>
            <w:r w:rsidRPr="00C468E4" w:rsidR="004E3039">
              <w:t xml:space="preserve">mutual </w:t>
            </w:r>
            <w:r w:rsidRPr="00C468E4" w:rsidR="00E43774">
              <w:t>assistance program</w:t>
            </w:r>
            <w:r w:rsidRPr="00C468E4" w:rsidR="004E3039">
              <w:t xml:space="preserve"> description</w:t>
            </w:r>
            <w:r w:rsidRPr="00C468E4" w:rsidR="008214A6">
              <w:t xml:space="preserve"> </w:t>
            </w:r>
            <w:r w:rsidRPr="00C468E4" w:rsidR="005636BB">
              <w:t>in Section 7.3.9.5 “Preparedness and planning for service restoration,” pages</w:t>
            </w:r>
            <w:r w:rsidRPr="00C468E4" w:rsidR="006506F2">
              <w:t xml:space="preserve"> 326-328</w:t>
            </w:r>
          </w:p>
        </w:tc>
      </w:tr>
      <w:tr w:rsidRPr="00C468E4" w:rsidR="000A5AC3" w:rsidTr="000012B6" w14:paraId="6FC05D30" w14:textId="77777777">
        <w:tc>
          <w:tcPr>
            <w:tcW w:w="4315" w:type="dxa"/>
          </w:tcPr>
          <w:p w:rsidRPr="00C468E4" w:rsidR="000A5AC3" w:rsidP="006335BC" w:rsidRDefault="00072426" w14:paraId="03186ED1" w14:textId="0F34FB36">
            <w:pPr>
              <w:pStyle w:val="Standard"/>
            </w:pPr>
            <w:r w:rsidRPr="00C468E4">
              <w:t xml:space="preserve">20. Protocols for compliance with requirements adopted by the </w:t>
            </w:r>
            <w:r w:rsidRPr="00C468E4" w:rsidR="00267560">
              <w:t>C</w:t>
            </w:r>
            <w:r w:rsidRPr="00C468E4">
              <w:t>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C468E4" w:rsidR="000A5AC3" w:rsidP="006335BC" w:rsidRDefault="007A2D57" w14:paraId="5B6004B1" w14:textId="6033C56B">
            <w:pPr>
              <w:pStyle w:val="Standard"/>
            </w:pPr>
            <w:r w:rsidRPr="00C468E4">
              <w:t>Met fully</w:t>
            </w:r>
          </w:p>
        </w:tc>
        <w:tc>
          <w:tcPr>
            <w:tcW w:w="2335" w:type="dxa"/>
          </w:tcPr>
          <w:p w:rsidRPr="00C468E4" w:rsidR="000A5AC3" w:rsidP="006335BC" w:rsidRDefault="00C03A49" w14:paraId="0DA0E00F" w14:textId="1B5E1501">
            <w:pPr>
              <w:pStyle w:val="Standard"/>
            </w:pPr>
            <w:r w:rsidRPr="00C468E4">
              <w:t>Section 7.3.9.3</w:t>
            </w:r>
            <w:r w:rsidRPr="00C468E4" w:rsidR="00D663D2">
              <w:t xml:space="preserve">, pages </w:t>
            </w:r>
            <w:r w:rsidRPr="00C468E4" w:rsidR="00DA6446">
              <w:t>320-325</w:t>
            </w:r>
          </w:p>
        </w:tc>
      </w:tr>
      <w:tr w:rsidRPr="00C468E4" w:rsidR="000A5AC3" w:rsidTr="000012B6" w14:paraId="442F08A1" w14:textId="77777777">
        <w:tc>
          <w:tcPr>
            <w:tcW w:w="4315" w:type="dxa"/>
          </w:tcPr>
          <w:p w:rsidRPr="00C468E4" w:rsidR="00072426" w:rsidP="00072426" w:rsidRDefault="00072426" w14:paraId="30175A83" w14:textId="0C9DCF60">
            <w:pPr>
              <w:pStyle w:val="Standard"/>
            </w:pPr>
            <w:r w:rsidRPr="00C468E4">
              <w:t>21. A description of the processes and procedures the electrical corporation will use to do all of the following:</w:t>
            </w:r>
          </w:p>
          <w:p w:rsidRPr="00C468E4" w:rsidR="00072426" w:rsidP="00072426" w:rsidRDefault="00072426" w14:paraId="6C7B1792" w14:textId="7E95FDB0">
            <w:pPr>
              <w:pStyle w:val="Standard"/>
            </w:pPr>
            <w:r w:rsidRPr="00C468E4">
              <w:t>(A) Monitor and audit the implementation of the plan</w:t>
            </w:r>
          </w:p>
          <w:p w:rsidRPr="00C468E4" w:rsidR="00072426" w:rsidP="00072426" w:rsidRDefault="00072426" w14:paraId="5A210456" w14:textId="5B32362E">
            <w:pPr>
              <w:pStyle w:val="Standard"/>
            </w:pPr>
            <w:r w:rsidRPr="00C468E4">
              <w:lastRenderedPageBreak/>
              <w:t>(B) Identify any deficiencies in the plan or the plan's implementation and correct those deficiencies</w:t>
            </w:r>
          </w:p>
          <w:p w:rsidRPr="00C468E4" w:rsidR="000A5AC3" w:rsidP="00072426" w:rsidRDefault="00072426" w14:paraId="41C3EE0D" w14:textId="5A9AA78B">
            <w:pPr>
              <w:pStyle w:val="Standard"/>
            </w:pPr>
            <w:r w:rsidRPr="00C468E4">
              <w:t>(C) Monitor and audit the effectiveness of electrical line and equipment inspections, including inspections performed by contractors</w:t>
            </w:r>
            <w:r w:rsidRPr="00C468E4" w:rsidR="006F7916">
              <w:t>,</w:t>
            </w:r>
            <w:r w:rsidRPr="00C468E4">
              <w:t xml:space="preserve"> carried out under the plan and other applicable statutes and commission rules</w:t>
            </w:r>
          </w:p>
        </w:tc>
        <w:tc>
          <w:tcPr>
            <w:tcW w:w="2700" w:type="dxa"/>
          </w:tcPr>
          <w:p w:rsidRPr="00C468E4" w:rsidR="000A5AC3" w:rsidP="006335BC" w:rsidRDefault="007A2D57" w14:paraId="14904D0E" w14:textId="3D29950E">
            <w:pPr>
              <w:pStyle w:val="Standard"/>
            </w:pPr>
            <w:r w:rsidRPr="00C468E4">
              <w:lastRenderedPageBreak/>
              <w:t>Met fully</w:t>
            </w:r>
          </w:p>
        </w:tc>
        <w:tc>
          <w:tcPr>
            <w:tcW w:w="2335" w:type="dxa"/>
          </w:tcPr>
          <w:p w:rsidRPr="00C468E4" w:rsidR="000A5AC3" w:rsidP="006335BC" w:rsidRDefault="00303ACE" w14:paraId="7EE8CDE0" w14:textId="6FBCC309">
            <w:pPr>
              <w:pStyle w:val="Standard"/>
            </w:pPr>
            <w:r w:rsidRPr="00C468E4">
              <w:t>Section 7.2 Part A</w:t>
            </w:r>
            <w:r w:rsidRPr="00C468E4" w:rsidR="006814C0">
              <w:t>,</w:t>
            </w:r>
            <w:r w:rsidRPr="00C468E4">
              <w:t xml:space="preserve"> pages 154-155</w:t>
            </w:r>
            <w:r w:rsidRPr="00C468E4" w:rsidR="00F85F7A">
              <w:t>;</w:t>
            </w:r>
            <w:r w:rsidRPr="00C468E4">
              <w:t xml:space="preserve"> </w:t>
            </w:r>
            <w:r w:rsidRPr="00C468E4" w:rsidR="006814C0">
              <w:t>Section 7.2 Part B</w:t>
            </w:r>
            <w:r w:rsidRPr="00C468E4">
              <w:t>, page 155</w:t>
            </w:r>
            <w:r w:rsidRPr="00C468E4" w:rsidR="00F85F7A">
              <w:t>; Section 7.3.4.13,</w:t>
            </w:r>
            <w:r w:rsidRPr="00C468E4">
              <w:t xml:space="preserve"> pages 260-261</w:t>
            </w:r>
            <w:r w:rsidRPr="00C468E4" w:rsidR="00F85F7A">
              <w:t>;</w:t>
            </w:r>
            <w:r w:rsidRPr="00C468E4">
              <w:t xml:space="preserve"> </w:t>
            </w:r>
            <w:r w:rsidRPr="00C468E4" w:rsidR="00F85F7A">
              <w:t xml:space="preserve">Section </w:t>
            </w:r>
            <w:r w:rsidRPr="00C468E4" w:rsidR="00F85F7A">
              <w:lastRenderedPageBreak/>
              <w:t>7.3.5.13,</w:t>
            </w:r>
            <w:r w:rsidRPr="00C468E4">
              <w:t xml:space="preserve"> pages 279-280 </w:t>
            </w:r>
          </w:p>
        </w:tc>
      </w:tr>
      <w:tr w:rsidRPr="00C468E4" w:rsidR="00072426" w:rsidTr="000012B6" w14:paraId="4F75761E" w14:textId="77777777">
        <w:tc>
          <w:tcPr>
            <w:tcW w:w="4315" w:type="dxa"/>
          </w:tcPr>
          <w:p w:rsidRPr="00C468E4" w:rsidR="00072426" w:rsidP="006335BC" w:rsidRDefault="00072426" w14:paraId="7A7F730A" w14:textId="5FF34923">
            <w:pPr>
              <w:pStyle w:val="Standard"/>
            </w:pPr>
            <w:r w:rsidRPr="00C468E4">
              <w:lastRenderedPageBreak/>
              <w:t xml:space="preserve">22. Any other information that the </w:t>
            </w:r>
            <w:r w:rsidRPr="00C468E4" w:rsidR="001717B5">
              <w:t xml:space="preserve">Wildfire Safety Division </w:t>
            </w:r>
            <w:r w:rsidRPr="00C468E4">
              <w:t>may require</w:t>
            </w:r>
          </w:p>
        </w:tc>
        <w:tc>
          <w:tcPr>
            <w:tcW w:w="2700" w:type="dxa"/>
          </w:tcPr>
          <w:p w:rsidRPr="00C468E4" w:rsidR="00072426" w:rsidP="006335BC" w:rsidRDefault="00363AEC" w14:paraId="066D50E1" w14:textId="1F200693">
            <w:pPr>
              <w:pStyle w:val="Standard"/>
            </w:pPr>
            <w:r w:rsidRPr="00C468E4">
              <w:t>Met fully</w:t>
            </w:r>
          </w:p>
        </w:tc>
        <w:tc>
          <w:tcPr>
            <w:tcW w:w="2335" w:type="dxa"/>
          </w:tcPr>
          <w:p w:rsidRPr="00C468E4" w:rsidR="00072426" w:rsidP="006335BC" w:rsidRDefault="00910131" w14:paraId="2AC48029" w14:textId="364F1A72">
            <w:pPr>
              <w:pStyle w:val="Standard"/>
            </w:pPr>
            <w:r w:rsidRPr="00C468E4">
              <w:t>Via various phone calls and written data requests</w:t>
            </w:r>
            <w:r w:rsidRPr="00C468E4" w:rsidR="00322A73">
              <w:t xml:space="preserve"> (February </w:t>
            </w:r>
            <w:r w:rsidRPr="00C468E4" w:rsidR="007D161D">
              <w:t>9 through April 1, 2021)</w:t>
            </w:r>
          </w:p>
        </w:tc>
      </w:tr>
    </w:tbl>
    <w:p w:rsidRPr="00C468E4" w:rsidR="000A5AC3" w:rsidP="006335BC" w:rsidRDefault="000A5AC3" w14:paraId="4DF2B837" w14:textId="22ABB873">
      <w:pPr>
        <w:pStyle w:val="Standard"/>
      </w:pPr>
    </w:p>
    <w:p w:rsidRPr="00C468E4" w:rsidR="00050B84" w:rsidP="006335BC" w:rsidRDefault="00050B84" w14:paraId="30CFD185" w14:textId="2B03938A">
      <w:pPr>
        <w:pStyle w:val="Standard"/>
        <w:rPr>
          <w:b/>
        </w:rPr>
      </w:pPr>
      <w:r w:rsidRPr="00C468E4">
        <w:rPr>
          <w:b/>
        </w:rPr>
        <w:t>6.2</w:t>
      </w:r>
      <w:r w:rsidR="00556DBF">
        <w:rPr>
          <w:b/>
        </w:rPr>
        <w:t>.</w:t>
      </w:r>
      <w:r w:rsidRPr="00C468E4">
        <w:rPr>
          <w:b/>
        </w:rPr>
        <w:t xml:space="preserve"> Areas of Significant Progress</w:t>
      </w:r>
    </w:p>
    <w:p w:rsidRPr="00C468E4" w:rsidR="00050B84" w:rsidP="006335BC" w:rsidRDefault="00050B84" w14:paraId="4857ED3C" w14:textId="14413C73">
      <w:pPr>
        <w:pStyle w:val="Standard"/>
        <w:rPr>
          <w:color w:val="FF0000"/>
        </w:rPr>
      </w:pPr>
      <w:r w:rsidRPr="00C468E4">
        <w:t xml:space="preserve">In the attached Action Statement, the WSD highlights areas of significant progress over the past year and areas where the electrical corporation has matured its mitigation strategies. </w:t>
      </w:r>
      <w:r w:rsidRPr="00C468E4" w:rsidR="00AB30C3">
        <w:t>Examples</w:t>
      </w:r>
      <w:r w:rsidRPr="00C468E4">
        <w:t xml:space="preserve"> of </w:t>
      </w:r>
      <w:r w:rsidRPr="00C468E4" w:rsidR="00F44F9B">
        <w:t>SDG&amp;E’s</w:t>
      </w:r>
      <w:r w:rsidRPr="00C468E4">
        <w:rPr>
          <w:color w:val="FF0000"/>
        </w:rPr>
        <w:t xml:space="preserve"> </w:t>
      </w:r>
      <w:r w:rsidRPr="00C468E4">
        <w:t xml:space="preserve">progress </w:t>
      </w:r>
      <w:r w:rsidRPr="00C468E4" w:rsidR="00006CBD">
        <w:t>are</w:t>
      </w:r>
      <w:r w:rsidRPr="00C468E4">
        <w:t xml:space="preserve"> set forth below. The Commission has reviewed</w:t>
      </w:r>
      <w:r w:rsidRPr="00C468E4" w:rsidR="00EF7288">
        <w:t xml:space="preserve"> the WSD’s evaluation of</w:t>
      </w:r>
      <w:r w:rsidRPr="00C468E4">
        <w:t xml:space="preserve"> </w:t>
      </w:r>
      <w:r w:rsidRPr="00C468E4" w:rsidR="003419CB">
        <w:t>SDG&amp;E’s</w:t>
      </w:r>
      <w:r w:rsidRPr="00C468E4">
        <w:rPr>
          <w:color w:val="FF0000"/>
        </w:rPr>
        <w:t xml:space="preserve"> </w:t>
      </w:r>
      <w:r w:rsidRPr="00C468E4">
        <w:t>progress over the past year and</w:t>
      </w:r>
      <w:r w:rsidRPr="00C468E4" w:rsidR="00A232C8">
        <w:t xml:space="preserve"> ratifies the WSD’s findings</w:t>
      </w:r>
      <w:r w:rsidRPr="00C468E4">
        <w:t xml:space="preserve"> that</w:t>
      </w:r>
      <w:r w:rsidRPr="00C468E4" w:rsidR="00973DCA">
        <w:t xml:space="preserve"> SDG&amp;E’s</w:t>
      </w:r>
      <w:r w:rsidRPr="00C468E4">
        <w:rPr>
          <w:color w:val="FF0000"/>
        </w:rPr>
        <w:t xml:space="preserve"> </w:t>
      </w:r>
      <w:r w:rsidRPr="00C468E4">
        <w:t xml:space="preserve">progress is sufficient to warrant </w:t>
      </w:r>
      <w:r w:rsidRPr="00C468E4" w:rsidR="00CF0CB8">
        <w:t>approval</w:t>
      </w:r>
      <w:r w:rsidRPr="00C468E4">
        <w:t>.</w:t>
      </w:r>
    </w:p>
    <w:p w:rsidRPr="00C468E4" w:rsidR="007B4C72" w:rsidP="007B4C72" w:rsidRDefault="007B4C72" w14:paraId="0B19CD47" w14:textId="77777777">
      <w:pPr>
        <w:pStyle w:val="Standard"/>
        <w:numPr>
          <w:ilvl w:val="0"/>
          <w:numId w:val="39"/>
        </w:numPr>
      </w:pPr>
      <w:r w:rsidRPr="00C468E4">
        <w:t>Overall, SDG&amp;E is evaluating the appropriate wildfire mitigation initiatives and demonstrating innovative approaches to reducing wildfire risk.</w:t>
      </w:r>
    </w:p>
    <w:p w:rsidRPr="00C468E4" w:rsidR="007B4C72" w:rsidP="007B4C72" w:rsidRDefault="007B4C72" w14:paraId="77E4D643" w14:textId="77777777">
      <w:pPr>
        <w:pStyle w:val="Standard"/>
        <w:numPr>
          <w:ilvl w:val="0"/>
          <w:numId w:val="39"/>
        </w:numPr>
      </w:pPr>
      <w:r w:rsidRPr="00C468E4">
        <w:t>SDG&amp;E recognizes PSPS as a risk and is refining how it is integrated into its overall risk assessment.</w:t>
      </w:r>
    </w:p>
    <w:p w:rsidRPr="00C468E4" w:rsidR="007B4C72" w:rsidP="007B4C72" w:rsidRDefault="007B4C72" w14:paraId="20FCAE65" w14:textId="77777777">
      <w:pPr>
        <w:pStyle w:val="Standard"/>
        <w:numPr>
          <w:ilvl w:val="0"/>
          <w:numId w:val="39"/>
        </w:numPr>
      </w:pPr>
      <w:r w:rsidRPr="00C468E4">
        <w:t xml:space="preserve">SDG&amp;E has continued developing its Wildfire Risk Reduction Model (WRRM) and WRRM-Ops model to assess its wildfire risk from a grid asset perspective. The utility has developed a new model, the Wildfire Next Generation System (WiNGS), which provides the additional capability of analyzing circuit segments for risk (wildfire and PSPS), as </w:t>
      </w:r>
      <w:r w:rsidRPr="00C468E4">
        <w:lastRenderedPageBreak/>
        <w:t>well as calculating risk-spend efficiency (RSE) estimates. The utility expects to use WiNGs to help prioritize grid hardening mitigations.</w:t>
      </w:r>
    </w:p>
    <w:p w:rsidRPr="00C468E4" w:rsidR="007B4C72" w:rsidP="007B4C72" w:rsidRDefault="007B4C72" w14:paraId="18BB1B75" w14:textId="77777777">
      <w:pPr>
        <w:pStyle w:val="Standard"/>
        <w:numPr>
          <w:ilvl w:val="0"/>
          <w:numId w:val="39"/>
        </w:numPr>
      </w:pPr>
      <w:r w:rsidRPr="00C468E4">
        <w:t>SDG&amp;E has advanced from traditional hardening to undergrounding and covered conductor in the high fire threat district (HFTD). The utility states that the hardening of a full circuit segment using covered conductor or undergrounding may lead to reducing or eliminating PSPS events in the treated area.</w:t>
      </w:r>
    </w:p>
    <w:p w:rsidRPr="00C468E4" w:rsidR="007B4C72" w:rsidP="00FB4CD8" w:rsidRDefault="007B4C72" w14:paraId="48CD0782" w14:textId="451C20FD">
      <w:pPr>
        <w:pStyle w:val="Standard"/>
        <w:numPr>
          <w:ilvl w:val="0"/>
          <w:numId w:val="39"/>
        </w:numPr>
      </w:pPr>
      <w:r w:rsidRPr="00C468E4">
        <w:t>SDG&amp;E reported twice as many initiative RSE estimates this year. The utility also further developed its risk-quantification methodology and included PSPS impacts in select RSE estimates.</w:t>
      </w:r>
    </w:p>
    <w:p w:rsidRPr="00C468E4" w:rsidR="00172F00" w:rsidP="006335BC" w:rsidRDefault="00050B84" w14:paraId="35DE1714" w14:textId="433FE71B">
      <w:pPr>
        <w:pStyle w:val="Standard"/>
        <w:rPr>
          <w:b/>
        </w:rPr>
      </w:pPr>
      <w:r w:rsidRPr="00C468E4">
        <w:rPr>
          <w:b/>
        </w:rPr>
        <w:t>6.3</w:t>
      </w:r>
      <w:r w:rsidR="00556DBF">
        <w:rPr>
          <w:b/>
        </w:rPr>
        <w:t>.</w:t>
      </w:r>
      <w:r w:rsidRPr="00C468E4">
        <w:rPr>
          <w:b/>
        </w:rPr>
        <w:t xml:space="preserve"> </w:t>
      </w:r>
      <w:r w:rsidRPr="00C468E4" w:rsidR="00172F00">
        <w:rPr>
          <w:b/>
        </w:rPr>
        <w:t>Key Areas for Improvement</w:t>
      </w:r>
      <w:r w:rsidRPr="00C468E4" w:rsidR="00427ADB">
        <w:rPr>
          <w:b/>
        </w:rPr>
        <w:t xml:space="preserve"> and Additional Issues</w:t>
      </w:r>
    </w:p>
    <w:p w:rsidRPr="00C468E4" w:rsidR="00050B84" w:rsidP="006335BC" w:rsidRDefault="00172F00" w14:paraId="391A8134" w14:textId="3547C972">
      <w:pPr>
        <w:pStyle w:val="Standard"/>
      </w:pPr>
      <w:r w:rsidRPr="00C468E4">
        <w:t xml:space="preserve">The WSD reviewed </w:t>
      </w:r>
      <w:r w:rsidRPr="00C468E4" w:rsidR="00EF3E63">
        <w:t>SDG&amp;E’s</w:t>
      </w:r>
      <w:r w:rsidRPr="00C468E4">
        <w:t xml:space="preserve"> 2021 WMP Update across </w:t>
      </w:r>
      <w:r w:rsidRPr="00C468E4" w:rsidR="00A25740">
        <w:t>ten</w:t>
      </w:r>
      <w:r w:rsidRPr="00C468E4">
        <w:t xml:space="preserve"> categories of mitigation initiatives, including: </w:t>
      </w:r>
      <w:r w:rsidRPr="00C468E4" w:rsidR="00423A94">
        <w:t>(</w:t>
      </w:r>
      <w:r w:rsidRPr="00C468E4">
        <w:t>1</w:t>
      </w:r>
      <w:r w:rsidRPr="00C468E4" w:rsidR="00423A94">
        <w:t>)</w:t>
      </w:r>
      <w:r w:rsidRPr="00C468E4">
        <w:t xml:space="preserve"> </w:t>
      </w:r>
      <w:r w:rsidRPr="00C468E4" w:rsidR="00C86C76">
        <w:t>r</w:t>
      </w:r>
      <w:r w:rsidRPr="00C468E4">
        <w:t xml:space="preserve">isk assessment and mapping, </w:t>
      </w:r>
      <w:r w:rsidRPr="00C468E4" w:rsidR="00C86C76">
        <w:t>(</w:t>
      </w:r>
      <w:r w:rsidRPr="00C468E4">
        <w:t>2</w:t>
      </w:r>
      <w:r w:rsidRPr="00C468E4" w:rsidR="00C86C76">
        <w:t>)</w:t>
      </w:r>
      <w:r w:rsidRPr="00C468E4">
        <w:t xml:space="preserve"> </w:t>
      </w:r>
      <w:r w:rsidRPr="00C468E4" w:rsidR="00C86C76">
        <w:t>s</w:t>
      </w:r>
      <w:r w:rsidRPr="00C468E4">
        <w:t>ituation</w:t>
      </w:r>
      <w:r w:rsidRPr="00C468E4" w:rsidR="00C86C76">
        <w:t>al</w:t>
      </w:r>
      <w:r w:rsidRPr="00C468E4">
        <w:t xml:space="preserve"> awareness and forecasting, </w:t>
      </w:r>
      <w:r w:rsidRPr="00C468E4" w:rsidR="00E32308">
        <w:t>(</w:t>
      </w:r>
      <w:r w:rsidRPr="00C468E4">
        <w:t>3</w:t>
      </w:r>
      <w:r w:rsidRPr="00C468E4" w:rsidR="00E32308">
        <w:t>)</w:t>
      </w:r>
      <w:r w:rsidRPr="00C468E4">
        <w:t xml:space="preserve"> </w:t>
      </w:r>
      <w:r w:rsidRPr="00C468E4" w:rsidR="00E32308">
        <w:t>g</w:t>
      </w:r>
      <w:r w:rsidRPr="00C468E4">
        <w:t xml:space="preserve">rid design and system hardening, </w:t>
      </w:r>
      <w:r w:rsidRPr="00C468E4" w:rsidR="00BF1498">
        <w:t>(</w:t>
      </w:r>
      <w:r w:rsidRPr="00C468E4">
        <w:t>4</w:t>
      </w:r>
      <w:r w:rsidRPr="00C468E4" w:rsidR="00BF1498">
        <w:t>)</w:t>
      </w:r>
      <w:r w:rsidRPr="00C468E4">
        <w:t xml:space="preserve"> </w:t>
      </w:r>
      <w:r w:rsidRPr="00C468E4" w:rsidR="00BF1498">
        <w:t>a</w:t>
      </w:r>
      <w:r w:rsidRPr="00C468E4">
        <w:t xml:space="preserve">sset management and inspections, </w:t>
      </w:r>
      <w:r w:rsidRPr="00C468E4" w:rsidR="000D1625">
        <w:t>(</w:t>
      </w:r>
      <w:r w:rsidRPr="00C468E4">
        <w:t>5</w:t>
      </w:r>
      <w:r w:rsidRPr="00C468E4" w:rsidR="000D1625">
        <w:t>)</w:t>
      </w:r>
      <w:r w:rsidRPr="00C468E4">
        <w:t xml:space="preserve"> </w:t>
      </w:r>
      <w:r w:rsidRPr="00C468E4" w:rsidR="000D1625">
        <w:t>v</w:t>
      </w:r>
      <w:r w:rsidRPr="00C468E4">
        <w:t xml:space="preserve">egetation management and inspections, </w:t>
      </w:r>
      <w:r w:rsidRPr="00C468E4" w:rsidR="000D1625">
        <w:t>(</w:t>
      </w:r>
      <w:r w:rsidRPr="00C468E4">
        <w:t>6</w:t>
      </w:r>
      <w:r w:rsidRPr="00C468E4" w:rsidR="000D1625">
        <w:t>)</w:t>
      </w:r>
      <w:r w:rsidRPr="00C468E4">
        <w:t xml:space="preserve"> </w:t>
      </w:r>
      <w:r w:rsidRPr="00C468E4" w:rsidR="00F259A1">
        <w:t>g</w:t>
      </w:r>
      <w:r w:rsidRPr="00C468E4">
        <w:t xml:space="preserve">rid operations and protocols, </w:t>
      </w:r>
      <w:r w:rsidRPr="00C468E4" w:rsidR="00F259A1">
        <w:t>(</w:t>
      </w:r>
      <w:r w:rsidRPr="00C468E4">
        <w:t>7</w:t>
      </w:r>
      <w:r w:rsidRPr="00C468E4" w:rsidR="00F259A1">
        <w:t>)</w:t>
      </w:r>
      <w:r w:rsidRPr="00C468E4">
        <w:t xml:space="preserve"> </w:t>
      </w:r>
      <w:r w:rsidRPr="00C468E4" w:rsidR="00842456">
        <w:t>d</w:t>
      </w:r>
      <w:r w:rsidRPr="00C468E4">
        <w:t xml:space="preserve">ata governance, </w:t>
      </w:r>
      <w:r w:rsidRPr="00C468E4" w:rsidR="00842456">
        <w:t>(</w:t>
      </w:r>
      <w:r w:rsidRPr="00C468E4">
        <w:t>8</w:t>
      </w:r>
      <w:r w:rsidRPr="00C468E4" w:rsidR="00842456">
        <w:t>)</w:t>
      </w:r>
      <w:r w:rsidRPr="00C468E4">
        <w:t xml:space="preserve"> </w:t>
      </w:r>
      <w:r w:rsidRPr="00C468E4" w:rsidR="009D0ACD">
        <w:t>r</w:t>
      </w:r>
      <w:r w:rsidRPr="00C468E4">
        <w:t xml:space="preserve">esource allocation methodology, </w:t>
      </w:r>
      <w:r w:rsidRPr="00C468E4" w:rsidR="000A65B1">
        <w:t>(</w:t>
      </w:r>
      <w:r w:rsidRPr="00C468E4">
        <w:t>9</w:t>
      </w:r>
      <w:r w:rsidRPr="00C468E4" w:rsidR="000A65B1">
        <w:t>)</w:t>
      </w:r>
      <w:r w:rsidRPr="00C468E4">
        <w:t xml:space="preserve"> </w:t>
      </w:r>
      <w:r w:rsidRPr="00C468E4" w:rsidR="000A65B1">
        <w:t>e</w:t>
      </w:r>
      <w:r w:rsidRPr="00C468E4">
        <w:t xml:space="preserve">mergency planning and preparedness, and </w:t>
      </w:r>
      <w:r w:rsidRPr="00C468E4" w:rsidR="00BB31A2">
        <w:t>(</w:t>
      </w:r>
      <w:r w:rsidRPr="00C468E4">
        <w:t>10</w:t>
      </w:r>
      <w:r w:rsidRPr="00C468E4" w:rsidR="00BB31A2">
        <w:t>)</w:t>
      </w:r>
      <w:r w:rsidRPr="00C468E4">
        <w:t xml:space="preserve"> </w:t>
      </w:r>
      <w:r w:rsidRPr="00C468E4" w:rsidR="00BB31A2">
        <w:t>s</w:t>
      </w:r>
      <w:r w:rsidRPr="00C468E4">
        <w:t>takeholder cooperation and community engagement. In addition, in a change from 2020, the WSD evaluated the utility’s progress on reducing the scale, scope</w:t>
      </w:r>
      <w:r w:rsidRPr="00C468E4" w:rsidR="00460DBA">
        <w:t>,</w:t>
      </w:r>
      <w:r w:rsidRPr="00C468E4">
        <w:t xml:space="preserve"> and frequency of PSPS events in a separate section in recognition that PSPS is not a </w:t>
      </w:r>
      <w:r w:rsidRPr="00C468E4" w:rsidR="00E8240E">
        <w:t xml:space="preserve">preferred </w:t>
      </w:r>
      <w:r w:rsidRPr="00C468E4">
        <w:t>mitigation measure because it introduces significant risk to customers</w:t>
      </w:r>
      <w:r w:rsidRPr="00C468E4" w:rsidR="00974F45">
        <w:t xml:space="preserve"> and should be used as a measure of last resort</w:t>
      </w:r>
      <w:r w:rsidRPr="00C468E4">
        <w:t>.</w:t>
      </w:r>
      <w:r w:rsidR="00775DD9">
        <w:rPr>
          <w:rStyle w:val="FootnoteReference"/>
        </w:rPr>
        <w:footnoteReference w:id="12"/>
      </w:r>
      <w:r w:rsidRPr="00C468E4">
        <w:t xml:space="preserve"> </w:t>
      </w:r>
      <w:r w:rsidRPr="00C468E4" w:rsidR="00050B84">
        <w:t xml:space="preserve"> </w:t>
      </w:r>
    </w:p>
    <w:p w:rsidRPr="00C468E4" w:rsidR="00CE0CA0" w:rsidP="006335BC" w:rsidRDefault="00172F00" w14:paraId="75561EED" w14:textId="2397167C">
      <w:pPr>
        <w:pStyle w:val="Standard"/>
      </w:pPr>
      <w:r w:rsidRPr="00C468E4">
        <w:t xml:space="preserve">The WSD identified areas for improvement for </w:t>
      </w:r>
      <w:r w:rsidRPr="00C468E4" w:rsidR="00E33B9B">
        <w:t>SDG&amp;E</w:t>
      </w:r>
      <w:r w:rsidRPr="00C468E4">
        <w:rPr>
          <w:color w:val="FF0000"/>
        </w:rPr>
        <w:t xml:space="preserve"> </w:t>
      </w:r>
      <w:r w:rsidRPr="00C468E4">
        <w:t>over the next year (set forth below)</w:t>
      </w:r>
      <w:r w:rsidRPr="00C468E4" w:rsidR="00625AEF">
        <w:t xml:space="preserve">: key areas and </w:t>
      </w:r>
      <w:r w:rsidRPr="00C468E4" w:rsidR="00D0770F">
        <w:t>additional issues</w:t>
      </w:r>
      <w:r w:rsidRPr="00C468E4">
        <w:t xml:space="preserve">. Key areas </w:t>
      </w:r>
      <w:r w:rsidRPr="00C468E4" w:rsidR="00ED313B">
        <w:t>for</w:t>
      </w:r>
      <w:r w:rsidRPr="00C468E4">
        <w:t xml:space="preserve"> improvement are areas where the WSD finds that an electrical corporation must focus</w:t>
      </w:r>
      <w:r w:rsidRPr="00C468E4" w:rsidR="008A452D">
        <w:t xml:space="preserve"> attention</w:t>
      </w:r>
      <w:r w:rsidRPr="00C468E4">
        <w:t xml:space="preserve"> to achieve the greatest reduction in utility-related wildfire risk. </w:t>
      </w:r>
      <w:r w:rsidRPr="00C468E4" w:rsidR="007A2C1C">
        <w:t>Additional issues</w:t>
      </w:r>
      <w:r w:rsidRPr="00C468E4" w:rsidR="00240FF5">
        <w:t xml:space="preserve"> are areas where the WSD </w:t>
      </w:r>
      <w:r w:rsidRPr="00C468E4" w:rsidR="007A2C1C">
        <w:t>would also like to see improvement over time</w:t>
      </w:r>
      <w:r w:rsidRPr="00C468E4" w:rsidR="00D516BA">
        <w:t xml:space="preserve">. </w:t>
      </w:r>
      <w:r w:rsidRPr="00C468E4" w:rsidR="00CE0CA0">
        <w:t xml:space="preserve"> </w:t>
      </w:r>
    </w:p>
    <w:p w:rsidRPr="00C468E4" w:rsidR="00CE0CA0" w:rsidP="006335BC" w:rsidRDefault="00460EBF" w14:paraId="5663CDAB" w14:textId="292F0650">
      <w:pPr>
        <w:pStyle w:val="Standard"/>
        <w:rPr>
          <w:color w:val="FF0000"/>
        </w:rPr>
      </w:pPr>
      <w:r w:rsidRPr="00C468E4">
        <w:t xml:space="preserve">The WSD expects SDG&amp;E to take action to address these key areas and report on progress made over the year </w:t>
      </w:r>
      <w:r w:rsidRPr="00C468E4" w:rsidR="003842C8">
        <w:t xml:space="preserve">in a Progress Report due by 5:00 p.m. on </w:t>
      </w:r>
      <w:r w:rsidR="00A6384A">
        <w:br/>
      </w:r>
      <w:r w:rsidRPr="00C468E4" w:rsidR="003842C8">
        <w:lastRenderedPageBreak/>
        <w:t xml:space="preserve">November 1, 2021, and </w:t>
      </w:r>
      <w:r w:rsidRPr="00C468E4">
        <w:t>in its 2022 WMP Update. The WSD will closely monitor progress in each of these areas over the coming year.</w:t>
      </w:r>
    </w:p>
    <w:tbl>
      <w:tblPr>
        <w:tblpPr w:leftFromText="180" w:rightFromText="180" w:vertAnchor="text" w:tblpY="-43"/>
        <w:tblW w:w="5005" w:type="pct"/>
        <w:tblCellMar>
          <w:top w:w="86" w:type="dxa"/>
          <w:left w:w="115" w:type="dxa"/>
          <w:right w:w="115" w:type="dxa"/>
        </w:tblCellMar>
        <w:tblLook w:val="04A0" w:firstRow="1" w:lastRow="0" w:firstColumn="1" w:lastColumn="0" w:noHBand="0" w:noVBand="1"/>
      </w:tblPr>
      <w:tblGrid>
        <w:gridCol w:w="1142"/>
        <w:gridCol w:w="2388"/>
        <w:gridCol w:w="2385"/>
        <w:gridCol w:w="3444"/>
      </w:tblGrid>
      <w:tr w:rsidRPr="00C468E4" w:rsidR="0072451F" w:rsidTr="00FC3A00" w14:paraId="710362F6" w14:textId="77777777">
        <w:trPr>
          <w:trHeight w:val="630"/>
          <w:tblHeader/>
        </w:trPr>
        <w:tc>
          <w:tcPr>
            <w:tcW w:w="610" w:type="pct"/>
            <w:tcBorders>
              <w:top w:val="single" w:color="auto" w:sz="4" w:space="0"/>
              <w:left w:val="single" w:color="auto" w:sz="4" w:space="0"/>
              <w:bottom w:val="single" w:color="auto" w:sz="4" w:space="0"/>
              <w:right w:val="single" w:color="auto" w:sz="4" w:space="0"/>
            </w:tcBorders>
            <w:shd w:val="clear" w:color="auto" w:fill="E7E6E6" w:themeFill="background2"/>
            <w:vAlign w:val="center"/>
          </w:tcPr>
          <w:p w:rsidRPr="00C468E4" w:rsidR="0072451F" w:rsidP="00785227" w:rsidRDefault="0072451F" w14:paraId="54560DE6" w14:textId="77777777">
            <w:pPr>
              <w:rPr>
                <w:rFonts w:cs="Calibri"/>
                <w:b/>
                <w:szCs w:val="24"/>
              </w:rPr>
            </w:pPr>
            <w:r w:rsidRPr="00C468E4">
              <w:rPr>
                <w:rFonts w:cs="Calibri"/>
                <w:b/>
                <w:szCs w:val="24"/>
              </w:rPr>
              <w:lastRenderedPageBreak/>
              <w:t>Utility-#</w:t>
            </w:r>
          </w:p>
        </w:tc>
        <w:tc>
          <w:tcPr>
            <w:tcW w:w="1276"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468E4" w:rsidR="0072451F" w:rsidP="00F750E4" w:rsidRDefault="0072451F" w14:paraId="046002C1" w14:textId="77777777">
            <w:pPr>
              <w:jc w:val="center"/>
              <w:rPr>
                <w:rFonts w:cs="Calibri"/>
                <w:b/>
                <w:szCs w:val="24"/>
              </w:rPr>
            </w:pPr>
            <w:r w:rsidRPr="00C468E4">
              <w:rPr>
                <w:rFonts w:cs="Calibri"/>
                <w:b/>
                <w:szCs w:val="24"/>
              </w:rPr>
              <w:t>Issue title</w:t>
            </w:r>
          </w:p>
        </w:tc>
        <w:tc>
          <w:tcPr>
            <w:tcW w:w="1274"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468E4" w:rsidR="0072451F" w:rsidP="00F750E4" w:rsidRDefault="0072451F" w14:paraId="7256638D" w14:textId="77777777">
            <w:pPr>
              <w:jc w:val="center"/>
              <w:rPr>
                <w:rFonts w:cs="Calibri"/>
                <w:b/>
                <w:szCs w:val="24"/>
              </w:rPr>
            </w:pPr>
            <w:r w:rsidRPr="00C468E4">
              <w:rPr>
                <w:rFonts w:cs="Calibri"/>
                <w:b/>
                <w:szCs w:val="24"/>
              </w:rPr>
              <w:t>Issue description</w:t>
            </w:r>
          </w:p>
        </w:tc>
        <w:tc>
          <w:tcPr>
            <w:tcW w:w="1840" w:type="pct"/>
            <w:tcBorders>
              <w:top w:val="single" w:color="auto" w:sz="4" w:space="0"/>
              <w:left w:val="single" w:color="auto" w:sz="4" w:space="0"/>
              <w:bottom w:val="single" w:color="auto" w:sz="4" w:space="0"/>
              <w:right w:val="single" w:color="auto" w:sz="4" w:space="0"/>
            </w:tcBorders>
            <w:shd w:val="clear" w:color="auto" w:fill="E7E6E6" w:themeFill="background2"/>
            <w:vAlign w:val="center"/>
            <w:hideMark/>
          </w:tcPr>
          <w:p w:rsidRPr="00C468E4" w:rsidR="0072451F" w:rsidP="00F750E4" w:rsidRDefault="0072451F" w14:paraId="77361653" w14:textId="77777777">
            <w:pPr>
              <w:jc w:val="center"/>
              <w:rPr>
                <w:rFonts w:cs="Calibri"/>
                <w:b/>
                <w:szCs w:val="24"/>
              </w:rPr>
            </w:pPr>
            <w:r w:rsidRPr="00C468E4">
              <w:rPr>
                <w:rFonts w:cs="Calibri"/>
                <w:b/>
                <w:szCs w:val="24"/>
              </w:rPr>
              <w:t>Remedies required and alternative timeline if applicable</w:t>
            </w:r>
          </w:p>
        </w:tc>
      </w:tr>
      <w:tr w:rsidRPr="00C468E4" w:rsidR="0072451F" w:rsidTr="00FC3A00" w14:paraId="2CA3611F"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72451F" w14:paraId="29F87E77" w14:textId="6A13E5F3">
            <w:pPr>
              <w:rPr>
                <w:rFonts w:cs="Calibri"/>
                <w:color w:val="FF0000"/>
                <w:szCs w:val="24"/>
              </w:rPr>
            </w:pPr>
            <w:r w:rsidRPr="00C468E4">
              <w:rPr>
                <w:rFonts w:cs="Calibri"/>
                <w:szCs w:val="24"/>
              </w:rPr>
              <w:t>SDGE-</w:t>
            </w:r>
            <w:r w:rsidR="001E6738">
              <w:rPr>
                <w:rFonts w:cs="Calibri"/>
                <w:szCs w:val="24"/>
              </w:rPr>
              <w:t>21-</w:t>
            </w:r>
            <w:r w:rsidR="005D265B">
              <w:rPr>
                <w:rFonts w:cs="Calibri"/>
                <w:szCs w:val="24"/>
              </w:rPr>
              <w:t>0</w:t>
            </w:r>
            <w:r w:rsidRPr="00C468E4">
              <w:rPr>
                <w:rFonts w:cs="Calibri"/>
                <w:szCs w:val="24"/>
              </w:rPr>
              <w:t>1</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C42D1F" w:rsidP="00F750E4" w:rsidRDefault="00C42D1F" w14:paraId="3D1861E3" w14:textId="5970EAD9">
            <w:pPr>
              <w:rPr>
                <w:rFonts w:cs="Calibri"/>
                <w:szCs w:val="24"/>
              </w:rPr>
            </w:pPr>
            <w:r w:rsidRPr="00C42D1F">
              <w:rPr>
                <w:rFonts w:cs="Calibri"/>
                <w:szCs w:val="24"/>
              </w:rPr>
              <w:t>Inadequate transparency in accounting for ignition sources in risk modeling and mitigation selection</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597B4C" w14:paraId="6B702651" w14:textId="05FD1B74">
            <w:pPr>
              <w:rPr>
                <w:rFonts w:cs="Calibri"/>
                <w:color w:val="FF0000"/>
                <w:sz w:val="20"/>
                <w:szCs w:val="20"/>
              </w:rPr>
            </w:pPr>
            <w:r w:rsidRPr="00C468E4">
              <w:rPr>
                <w:rFonts w:cs="Calibri"/>
                <w:sz w:val="20"/>
                <w:szCs w:val="20"/>
              </w:rPr>
              <w:t xml:space="preserve">SDG&amp;E identifies vehicle contact and balloon contact as the first and second highest ignition risks but does not explain how that affects its risk models </w:t>
            </w:r>
            <w:r w:rsidRPr="00C468E4" w:rsidR="00BC2610">
              <w:rPr>
                <w:rFonts w:cs="Calibri"/>
                <w:sz w:val="20"/>
                <w:szCs w:val="20"/>
              </w:rPr>
              <w:t>or</w:t>
            </w:r>
            <w:r w:rsidRPr="00C468E4">
              <w:rPr>
                <w:rFonts w:cs="Calibri"/>
                <w:sz w:val="20"/>
                <w:szCs w:val="20"/>
              </w:rPr>
              <w:t xml:space="preserve"> mitigation selection</w:t>
            </w:r>
            <w:r w:rsidRPr="00C468E4" w:rsidR="00BC2610">
              <w:rPr>
                <w:rFonts w:cs="Calibri"/>
                <w:sz w:val="20"/>
                <w:szCs w:val="20"/>
              </w:rPr>
              <w:t>.</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88545C" w:rsidP="00450C39" w:rsidRDefault="00450C39" w14:paraId="487ADDFF" w14:textId="41C10A2D">
            <w:pPr>
              <w:pStyle w:val="Standard"/>
              <w:rPr>
                <w:rFonts w:cstheme="minorHAnsi"/>
                <w:color w:val="FF0000"/>
                <w:sz w:val="20"/>
                <w:szCs w:val="20"/>
              </w:rPr>
            </w:pPr>
            <w:r w:rsidRPr="00013FE7">
              <w:rPr>
                <w:rFonts w:cstheme="minorHAnsi"/>
                <w:sz w:val="20"/>
                <w:szCs w:val="20"/>
              </w:rPr>
              <w:t>SDG</w:t>
            </w:r>
            <w:r w:rsidR="00222B4B">
              <w:rPr>
                <w:rFonts w:cstheme="minorHAnsi"/>
                <w:sz w:val="20"/>
                <w:szCs w:val="20"/>
              </w:rPr>
              <w:t>&amp;</w:t>
            </w:r>
            <w:r w:rsidRPr="00013FE7">
              <w:rPr>
                <w:rFonts w:cstheme="minorHAnsi"/>
                <w:sz w:val="20"/>
                <w:szCs w:val="20"/>
              </w:rPr>
              <w:t>E must fully explain:</w:t>
            </w:r>
            <w:r w:rsidRPr="00013FE7" w:rsidR="00530B71">
              <w:rPr>
                <w:rFonts w:cstheme="minorHAnsi"/>
                <w:sz w:val="20"/>
                <w:szCs w:val="20"/>
              </w:rPr>
              <w:br/>
            </w:r>
            <w:r w:rsidRPr="00013FE7">
              <w:rPr>
                <w:rFonts w:cstheme="minorHAnsi"/>
                <w:sz w:val="20"/>
                <w:szCs w:val="20"/>
              </w:rPr>
              <w:t>1. How third-party ignition sources feed into SDG</w:t>
            </w:r>
            <w:r w:rsidR="00222B4B">
              <w:rPr>
                <w:rFonts w:cstheme="minorHAnsi"/>
                <w:sz w:val="20"/>
                <w:szCs w:val="20"/>
              </w:rPr>
              <w:t>&amp;</w:t>
            </w:r>
            <w:r w:rsidRPr="00013FE7">
              <w:rPr>
                <w:rFonts w:cstheme="minorHAnsi"/>
                <w:sz w:val="20"/>
                <w:szCs w:val="20"/>
              </w:rPr>
              <w:t>E’s risk models;</w:t>
            </w:r>
            <w:r w:rsidRPr="00013FE7" w:rsidR="00530B71">
              <w:rPr>
                <w:rFonts w:cstheme="minorHAnsi"/>
                <w:sz w:val="20"/>
                <w:szCs w:val="20"/>
              </w:rPr>
              <w:br/>
            </w:r>
            <w:r w:rsidRPr="00013FE7">
              <w:rPr>
                <w:rFonts w:cstheme="minorHAnsi"/>
                <w:sz w:val="20"/>
                <w:szCs w:val="20"/>
              </w:rPr>
              <w:t>2. How ignition sources impact SDG</w:t>
            </w:r>
            <w:r w:rsidR="00222B4B">
              <w:rPr>
                <w:rFonts w:cstheme="minorHAnsi"/>
                <w:sz w:val="20"/>
                <w:szCs w:val="20"/>
              </w:rPr>
              <w:t>&amp;</w:t>
            </w:r>
            <w:r w:rsidRPr="00013FE7">
              <w:rPr>
                <w:rFonts w:cstheme="minorHAnsi"/>
                <w:sz w:val="20"/>
                <w:szCs w:val="20"/>
              </w:rPr>
              <w:t>E’s mitigation selection process, including:</w:t>
            </w:r>
            <w:r w:rsidRPr="00013FE7">
              <w:rPr>
                <w:rFonts w:cstheme="minorHAnsi"/>
                <w:sz w:val="20"/>
                <w:szCs w:val="20"/>
              </w:rPr>
              <w:br/>
              <w:t>a. How SDG</w:t>
            </w:r>
            <w:r w:rsidR="00222B4B">
              <w:rPr>
                <w:rFonts w:cstheme="minorHAnsi"/>
                <w:sz w:val="20"/>
                <w:szCs w:val="20"/>
              </w:rPr>
              <w:t>&amp;</w:t>
            </w:r>
            <w:r w:rsidRPr="00013FE7">
              <w:rPr>
                <w:rFonts w:cstheme="minorHAnsi"/>
                <w:sz w:val="20"/>
                <w:szCs w:val="20"/>
              </w:rPr>
              <w:t>E prioritizes ignition sources;</w:t>
            </w:r>
            <w:r w:rsidRPr="00013FE7">
              <w:rPr>
                <w:rFonts w:cstheme="minorHAnsi"/>
                <w:sz w:val="20"/>
                <w:szCs w:val="20"/>
              </w:rPr>
              <w:br/>
              <w:t>b. If SDG</w:t>
            </w:r>
            <w:r w:rsidR="00222B4B">
              <w:rPr>
                <w:rFonts w:cstheme="minorHAnsi"/>
                <w:sz w:val="20"/>
                <w:szCs w:val="20"/>
              </w:rPr>
              <w:t>&amp;</w:t>
            </w:r>
            <w:r w:rsidRPr="00013FE7">
              <w:rPr>
                <w:rFonts w:cstheme="minorHAnsi"/>
                <w:sz w:val="20"/>
                <w:szCs w:val="20"/>
              </w:rPr>
              <w:t>E treats third-party ignition sources that are not under SDG</w:t>
            </w:r>
            <w:r w:rsidR="00222B4B">
              <w:rPr>
                <w:rFonts w:cstheme="minorHAnsi"/>
                <w:sz w:val="20"/>
                <w:szCs w:val="20"/>
              </w:rPr>
              <w:t>&amp;</w:t>
            </w:r>
            <w:r w:rsidRPr="00013FE7">
              <w:rPr>
                <w:rFonts w:cstheme="minorHAnsi"/>
                <w:sz w:val="20"/>
                <w:szCs w:val="20"/>
              </w:rPr>
              <w:t xml:space="preserve">E’s direct control differently than other ignition sources, and if so, how; </w:t>
            </w:r>
            <w:r w:rsidRPr="00013FE7">
              <w:rPr>
                <w:rFonts w:cstheme="minorHAnsi"/>
                <w:sz w:val="20"/>
                <w:szCs w:val="20"/>
              </w:rPr>
              <w:br/>
              <w:t>c. How SDG</w:t>
            </w:r>
            <w:r w:rsidR="00222B4B">
              <w:rPr>
                <w:rFonts w:cstheme="minorHAnsi"/>
                <w:sz w:val="20"/>
                <w:szCs w:val="20"/>
              </w:rPr>
              <w:t>&amp;</w:t>
            </w:r>
            <w:r w:rsidRPr="00013FE7">
              <w:rPr>
                <w:rFonts w:cstheme="minorHAnsi"/>
                <w:sz w:val="20"/>
                <w:szCs w:val="20"/>
              </w:rPr>
              <w:t>E targets its mitigations efforts to reduce ignitions that are more likely to result in catastrophic wildfire conditions.</w:t>
            </w:r>
          </w:p>
        </w:tc>
      </w:tr>
      <w:tr w:rsidRPr="00C468E4" w:rsidR="0072451F" w:rsidTr="00FC3A00" w14:paraId="4B3BA514"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333391" w14:paraId="12D1A1CE" w14:textId="18697CA6">
            <w:pPr>
              <w:rPr>
                <w:rFonts w:cs="Calibri"/>
                <w:color w:val="FF0000"/>
                <w:szCs w:val="24"/>
              </w:rPr>
            </w:pPr>
            <w:r w:rsidRPr="00C468E4">
              <w:rPr>
                <w:rFonts w:cs="Calibri"/>
                <w:szCs w:val="24"/>
              </w:rPr>
              <w:t>SDGE-</w:t>
            </w:r>
            <w:r w:rsidR="001E6738">
              <w:rPr>
                <w:rFonts w:cs="Calibri"/>
                <w:szCs w:val="24"/>
              </w:rPr>
              <w:t>21-</w:t>
            </w:r>
            <w:r w:rsidR="005D265B">
              <w:rPr>
                <w:rFonts w:cs="Calibri"/>
                <w:szCs w:val="24"/>
              </w:rPr>
              <w:t>0</w:t>
            </w:r>
            <w:r w:rsidRPr="00C468E4">
              <w:rPr>
                <w:rFonts w:cs="Calibri"/>
                <w:szCs w:val="24"/>
              </w:rPr>
              <w:t>2</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5A1C86" w:rsidP="00F750E4" w:rsidRDefault="00333391" w14:paraId="0F391084" w14:textId="0A350C61">
            <w:pPr>
              <w:rPr>
                <w:rFonts w:cs="Calibri"/>
                <w:szCs w:val="24"/>
              </w:rPr>
            </w:pPr>
            <w:r w:rsidRPr="00C468E4">
              <w:rPr>
                <w:rFonts w:cs="Calibri"/>
                <w:szCs w:val="24"/>
              </w:rPr>
              <w:t>Lack of consistency in approach to wildfire risk modeling across utilities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333391" w14:paraId="4B0640F0" w14:textId="2E8B324C">
            <w:pPr>
              <w:rPr>
                <w:rFonts w:cs="Calibri"/>
                <w:sz w:val="20"/>
                <w:szCs w:val="20"/>
              </w:rPr>
            </w:pPr>
            <w:r w:rsidRPr="00C468E4">
              <w:rPr>
                <w:rFonts w:eastAsia="Calibri" w:cs="Calibri"/>
                <w:sz w:val="20"/>
                <w:szCs w:val="20"/>
              </w:rPr>
              <w:t xml:space="preserve">The utilities do not have a consistent approach to wildfire risk modeling. For example, in their wildfire risk models, utilities use different types of data, use their individual data sets in different ways, and use different third-party vendors. </w:t>
            </w:r>
            <w:r w:rsidRPr="00C468E4" w:rsidR="00BD7216">
              <w:rPr>
                <w:rFonts w:eastAsia="Calibri" w:cs="Calibri"/>
                <w:sz w:val="20"/>
                <w:szCs w:val="20"/>
              </w:rPr>
              <w:t>The WSD</w:t>
            </w:r>
            <w:r w:rsidRPr="00C468E4">
              <w:rPr>
                <w:rFonts w:eastAsia="Calibri" w:cs="Calibri"/>
                <w:sz w:val="20"/>
                <w:szCs w:val="20"/>
              </w:rPr>
              <w:t xml:space="preserve"> 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w:t>
            </w:r>
            <w:r w:rsidRPr="00C468E4" w:rsidR="00A05848">
              <w:rPr>
                <w:rFonts w:eastAsia="Calibri" w:cs="Calibri"/>
                <w:sz w:val="20"/>
                <w:szCs w:val="20"/>
              </w:rPr>
              <w:t>statewide</w:t>
            </w:r>
            <w:r w:rsidRPr="00C468E4">
              <w:rPr>
                <w:rFonts w:eastAsia="Calibri" w:cs="Calibri"/>
                <w:sz w:val="20"/>
                <w:szCs w:val="20"/>
              </w:rPr>
              <w:t xml:space="preserve"> approaches to wildfire risk modeling.</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333391" w14:paraId="08A5ECD1" w14:textId="58ECFA84">
            <w:pPr>
              <w:pStyle w:val="Standard"/>
              <w:spacing w:after="160"/>
              <w:rPr>
                <w:rStyle w:val="normaltextrun"/>
                <w:sz w:val="20"/>
                <w:szCs w:val="20"/>
              </w:rPr>
            </w:pPr>
            <w:r w:rsidRPr="00C468E4">
              <w:rPr>
                <w:rStyle w:val="normaltextrun"/>
                <w:sz w:val="20"/>
                <w:szCs w:val="20"/>
              </w:rPr>
              <w:t>The utilities</w:t>
            </w:r>
            <w:r w:rsidRPr="00C468E4">
              <w:rPr>
                <w:rStyle w:val="FootnoteReference"/>
                <w:rFonts w:eastAsia="Times New Roman"/>
                <w:sz w:val="20"/>
                <w:szCs w:val="20"/>
              </w:rPr>
              <w:footnoteReference w:id="13"/>
            </w:r>
            <w:r w:rsidRPr="00C468E4">
              <w:rPr>
                <w:rStyle w:val="normaltextrun"/>
                <w:sz w:val="20"/>
                <w:szCs w:val="20"/>
              </w:rPr>
              <w:t xml:space="preserve"> must collaborate through a working group facilitated by Energy Safety</w:t>
            </w:r>
            <w:r w:rsidRPr="00C468E4">
              <w:rPr>
                <w:rStyle w:val="FootnoteReference"/>
                <w:rFonts w:eastAsia="Times New Roman"/>
                <w:sz w:val="20"/>
                <w:szCs w:val="20"/>
              </w:rPr>
              <w:footnoteReference w:id="14"/>
            </w:r>
            <w:r w:rsidRPr="00C468E4">
              <w:rPr>
                <w:rStyle w:val="normaltextrun"/>
                <w:sz w:val="20"/>
                <w:szCs w:val="20"/>
              </w:rPr>
              <w:t xml:space="preserve"> to develop a more consistent statewide approach to wildfire risk modeling. After </w:t>
            </w:r>
            <w:r w:rsidRPr="00C468E4" w:rsidR="003F5F53">
              <w:rPr>
                <w:rStyle w:val="normaltextrun"/>
                <w:sz w:val="20"/>
                <w:szCs w:val="20"/>
              </w:rPr>
              <w:t>the WSD</w:t>
            </w:r>
            <w:r w:rsidRPr="00C468E4">
              <w:rPr>
                <w:rStyle w:val="normaltextrun"/>
                <w:sz w:val="20"/>
                <w:szCs w:val="20"/>
              </w:rPr>
              <w:t xml:space="preserve"> completes its evaluation of all the utilities’ 2021 WMP Updates, it will provide additional detail on the specifics of this working group. </w:t>
            </w:r>
          </w:p>
          <w:p w:rsidRPr="00C468E4" w:rsidR="0072451F" w:rsidP="00B96074" w:rsidRDefault="00CD2911" w14:paraId="4821941B" w14:textId="0AAE71BF">
            <w:pPr>
              <w:pStyle w:val="Standard"/>
              <w:rPr>
                <w:rFonts w:cstheme="minorHAnsi"/>
                <w:sz w:val="20"/>
                <w:szCs w:val="20"/>
              </w:rPr>
            </w:pPr>
            <w:r w:rsidRPr="00C468E4">
              <w:rPr>
                <w:rFonts w:cstheme="minorHAnsi"/>
                <w:sz w:val="20"/>
                <w:szCs w:val="20"/>
              </w:rPr>
              <w:t>A working group to address wildfire risk modeling will allow for:</w:t>
            </w:r>
            <w:r w:rsidRPr="00C468E4">
              <w:rPr>
                <w:rFonts w:cstheme="minorHAnsi"/>
                <w:sz w:val="20"/>
                <w:szCs w:val="20"/>
              </w:rPr>
              <w:br/>
              <w:t>1. Collaboration among the utilities;</w:t>
            </w:r>
            <w:r w:rsidRPr="00C468E4">
              <w:rPr>
                <w:rFonts w:cstheme="minorHAnsi"/>
                <w:sz w:val="20"/>
                <w:szCs w:val="20"/>
              </w:rPr>
              <w:br/>
              <w:t>2. Stakeholder and academic expert input; and</w:t>
            </w:r>
            <w:r w:rsidRPr="00C468E4">
              <w:rPr>
                <w:rFonts w:cstheme="minorHAnsi"/>
                <w:sz w:val="20"/>
                <w:szCs w:val="20"/>
              </w:rPr>
              <w:br/>
              <w:t>3. Increased transparency.</w:t>
            </w:r>
          </w:p>
        </w:tc>
      </w:tr>
      <w:tr w:rsidRPr="00C468E4" w:rsidR="00333391" w:rsidTr="00FC3A00" w14:paraId="374393D1"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FC3A00" w14:paraId="6099345C" w14:textId="23AA96F9">
            <w:pPr>
              <w:rPr>
                <w:rFonts w:cs="Calibri"/>
                <w:szCs w:val="24"/>
              </w:rPr>
            </w:pPr>
            <w:r w:rsidRPr="00C468E4">
              <w:rPr>
                <w:rFonts w:cs="Calibri"/>
                <w:szCs w:val="24"/>
              </w:rPr>
              <w:lastRenderedPageBreak/>
              <w:t>SDGE</w:t>
            </w:r>
            <w:r w:rsidR="001E6738">
              <w:rPr>
                <w:rFonts w:cs="Calibri"/>
                <w:szCs w:val="24"/>
              </w:rPr>
              <w:t>-21</w:t>
            </w:r>
            <w:r w:rsidRPr="00C468E4">
              <w:rPr>
                <w:rFonts w:cs="Calibri"/>
                <w:szCs w:val="24"/>
              </w:rPr>
              <w:t>-</w:t>
            </w:r>
            <w:r w:rsidR="00AD0EA6">
              <w:rPr>
                <w:rFonts w:cs="Calibri"/>
                <w:szCs w:val="24"/>
              </w:rPr>
              <w:t>0</w:t>
            </w:r>
            <w:r w:rsidRPr="00C468E4">
              <w:rPr>
                <w:rFonts w:cs="Calibri"/>
                <w:szCs w:val="24"/>
              </w:rPr>
              <w:t>3</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FC3A00" w14:paraId="707AA35B" w14:textId="4EC13CB5">
            <w:pPr>
              <w:rPr>
                <w:rFonts w:cs="Calibri"/>
                <w:szCs w:val="24"/>
              </w:rPr>
            </w:pPr>
            <w:r w:rsidRPr="00C468E4">
              <w:rPr>
                <w:rFonts w:eastAsia="Calibri" w:cs="Mangal"/>
                <w:szCs w:val="24"/>
              </w:rPr>
              <w:t xml:space="preserve">Limited evidence to support the effectiveness of covered conductor </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33391" w:rsidP="00333391" w:rsidRDefault="00FC3A00" w14:paraId="2BD9D684" w14:textId="6642C511">
            <w:pPr>
              <w:rPr>
                <w:rFonts w:eastAsia="Calibri" w:cs="Calibri"/>
                <w:sz w:val="20"/>
                <w:szCs w:val="20"/>
              </w:rPr>
            </w:pPr>
            <w:r w:rsidRPr="00C468E4">
              <w:rPr>
                <w:rFonts w:cstheme="minorHAnsi"/>
                <w:sz w:val="20"/>
                <w:szCs w:val="20"/>
              </w:rPr>
              <w:t>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risk reduction and cost-effectiveness. The utilities’ current covered conductor pilot efforts are limited in scope</w:t>
            </w:r>
            <w:r w:rsidRPr="00C468E4">
              <w:rPr>
                <w:rStyle w:val="FootnoteReference"/>
                <w:rFonts w:cs="Calibri"/>
                <w:color w:val="000000" w:themeColor="text1"/>
                <w:sz w:val="20"/>
                <w:szCs w:val="20"/>
              </w:rPr>
              <w:footnoteReference w:id="15"/>
            </w:r>
            <w:r w:rsidRPr="00C468E4">
              <w:rPr>
                <w:rFonts w:cstheme="minorHAnsi"/>
                <w:sz w:val="20"/>
                <w:szCs w:val="20"/>
              </w:rPr>
              <w:t xml:space="preserve"> and therefore fail to provide a full basis for understanding how covered conductor will perform in the field. Additionally, utilities justify covered conductor installation by alluding to reduced PSPS risk but fail to provide adequate comparison to other initiatives’ ability to reduce PSPS risk.</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FC3A00" w:rsidP="00FC3A00" w:rsidRDefault="00FC3A00" w14:paraId="4C9E03FC" w14:textId="63380E4D">
            <w:pPr>
              <w:pStyle w:val="Standard"/>
              <w:rPr>
                <w:rFonts w:cstheme="minorHAnsi"/>
                <w:sz w:val="20"/>
                <w:szCs w:val="20"/>
              </w:rPr>
            </w:pPr>
            <w:r w:rsidRPr="00C468E4">
              <w:rPr>
                <w:sz w:val="20"/>
                <w:szCs w:val="20"/>
              </w:rPr>
              <w:t>The utilities</w:t>
            </w:r>
            <w:r w:rsidRPr="00C468E4">
              <w:rPr>
                <w:rStyle w:val="FootnoteReference"/>
                <w:sz w:val="20"/>
                <w:szCs w:val="20"/>
              </w:rPr>
              <w:footnoteReference w:id="16"/>
            </w:r>
            <w:r w:rsidRPr="00C468E4">
              <w:rPr>
                <w:sz w:val="20"/>
                <w:szCs w:val="20"/>
              </w:rPr>
              <w:t xml:space="preserve"> must coordinate to develop a consistent approach to evaluating the long-term risk reduction and cost-effectiveness of</w:t>
            </w:r>
            <w:r w:rsidRPr="00C468E4">
              <w:rPr>
                <w:rFonts w:cstheme="minorHAnsi"/>
                <w:sz w:val="20"/>
                <w:szCs w:val="20"/>
              </w:rPr>
              <w:t xml:space="preserve"> covered conductor deployment, includin</w:t>
            </w:r>
            <w:r w:rsidRPr="00C468E4" w:rsidDel="00174F30">
              <w:rPr>
                <w:rFonts w:cstheme="minorHAnsi"/>
                <w:sz w:val="20"/>
                <w:szCs w:val="20"/>
              </w:rPr>
              <w:t>g</w:t>
            </w:r>
            <w:r w:rsidRPr="00C468E4">
              <w:rPr>
                <w:rFonts w:cstheme="minorHAnsi"/>
                <w:sz w:val="20"/>
                <w:szCs w:val="20"/>
              </w:rPr>
              <w:t>:</w:t>
            </w:r>
          </w:p>
          <w:p w:rsidRPr="00C468E4" w:rsidR="00FC3A00" w:rsidP="00FC3A00" w:rsidRDefault="00FC3A00" w14:paraId="650BA626" w14:textId="77777777">
            <w:pPr>
              <w:pStyle w:val="Standard"/>
              <w:numPr>
                <w:ilvl w:val="0"/>
                <w:numId w:val="51"/>
              </w:numPr>
              <w:spacing w:after="0" w:line="259" w:lineRule="auto"/>
              <w:rPr>
                <w:color w:val="000000" w:themeColor="text1"/>
                <w:sz w:val="20"/>
                <w:szCs w:val="20"/>
              </w:rPr>
            </w:pPr>
            <w:r w:rsidRPr="00C468E4">
              <w:rPr>
                <w:color w:val="000000" w:themeColor="text1"/>
                <w:sz w:val="20"/>
                <w:szCs w:val="20"/>
              </w:rPr>
              <w:t xml:space="preserve">The effectiveness of covered conductor in the field in comparison to alternative initiatives. </w:t>
            </w:r>
          </w:p>
          <w:p w:rsidRPr="00C468E4" w:rsidR="00FC3A00" w:rsidP="00FC3A00" w:rsidRDefault="00FC3A00" w14:paraId="0AF1E436" w14:textId="77777777">
            <w:pPr>
              <w:pStyle w:val="Standard"/>
              <w:numPr>
                <w:ilvl w:val="0"/>
                <w:numId w:val="51"/>
              </w:numPr>
              <w:spacing w:after="0" w:line="259" w:lineRule="auto"/>
              <w:rPr>
                <w:color w:val="000000" w:themeColor="text1"/>
                <w:sz w:val="20"/>
                <w:szCs w:val="20"/>
              </w:rPr>
            </w:pPr>
            <w:r w:rsidRPr="00C468E4">
              <w:rPr>
                <w:color w:val="000000" w:themeColor="text1"/>
                <w:sz w:val="20"/>
                <w:szCs w:val="20"/>
              </w:rPr>
              <w:t xml:space="preserve">How covered conductor installation compares to other initiatives in its potential to reduce PSPS risk. </w:t>
            </w:r>
          </w:p>
          <w:p w:rsidRPr="00C468E4" w:rsidR="00333391" w:rsidP="00333391" w:rsidRDefault="00333391" w14:paraId="5F07548D" w14:textId="77777777">
            <w:pPr>
              <w:pStyle w:val="Standard"/>
              <w:spacing w:after="160"/>
              <w:rPr>
                <w:rStyle w:val="normaltextrun"/>
                <w:sz w:val="20"/>
                <w:szCs w:val="20"/>
              </w:rPr>
            </w:pPr>
          </w:p>
        </w:tc>
      </w:tr>
      <w:tr w:rsidRPr="00C468E4" w:rsidR="0072451F" w:rsidTr="00FC3A00" w14:paraId="4ACACEB4"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2451F" w:rsidP="00F750E4" w:rsidRDefault="0072451F" w14:paraId="4A38BEDD" w14:textId="626E9AE2">
            <w:pPr>
              <w:rPr>
                <w:rFonts w:cs="Calibri"/>
                <w:color w:val="FF0000"/>
                <w:szCs w:val="24"/>
              </w:rPr>
            </w:pPr>
            <w:r w:rsidRPr="00C468E4">
              <w:rPr>
                <w:rFonts w:cs="Calibri"/>
                <w:color w:val="000000" w:themeColor="text1"/>
                <w:szCs w:val="24"/>
              </w:rPr>
              <w:lastRenderedPageBreak/>
              <w:t>SDGE</w:t>
            </w:r>
            <w:r w:rsidR="001E6738">
              <w:rPr>
                <w:rFonts w:cs="Calibri"/>
                <w:color w:val="000000" w:themeColor="text1"/>
                <w:szCs w:val="24"/>
              </w:rPr>
              <w:t>-21</w:t>
            </w:r>
            <w:r w:rsidRPr="00C468E4">
              <w:rPr>
                <w:rFonts w:cs="Calibri"/>
                <w:color w:val="000000" w:themeColor="text1"/>
                <w:szCs w:val="24"/>
              </w:rPr>
              <w:t>-</w:t>
            </w:r>
            <w:r w:rsidR="00AD0EA6">
              <w:rPr>
                <w:rFonts w:cs="Calibri"/>
                <w:color w:val="000000" w:themeColor="text1"/>
                <w:szCs w:val="24"/>
              </w:rPr>
              <w:t>0</w:t>
            </w:r>
            <w:r w:rsidRPr="00C468E4" w:rsidR="00FC3A00">
              <w:rPr>
                <w:rFonts w:cs="Calibri"/>
                <w:color w:val="000000" w:themeColor="text1"/>
                <w:szCs w:val="24"/>
              </w:rPr>
              <w:t>4</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1B04DD" w:rsidP="00F750E4" w:rsidRDefault="001B04DD" w14:paraId="7DFF12E0" w14:textId="4A165184">
            <w:pPr>
              <w:rPr>
                <w:rFonts w:cs="Calibri"/>
                <w:szCs w:val="24"/>
              </w:rPr>
            </w:pPr>
            <w:r w:rsidRPr="00C468E4">
              <w:rPr>
                <w:rFonts w:eastAsiaTheme="minorEastAsia"/>
                <w:szCs w:val="24"/>
              </w:rPr>
              <w:t>Inadequate joint plan to study the effectiveness of enhanced clearances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91B76" w:rsidP="00791B76" w:rsidRDefault="00791B76" w14:paraId="0AFC1AFA" w14:textId="70119F67">
            <w:pPr>
              <w:rPr>
                <w:rFonts w:cs="Calibri"/>
                <w:color w:val="000000" w:themeColor="text1"/>
                <w:sz w:val="20"/>
                <w:szCs w:val="20"/>
              </w:rPr>
            </w:pPr>
            <w:r w:rsidRPr="00C468E4">
              <w:rPr>
                <w:rFonts w:cs="Calibri"/>
                <w:color w:val="000000" w:themeColor="text1"/>
                <w:sz w:val="20"/>
                <w:szCs w:val="20"/>
              </w:rPr>
              <w:t>RCP Action-SDGE-4 (Class A)</w:t>
            </w:r>
            <w:r w:rsidRPr="00C468E4">
              <w:rPr>
                <w:rStyle w:val="FootnoteReference"/>
                <w:rFonts w:cs="Calibri"/>
                <w:color w:val="000000" w:themeColor="text1"/>
                <w:sz w:val="20"/>
                <w:szCs w:val="20"/>
              </w:rPr>
              <w:footnoteReference w:id="17"/>
            </w:r>
            <w:r w:rsidRPr="00C468E4">
              <w:rPr>
                <w:rFonts w:cs="Calibri"/>
                <w:color w:val="000000" w:themeColor="text1"/>
                <w:sz w:val="20"/>
                <w:szCs w:val="20"/>
              </w:rPr>
              <w:t xml:space="preserve"> required SDG&amp;E, PG&amp;E, and SCE to “submit a joint, unified plan” to begin a study of the effectiveness of extended vegetation clearances.</w:t>
            </w:r>
            <w:r w:rsidRPr="00C468E4">
              <w:rPr>
                <w:rStyle w:val="FootnoteReference"/>
                <w:rFonts w:cs="Calibri"/>
                <w:color w:val="000000" w:themeColor="text1"/>
                <w:sz w:val="20"/>
                <w:szCs w:val="20"/>
              </w:rPr>
              <w:footnoteReference w:id="18"/>
            </w:r>
            <w:r w:rsidRPr="00C468E4">
              <w:rPr>
                <w:rFonts w:cs="Calibri"/>
                <w:color w:val="000000" w:themeColor="text1"/>
                <w:sz w:val="20"/>
                <w:szCs w:val="20"/>
              </w:rPr>
              <w:t xml:space="preserve"> SDG&amp;E submitted its plan to study the effectiveness of extended vegetation clearance as part of its 2021 WMP Update.</w:t>
            </w:r>
            <w:r w:rsidRPr="00C468E4">
              <w:rPr>
                <w:rStyle w:val="FootnoteReference"/>
                <w:rFonts w:cs="Calibri"/>
                <w:color w:val="000000" w:themeColor="text1"/>
                <w:sz w:val="20"/>
                <w:szCs w:val="20"/>
              </w:rPr>
              <w:footnoteReference w:id="19"/>
            </w:r>
            <w:r w:rsidRPr="00C468E4">
              <w:rPr>
                <w:rFonts w:cs="Calibri"/>
                <w:color w:val="000000" w:themeColor="text1"/>
                <w:sz w:val="20"/>
                <w:szCs w:val="20"/>
              </w:rPr>
              <w:t xml:space="preserve"> SDG&amp;E, PG&amp;E, and SCE presented the “joint, unified” plan to the WSD on February 18, 2021. While it was apparent the three large utilities had discussed a unified approach, each utility presented differing analyses that would be performed to measure the effectiveness of enhanced clearances. </w:t>
            </w:r>
            <w:r w:rsidRPr="00C468E4">
              <w:rPr>
                <w:rFonts w:cs="Calibri"/>
                <w:color w:val="000000" w:themeColor="text1"/>
                <w:sz w:val="20"/>
                <w:szCs w:val="20"/>
              </w:rPr>
              <w:lastRenderedPageBreak/>
              <w:t xml:space="preserve">This presentation’s content was not included in the February 26, 2021, “Supplemental Filing Addressing 2020 Wildfire Mitigation Plan Quarterly Report Insufficiencies.”  </w:t>
            </w:r>
          </w:p>
          <w:p w:rsidRPr="00C468E4" w:rsidR="00A344DD" w:rsidP="00A344DD" w:rsidRDefault="00A344DD" w14:paraId="6F1D140C" w14:textId="6E1785BF">
            <w:pPr>
              <w:rPr>
                <w:rFonts w:cs="Calibri"/>
                <w:color w:val="FF0000"/>
                <w:sz w:val="20"/>
                <w:szCs w:val="20"/>
              </w:rPr>
            </w:pPr>
          </w:p>
          <w:p w:rsidRPr="00C468E4" w:rsidR="0072451F" w:rsidP="00F750E4" w:rsidRDefault="00A344DD" w14:paraId="10B847CA" w14:textId="12E0BA38">
            <w:pPr>
              <w:rPr>
                <w:rFonts w:cs="Calibri"/>
                <w:color w:val="FF0000"/>
                <w:sz w:val="20"/>
                <w:szCs w:val="20"/>
              </w:rPr>
            </w:pPr>
            <w:r w:rsidRPr="00C468E4">
              <w:rPr>
                <w:rFonts w:cs="Calibri"/>
                <w:sz w:val="20"/>
                <w:szCs w:val="20"/>
              </w:rPr>
              <w:t>The WSD acknowledges the complexity of this issue; any study performed assessing the effectiveness of enhanced clearances will take years of data collection and rigorous analysis.</w:t>
            </w:r>
          </w:p>
          <w:p w:rsidRPr="00C468E4" w:rsidR="0072451F" w:rsidP="00F750E4" w:rsidRDefault="0072451F" w14:paraId="08A6DA44" w14:textId="77777777">
            <w:pPr>
              <w:rPr>
                <w:rFonts w:cs="Calibri"/>
                <w:color w:val="FF0000"/>
                <w:sz w:val="20"/>
                <w:szCs w:val="20"/>
              </w:rPr>
            </w:pP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A344DD" w:rsidP="00A344DD" w:rsidRDefault="00A344DD" w14:paraId="11ADFF33" w14:textId="77777777">
            <w:pPr>
              <w:pStyle w:val="Standard"/>
              <w:rPr>
                <w:color w:val="000000" w:themeColor="text1"/>
                <w:sz w:val="20"/>
                <w:szCs w:val="20"/>
              </w:rPr>
            </w:pPr>
            <w:r w:rsidRPr="00C468E4">
              <w:rPr>
                <w:color w:val="000000" w:themeColor="text1"/>
                <w:sz w:val="20"/>
                <w:szCs w:val="20"/>
              </w:rPr>
              <w:lastRenderedPageBreak/>
              <w:t>SDG&amp;E, PG&amp;E, and SCE will participate in a multi-year vegetation clearance study. The WSD will confirm the details of this study in due course. The objectives of this study are to:</w:t>
            </w:r>
          </w:p>
          <w:p w:rsidRPr="00C468E4" w:rsidR="00A344DD" w:rsidP="00A344DD" w:rsidRDefault="00A344DD" w14:paraId="5B23F60E" w14:textId="77777777">
            <w:pPr>
              <w:pStyle w:val="Standard"/>
              <w:numPr>
                <w:ilvl w:val="0"/>
                <w:numId w:val="42"/>
              </w:numPr>
              <w:spacing w:after="0" w:line="259" w:lineRule="auto"/>
              <w:rPr>
                <w:sz w:val="20"/>
                <w:szCs w:val="20"/>
              </w:rPr>
            </w:pPr>
            <w:r w:rsidRPr="00C468E4">
              <w:rPr>
                <w:sz w:val="20"/>
                <w:szCs w:val="20"/>
              </w:rPr>
              <w:t>Establish uniform data collection standards.</w:t>
            </w:r>
          </w:p>
          <w:p w:rsidRPr="00C468E4" w:rsidR="00A344DD" w:rsidP="00A344DD" w:rsidRDefault="00A344DD" w14:paraId="0DA36F93" w14:textId="14DE50A5">
            <w:pPr>
              <w:pStyle w:val="Standard"/>
              <w:numPr>
                <w:ilvl w:val="0"/>
                <w:numId w:val="42"/>
              </w:numPr>
              <w:spacing w:after="0" w:line="259" w:lineRule="auto"/>
              <w:rPr>
                <w:sz w:val="20"/>
                <w:szCs w:val="20"/>
              </w:rPr>
            </w:pPr>
            <w:r w:rsidRPr="00C468E4">
              <w:rPr>
                <w:sz w:val="20"/>
                <w:szCs w:val="20"/>
              </w:rPr>
              <w:t xml:space="preserve">Create a cross-utility database of tree-caused risk events (i.e., outages and ignitions caused by </w:t>
            </w:r>
            <w:r w:rsidRPr="00C468E4" w:rsidR="00250BB8">
              <w:rPr>
                <w:sz w:val="20"/>
                <w:szCs w:val="20"/>
              </w:rPr>
              <w:t xml:space="preserve">vegetation </w:t>
            </w:r>
            <w:r w:rsidRPr="00C468E4">
              <w:rPr>
                <w:sz w:val="20"/>
                <w:szCs w:val="20"/>
              </w:rPr>
              <w:t>contact).</w:t>
            </w:r>
          </w:p>
          <w:p w:rsidRPr="00C468E4" w:rsidR="00A344DD" w:rsidP="00A344DD" w:rsidRDefault="00A344DD" w14:paraId="51FC10E0" w14:textId="64062856">
            <w:pPr>
              <w:pStyle w:val="Standard"/>
              <w:numPr>
                <w:ilvl w:val="0"/>
                <w:numId w:val="42"/>
              </w:numPr>
              <w:spacing w:after="0" w:line="259" w:lineRule="auto"/>
              <w:rPr>
                <w:sz w:val="20"/>
                <w:szCs w:val="20"/>
              </w:rPr>
            </w:pPr>
            <w:r w:rsidRPr="00C468E4">
              <w:rPr>
                <w:sz w:val="20"/>
                <w:szCs w:val="20"/>
              </w:rPr>
              <w:t>Incorporate biotic and abiotic factors</w:t>
            </w:r>
            <w:r w:rsidRPr="00C468E4" w:rsidR="001B09E1">
              <w:rPr>
                <w:rStyle w:val="FootnoteReference"/>
                <w:sz w:val="20"/>
                <w:szCs w:val="20"/>
              </w:rPr>
              <w:footnoteReference w:id="20"/>
            </w:r>
            <w:r w:rsidRPr="00C468E4">
              <w:rPr>
                <w:sz w:val="20"/>
                <w:szCs w:val="20"/>
              </w:rPr>
              <w:t xml:space="preserve"> into the determination of</w:t>
            </w:r>
            <w:r w:rsidRPr="00C468E4" w:rsidR="007F68EC">
              <w:t xml:space="preserve"> </w:t>
            </w:r>
            <w:r w:rsidRPr="00C468E4" w:rsidR="007F68EC">
              <w:rPr>
                <w:sz w:val="20"/>
                <w:szCs w:val="20"/>
              </w:rPr>
              <w:t>outage and ignition risk caused by vegetation contact</w:t>
            </w:r>
            <w:r w:rsidRPr="00C468E4">
              <w:rPr>
                <w:sz w:val="20"/>
                <w:szCs w:val="20"/>
              </w:rPr>
              <w:t>.</w:t>
            </w:r>
          </w:p>
          <w:p w:rsidRPr="00C468E4" w:rsidR="00A344DD" w:rsidP="00A344DD" w:rsidRDefault="00A344DD" w14:paraId="4E203D3D" w14:textId="77777777">
            <w:pPr>
              <w:pStyle w:val="Standard"/>
              <w:numPr>
                <w:ilvl w:val="0"/>
                <w:numId w:val="42"/>
              </w:numPr>
              <w:spacing w:after="0" w:line="259" w:lineRule="auto"/>
              <w:rPr>
                <w:sz w:val="20"/>
                <w:szCs w:val="20"/>
              </w:rPr>
            </w:pPr>
            <w:r w:rsidRPr="00C468E4">
              <w:rPr>
                <w:sz w:val="20"/>
                <w:szCs w:val="20"/>
              </w:rPr>
              <w:t>Assess the effectiveness of enhanced clearances.</w:t>
            </w:r>
          </w:p>
          <w:p w:rsidRPr="00C468E4" w:rsidR="002A65EE" w:rsidP="002A65EE" w:rsidRDefault="002A65EE" w14:paraId="2847CD93" w14:textId="007CC959">
            <w:r w:rsidRPr="00C468E4">
              <w:rPr>
                <w:sz w:val="20"/>
                <w:szCs w:val="20"/>
              </w:rPr>
              <w:br/>
              <w:t xml:space="preserve">In preparation for this study and the eventual analysis, SDG&amp;E must collect the relevant data; the required data are currently defined by the WSD Geographic Information System (GIS Data Reporting Standard for California </w:t>
            </w:r>
            <w:r w:rsidRPr="00C468E4">
              <w:rPr>
                <w:sz w:val="20"/>
                <w:szCs w:val="20"/>
              </w:rPr>
              <w:lastRenderedPageBreak/>
              <w:t xml:space="preserve">Electrical Corporations - V2). </w:t>
            </w:r>
            <w:r w:rsidRPr="003A72F4">
              <w:rPr>
                <w:sz w:val="20"/>
                <w:szCs w:val="20"/>
              </w:rPr>
              <w:fldChar w:fldCharType="begin"/>
            </w:r>
            <w:r w:rsidRPr="00C468E4">
              <w:rPr>
                <w:sz w:val="20"/>
                <w:szCs w:val="20"/>
              </w:rPr>
              <w:instrText xml:space="preserve"> REF _Ref70495709 \h  \* MERGEFORMAT </w:instrText>
            </w:r>
            <w:r w:rsidRPr="003A72F4">
              <w:rPr>
                <w:sz w:val="20"/>
                <w:szCs w:val="20"/>
              </w:rPr>
            </w:r>
            <w:r w:rsidRPr="003A72F4">
              <w:rPr>
                <w:sz w:val="20"/>
                <w:szCs w:val="20"/>
              </w:rPr>
              <w:fldChar w:fldCharType="separate"/>
            </w:r>
            <w:r w:rsidR="004A37DF">
              <w:rPr>
                <w:b/>
                <w:bCs/>
                <w:sz w:val="20"/>
                <w:szCs w:val="20"/>
              </w:rPr>
              <w:t>Error! Reference source not found.</w:t>
            </w:r>
            <w:r w:rsidRPr="003A72F4">
              <w:rPr>
                <w:sz w:val="20"/>
                <w:szCs w:val="20"/>
              </w:rPr>
              <w:fldChar w:fldCharType="end"/>
            </w:r>
            <w:r w:rsidRPr="00C468E4">
              <w:rPr>
                <w:sz w:val="20"/>
                <w:szCs w:val="20"/>
              </w:rPr>
              <w:t>2 of the SDG&amp;E Action Statement outlines the feature classes which the WSD believes will be most relevant to the study. Additional requirements related to this study may be included in the Action Statements for PG&amp;E and SCE’s 2021 WMP Updates. The WSD will also be updating the GIS Reporting Standards in 2021, which may include additional data attributes for vegetation</w:t>
            </w:r>
            <w:r w:rsidR="00BF78D9">
              <w:rPr>
                <w:sz w:val="20"/>
                <w:szCs w:val="20"/>
              </w:rPr>
              <w:t>-</w:t>
            </w:r>
            <w:r w:rsidRPr="00C468E4">
              <w:rPr>
                <w:sz w:val="20"/>
                <w:szCs w:val="20"/>
              </w:rPr>
              <w:t>related risk events.</w:t>
            </w:r>
          </w:p>
          <w:p w:rsidRPr="00C468E4" w:rsidR="0072451F" w:rsidP="00F750E4" w:rsidRDefault="0072451F" w14:paraId="5EAA6AA9" w14:textId="68A77320">
            <w:pPr>
              <w:pStyle w:val="Standard"/>
              <w:rPr>
                <w:sz w:val="20"/>
                <w:szCs w:val="20"/>
              </w:rPr>
            </w:pPr>
          </w:p>
        </w:tc>
      </w:tr>
      <w:tr w:rsidRPr="00C468E4" w:rsidR="00342AE0" w:rsidTr="00FC3A00" w14:paraId="517B9CCF"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6168AC26" w14:textId="4838B46E">
            <w:pPr>
              <w:rPr>
                <w:rFonts w:cs="Calibri"/>
                <w:color w:val="FF0000"/>
                <w:szCs w:val="24"/>
              </w:rPr>
            </w:pPr>
            <w:r w:rsidRPr="00C468E4">
              <w:rPr>
                <w:rFonts w:cs="Calibri"/>
                <w:szCs w:val="24"/>
              </w:rPr>
              <w:lastRenderedPageBreak/>
              <w:t>SDGE-</w:t>
            </w:r>
            <w:r w:rsidR="004A2C62">
              <w:rPr>
                <w:rFonts w:cs="Calibri"/>
                <w:szCs w:val="24"/>
              </w:rPr>
              <w:t>21-</w:t>
            </w:r>
            <w:r w:rsidR="00AD0EA6">
              <w:rPr>
                <w:rFonts w:cs="Calibri"/>
                <w:szCs w:val="24"/>
              </w:rPr>
              <w:t>0</w:t>
            </w:r>
            <w:r w:rsidRPr="00C468E4" w:rsidR="00FC3A00">
              <w:rPr>
                <w:rFonts w:cs="Calibri"/>
                <w:szCs w:val="24"/>
              </w:rPr>
              <w:t>5</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07A12911" w14:textId="750EFEC7">
            <w:pPr>
              <w:rPr>
                <w:rFonts w:cs="Calibri"/>
                <w:szCs w:val="24"/>
              </w:rPr>
            </w:pPr>
            <w:r w:rsidRPr="00C468E4">
              <w:rPr>
                <w:rFonts w:cs="Calibri"/>
                <w:szCs w:val="24"/>
              </w:rPr>
              <w:t>Incomplete identification of vegetation species and record keeping</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57BBC329" w14:textId="2976CB1C">
            <w:pPr>
              <w:rPr>
                <w:color w:val="000000" w:themeColor="text1"/>
                <w:sz w:val="20"/>
                <w:szCs w:val="20"/>
              </w:rPr>
            </w:pPr>
            <w:r w:rsidRPr="00C468E4">
              <w:rPr>
                <w:color w:val="000000" w:themeColor="text1"/>
                <w:sz w:val="20"/>
                <w:szCs w:val="20"/>
              </w:rPr>
              <w:t>SDG&amp;E reports that it targets trees based on characteristics of the species</w:t>
            </w:r>
            <w:r w:rsidRPr="00C468E4" w:rsidR="00503343">
              <w:rPr>
                <w:color w:val="000000" w:themeColor="text1"/>
                <w:sz w:val="20"/>
                <w:szCs w:val="20"/>
              </w:rPr>
              <w:t>.</w:t>
            </w:r>
            <w:r w:rsidRPr="00C468E4">
              <w:rPr>
                <w:color w:val="000000" w:themeColor="text1"/>
                <w:sz w:val="20"/>
                <w:szCs w:val="20"/>
              </w:rPr>
              <w:t xml:space="preserve"> SDG&amp;E targets</w:t>
            </w:r>
          </w:p>
          <w:p w:rsidRPr="00C468E4" w:rsidR="00342AE0" w:rsidP="00342AE0" w:rsidRDefault="00342AE0" w14:paraId="41AFD9A9" w14:textId="593AE4CB">
            <w:pPr>
              <w:rPr>
                <w:rFonts w:cs="Calibri"/>
                <w:color w:val="FF0000"/>
                <w:szCs w:val="24"/>
              </w:rPr>
            </w:pPr>
            <w:r w:rsidRPr="00C468E4">
              <w:rPr>
                <w:color w:val="000000" w:themeColor="text1"/>
                <w:sz w:val="20"/>
                <w:szCs w:val="20"/>
              </w:rPr>
              <w:t>“eucalyptus, palm, oak, pine, and sycamore.”</w:t>
            </w:r>
            <w:r w:rsidRPr="00C468E4">
              <w:rPr>
                <w:rStyle w:val="FootnoteReference"/>
                <w:color w:val="000000" w:themeColor="text1"/>
                <w:sz w:val="20"/>
                <w:szCs w:val="20"/>
              </w:rPr>
              <w:footnoteReference w:id="21"/>
            </w:r>
            <w:r w:rsidRPr="00C468E4">
              <w:rPr>
                <w:color w:val="000000" w:themeColor="text1"/>
                <w:sz w:val="20"/>
                <w:szCs w:val="20"/>
              </w:rPr>
              <w:t xml:space="preserve"> However, these are not tree species, but tree genera. SDG&amp;E needs to ensure proper identification of trees to the species level.</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30844" w:rsidR="00C130A9" w:rsidP="00E56837" w:rsidRDefault="00C130A9" w14:paraId="2637042B" w14:textId="77777777">
            <w:pPr>
              <w:pStyle w:val="Standard"/>
              <w:spacing w:after="0"/>
              <w:rPr>
                <w:color w:val="000000" w:themeColor="text1"/>
                <w:sz w:val="20"/>
                <w:szCs w:val="20"/>
              </w:rPr>
            </w:pPr>
            <w:r w:rsidRPr="00C30844">
              <w:rPr>
                <w:color w:val="000000" w:themeColor="text1"/>
                <w:sz w:val="20"/>
                <w:szCs w:val="20"/>
              </w:rPr>
              <w:t>SDG&amp;E must:</w:t>
            </w:r>
          </w:p>
          <w:p w:rsidRPr="00C30844" w:rsidR="00C130A9" w:rsidP="00676B12" w:rsidRDefault="00C130A9" w14:paraId="27A79D98" w14:textId="77777777">
            <w:pPr>
              <w:pStyle w:val="Standard"/>
              <w:numPr>
                <w:ilvl w:val="0"/>
                <w:numId w:val="43"/>
              </w:numPr>
              <w:spacing w:after="0"/>
              <w:rPr>
                <w:color w:val="000000" w:themeColor="text1"/>
                <w:sz w:val="20"/>
                <w:szCs w:val="20"/>
              </w:rPr>
            </w:pPr>
            <w:r w:rsidRPr="00C30844">
              <w:rPr>
                <w:color w:val="000000" w:themeColor="text1"/>
                <w:sz w:val="20"/>
                <w:szCs w:val="20"/>
              </w:rPr>
              <w:t>Use scientific names in its reporting (as opposed to common names). This change will be reflected in the upcoming updates to the WSD GIS Reporting Standard.</w:t>
            </w:r>
          </w:p>
          <w:p w:rsidRPr="00C30844" w:rsidR="00C130A9" w:rsidP="00C130A9" w:rsidRDefault="00C130A9" w14:paraId="64559DFE" w14:textId="77777777">
            <w:pPr>
              <w:pStyle w:val="Standard"/>
              <w:numPr>
                <w:ilvl w:val="0"/>
                <w:numId w:val="43"/>
              </w:numPr>
              <w:spacing w:after="0"/>
              <w:rPr>
                <w:color w:val="000000" w:themeColor="text1"/>
                <w:sz w:val="20"/>
                <w:szCs w:val="20"/>
              </w:rPr>
            </w:pPr>
            <w:r w:rsidRPr="00C30844">
              <w:rPr>
                <w:color w:val="000000" w:themeColor="text1"/>
                <w:sz w:val="20"/>
                <w:szCs w:val="20"/>
              </w:rPr>
              <w:t xml:space="preserve">Add genus and species designation input capabilities into its systems which track vegetation (e.g., vegetation inventory system and vegetation-caused outage reports). </w:t>
            </w:r>
          </w:p>
          <w:p w:rsidR="00C130A9" w:rsidP="00C130A9" w:rsidRDefault="00C130A9" w14:paraId="439B07F1" w14:textId="77777777">
            <w:pPr>
              <w:pStyle w:val="Standard"/>
              <w:numPr>
                <w:ilvl w:val="0"/>
                <w:numId w:val="43"/>
              </w:numPr>
              <w:spacing w:after="0"/>
              <w:rPr>
                <w:color w:val="000000" w:themeColor="text1"/>
                <w:sz w:val="20"/>
                <w:szCs w:val="20"/>
              </w:rPr>
            </w:pPr>
            <w:r>
              <w:rPr>
                <w:color w:val="000000" w:themeColor="text1"/>
                <w:sz w:val="20"/>
                <w:szCs w:val="20"/>
              </w:rPr>
              <w:t>I</w:t>
            </w:r>
            <w:r w:rsidRPr="00C30844">
              <w:rPr>
                <w:color w:val="000000" w:themeColor="text1"/>
                <w:sz w:val="20"/>
                <w:szCs w:val="20"/>
              </w:rPr>
              <w:t>dentify the genus and species of a tree that has caused an outage</w:t>
            </w:r>
            <w:r w:rsidRPr="00C30844">
              <w:rPr>
                <w:rStyle w:val="FootnoteReference"/>
                <w:color w:val="000000" w:themeColor="text1"/>
                <w:szCs w:val="20"/>
              </w:rPr>
              <w:footnoteReference w:id="22"/>
            </w:r>
            <w:r w:rsidRPr="00C30844">
              <w:rPr>
                <w:color w:val="000000" w:themeColor="text1"/>
                <w:sz w:val="20"/>
                <w:szCs w:val="20"/>
              </w:rPr>
              <w:t xml:space="preserve"> or ignition</w:t>
            </w:r>
            <w:r w:rsidRPr="00C30844">
              <w:rPr>
                <w:rStyle w:val="FootnoteReference"/>
                <w:color w:val="000000" w:themeColor="text1"/>
                <w:szCs w:val="20"/>
              </w:rPr>
              <w:footnoteReference w:id="23"/>
            </w:r>
            <w:r w:rsidRPr="00C30844">
              <w:rPr>
                <w:color w:val="000000" w:themeColor="text1"/>
                <w:sz w:val="20"/>
                <w:szCs w:val="20"/>
              </w:rPr>
              <w:t xml:space="preserve"> in the Quarterly Data Reports </w:t>
            </w:r>
            <w:r>
              <w:rPr>
                <w:color w:val="000000" w:themeColor="text1"/>
                <w:sz w:val="20"/>
                <w:szCs w:val="20"/>
              </w:rPr>
              <w:t xml:space="preserve">(QDRs) </w:t>
            </w:r>
            <w:r w:rsidRPr="00C30844">
              <w:rPr>
                <w:color w:val="000000" w:themeColor="text1"/>
                <w:sz w:val="20"/>
                <w:szCs w:val="20"/>
              </w:rPr>
              <w:t>(in these cases, an unknown “sp.” designation is not acceptable).</w:t>
            </w:r>
          </w:p>
          <w:p w:rsidRPr="00D8341D" w:rsidR="00C130A9" w:rsidP="00C130A9" w:rsidRDefault="00C130A9" w14:paraId="2D8C8D41" w14:textId="77777777">
            <w:pPr>
              <w:pStyle w:val="Standard"/>
              <w:numPr>
                <w:ilvl w:val="0"/>
                <w:numId w:val="43"/>
              </w:numPr>
              <w:spacing w:after="0"/>
              <w:rPr>
                <w:color w:val="000000" w:themeColor="text1"/>
                <w:sz w:val="20"/>
                <w:szCs w:val="20"/>
              </w:rPr>
            </w:pPr>
            <w:r w:rsidRPr="00C30844">
              <w:rPr>
                <w:color w:val="000000" w:themeColor="text1"/>
                <w:sz w:val="20"/>
                <w:szCs w:val="20"/>
              </w:rPr>
              <w:t xml:space="preserve">If the tree’s species designation is unknown (i.e., if the inspector knows the tree as “Quercus” but is </w:t>
            </w:r>
            <w:r w:rsidRPr="00C30844">
              <w:rPr>
                <w:color w:val="000000" w:themeColor="text1"/>
                <w:sz w:val="20"/>
                <w:szCs w:val="20"/>
              </w:rPr>
              <w:lastRenderedPageBreak/>
              <w:t>unsure whether the tree is, for example, Quercus kelloggii, Quercus lobata, or Quercus agrifolia), it must be recorded as such. Instead of simply “Quercus,” use “Quercus sp.” If referencing multiple species within a genus use “spp.” (e.g., Quercus spp.).</w:t>
            </w:r>
            <w:r w:rsidRPr="00C30844">
              <w:rPr>
                <w:rStyle w:val="FootnoteReference"/>
                <w:color w:val="000000" w:themeColor="text1"/>
                <w:szCs w:val="20"/>
              </w:rPr>
              <w:footnoteReference w:id="24"/>
            </w:r>
          </w:p>
          <w:p w:rsidRPr="00C30844" w:rsidR="00C130A9" w:rsidP="00C130A9" w:rsidRDefault="00C130A9" w14:paraId="0413D540" w14:textId="77777777">
            <w:pPr>
              <w:pStyle w:val="Standard"/>
              <w:numPr>
                <w:ilvl w:val="0"/>
                <w:numId w:val="43"/>
              </w:numPr>
              <w:spacing w:after="0"/>
              <w:rPr>
                <w:color w:val="000000" w:themeColor="text1"/>
                <w:sz w:val="20"/>
                <w:szCs w:val="20"/>
              </w:rPr>
            </w:pPr>
            <w:r w:rsidRPr="00C30844">
              <w:rPr>
                <w:color w:val="000000" w:themeColor="text1"/>
                <w:sz w:val="20"/>
                <w:szCs w:val="20"/>
              </w:rPr>
              <w:t>Teach tree species identification skills in its VM personnel training programs, both in initial and continuing education.</w:t>
            </w:r>
          </w:p>
          <w:p w:rsidRPr="00C468E4" w:rsidR="00342AE0" w:rsidP="00E56837" w:rsidRDefault="00C130A9" w14:paraId="559508B3" w14:textId="35E4F038">
            <w:pPr>
              <w:rPr>
                <w:color w:val="000000" w:themeColor="text1"/>
                <w:sz w:val="20"/>
                <w:szCs w:val="20"/>
              </w:rPr>
            </w:pPr>
            <w:r>
              <w:rPr>
                <w:color w:val="000000" w:themeColor="text1"/>
                <w:sz w:val="20"/>
                <w:szCs w:val="20"/>
              </w:rPr>
              <w:t>6. Encourage all</w:t>
            </w:r>
            <w:r w:rsidRPr="00C30844">
              <w:rPr>
                <w:color w:val="000000" w:themeColor="text1"/>
                <w:sz w:val="20"/>
                <w:szCs w:val="20"/>
              </w:rPr>
              <w:t xml:space="preserve"> VM personnel </w:t>
            </w:r>
            <w:r>
              <w:rPr>
                <w:color w:val="000000" w:themeColor="text1"/>
                <w:sz w:val="20"/>
                <w:szCs w:val="20"/>
              </w:rPr>
              <w:t>identify trees to species in all VM activities and reporting, where possible.</w:t>
            </w:r>
          </w:p>
        </w:tc>
      </w:tr>
      <w:tr w:rsidRPr="00C468E4" w:rsidR="00342AE0" w:rsidTr="00FC3A00" w14:paraId="4DFC6289"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0E3B8C9D" w14:textId="426EC21E">
            <w:pPr>
              <w:rPr>
                <w:rFonts w:cs="Calibri"/>
                <w:color w:val="FF0000"/>
                <w:szCs w:val="24"/>
              </w:rPr>
            </w:pPr>
            <w:r w:rsidRPr="00C468E4">
              <w:rPr>
                <w:rFonts w:cs="Calibri"/>
                <w:szCs w:val="24"/>
              </w:rPr>
              <w:lastRenderedPageBreak/>
              <w:t>SDGE-</w:t>
            </w:r>
            <w:r w:rsidR="004A2C62">
              <w:rPr>
                <w:rFonts w:cs="Calibri"/>
                <w:szCs w:val="24"/>
              </w:rPr>
              <w:t>21-</w:t>
            </w:r>
            <w:r w:rsidR="00AD0EA6">
              <w:rPr>
                <w:rFonts w:cs="Calibri"/>
                <w:szCs w:val="24"/>
              </w:rPr>
              <w:t>0</w:t>
            </w:r>
            <w:r w:rsidRPr="00C468E4" w:rsidR="00FC3A00">
              <w:rPr>
                <w:rFonts w:cs="Calibri"/>
                <w:szCs w:val="24"/>
              </w:rPr>
              <w:t>6</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Del="00B44821" w:rsidP="00342AE0" w:rsidRDefault="00342AE0" w14:paraId="1D8E2D97" w14:textId="77777777">
            <w:pPr>
              <w:rPr>
                <w:rFonts w:cs="Calibri"/>
                <w:szCs w:val="24"/>
              </w:rPr>
            </w:pPr>
            <w:r w:rsidRPr="00C468E4">
              <w:rPr>
                <w:rFonts w:cs="Calibri"/>
                <w:szCs w:val="24"/>
              </w:rPr>
              <w:t>Lack of quantitative analysis to identify “at-risk” species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7277C96D" w14:textId="77777777">
            <w:pPr>
              <w:rPr>
                <w:color w:val="000000" w:themeColor="text1"/>
                <w:sz w:val="20"/>
                <w:szCs w:val="20"/>
              </w:rPr>
            </w:pPr>
            <w:r w:rsidRPr="00C468E4">
              <w:rPr>
                <w:color w:val="000000" w:themeColor="text1"/>
                <w:sz w:val="20"/>
                <w:szCs w:val="20"/>
              </w:rPr>
              <w:t>Mussey Grade Road Alliance (MGRA) analyzed SDG&amp;E’s vegetation-caused outage data to determine the outages per 1000 trees per year by tree genus.</w:t>
            </w:r>
            <w:r w:rsidRPr="00C468E4">
              <w:rPr>
                <w:rStyle w:val="FootnoteReference"/>
                <w:color w:val="000000" w:themeColor="text1"/>
                <w:sz w:val="20"/>
                <w:szCs w:val="20"/>
              </w:rPr>
              <w:footnoteReference w:id="25"/>
            </w:r>
            <w:r w:rsidRPr="00C468E4">
              <w:rPr>
                <w:color w:val="000000" w:themeColor="text1"/>
                <w:sz w:val="20"/>
                <w:szCs w:val="20"/>
              </w:rPr>
              <w:t xml:space="preserve"> MGRA found that </w:t>
            </w:r>
            <w:r w:rsidRPr="00C468E4">
              <w:rPr>
                <w:sz w:val="20"/>
                <w:szCs w:val="20"/>
              </w:rPr>
              <w:t>palm</w:t>
            </w:r>
            <w:r w:rsidRPr="00C468E4">
              <w:rPr>
                <w:color w:val="000000" w:themeColor="text1"/>
                <w:sz w:val="20"/>
                <w:szCs w:val="20"/>
              </w:rPr>
              <w:t xml:space="preserve">, cypress, and century plant constituted the highest risk with &gt;1 </w:t>
            </w:r>
            <w:r w:rsidRPr="00C468E4">
              <w:rPr>
                <w:sz w:val="20"/>
                <w:szCs w:val="20"/>
              </w:rPr>
              <w:t>outage</w:t>
            </w:r>
            <w:r w:rsidRPr="00C468E4">
              <w:rPr>
                <w:color w:val="000000" w:themeColor="text1"/>
                <w:sz w:val="20"/>
                <w:szCs w:val="20"/>
              </w:rPr>
              <w:t xml:space="preserve"> per 1000 trees per year. These data are inconsistent with SDG&amp;E’s statement that it </w:t>
            </w:r>
            <w:r w:rsidRPr="00C468E4">
              <w:rPr>
                <w:sz w:val="20"/>
                <w:szCs w:val="20"/>
              </w:rPr>
              <w:t>“</w:t>
            </w:r>
            <w:r w:rsidRPr="00C468E4">
              <w:rPr>
                <w:color w:val="000000" w:themeColor="text1"/>
                <w:sz w:val="20"/>
                <w:szCs w:val="20"/>
              </w:rPr>
              <w:t>targeted species identified as a higher risk due to growth potential, failure characteristics and</w:t>
            </w:r>
          </w:p>
          <w:p w:rsidRPr="00C468E4" w:rsidR="00342AE0" w:rsidP="00342AE0" w:rsidRDefault="00342AE0" w14:paraId="7877570D" w14:textId="1A2BA73E">
            <w:pPr>
              <w:rPr>
                <w:color w:val="000000" w:themeColor="text1"/>
                <w:sz w:val="20"/>
                <w:szCs w:val="20"/>
              </w:rPr>
            </w:pPr>
            <w:r w:rsidRPr="00C468E4">
              <w:rPr>
                <w:color w:val="000000" w:themeColor="text1"/>
                <w:sz w:val="20"/>
                <w:szCs w:val="20"/>
              </w:rPr>
              <w:t xml:space="preserve">relative outage frequency. These species include eucalyptus, sycamore, </w:t>
            </w:r>
            <w:r w:rsidRPr="00C468E4">
              <w:rPr>
                <w:color w:val="000000" w:themeColor="text1"/>
                <w:sz w:val="20"/>
                <w:szCs w:val="20"/>
              </w:rPr>
              <w:lastRenderedPageBreak/>
              <w:t>oak, pine, and palm.”</w:t>
            </w:r>
            <w:r w:rsidRPr="00C468E4">
              <w:rPr>
                <w:rStyle w:val="FootnoteReference"/>
                <w:color w:val="000000" w:themeColor="text1"/>
                <w:sz w:val="20"/>
                <w:szCs w:val="20"/>
              </w:rPr>
              <w:footnoteReference w:id="26"/>
            </w:r>
            <w:r w:rsidRPr="00C468E4">
              <w:rPr>
                <w:color w:val="000000" w:themeColor="text1"/>
                <w:sz w:val="20"/>
                <w:szCs w:val="20"/>
              </w:rPr>
              <w:t xml:space="preserve"> </w:t>
            </w:r>
            <w:r w:rsidR="000D557B">
              <w:rPr>
                <w:color w:val="000000" w:themeColor="text1"/>
                <w:sz w:val="20"/>
                <w:szCs w:val="20"/>
              </w:rPr>
              <w:t xml:space="preserve"> </w:t>
            </w:r>
            <w:r w:rsidRPr="000C18D3" w:rsidR="000C18D3">
              <w:rPr>
                <w:color w:val="000000" w:themeColor="text1"/>
                <w:sz w:val="20"/>
                <w:szCs w:val="20"/>
              </w:rPr>
              <w:t>Only palms are common to both lists.</w:t>
            </w:r>
          </w:p>
          <w:p w:rsidRPr="00C468E4" w:rsidR="00342AE0" w:rsidP="00342AE0" w:rsidRDefault="00342AE0" w14:paraId="155382B0" w14:textId="77777777">
            <w:pPr>
              <w:rPr>
                <w:color w:val="000000" w:themeColor="text1"/>
                <w:sz w:val="20"/>
                <w:szCs w:val="20"/>
              </w:rPr>
            </w:pPr>
          </w:p>
          <w:p w:rsidRPr="00C468E4" w:rsidR="00342AE0" w:rsidP="00342AE0" w:rsidRDefault="00342AE0" w14:paraId="3FC9623E" w14:textId="6320D16A">
            <w:pPr>
              <w:rPr>
                <w:color w:val="000000" w:themeColor="text1"/>
                <w:sz w:val="20"/>
                <w:szCs w:val="20"/>
              </w:rPr>
            </w:pPr>
            <w:r w:rsidRPr="00C468E4">
              <w:rPr>
                <w:color w:val="000000" w:themeColor="text1"/>
                <w:sz w:val="20"/>
                <w:szCs w:val="20"/>
              </w:rPr>
              <w:t>Additionally, QR Action-SDGE-46 (Class B)</w:t>
            </w:r>
            <w:r w:rsidR="00DE6476">
              <w:rPr>
                <w:color w:val="000000" w:themeColor="text1"/>
                <w:sz w:val="20"/>
                <w:szCs w:val="20"/>
              </w:rPr>
              <w:t>. from Jan. 8, 2021,</w:t>
            </w:r>
            <w:r w:rsidRPr="00C468E4">
              <w:rPr>
                <w:rStyle w:val="FootnoteReference"/>
                <w:color w:val="000000" w:themeColor="text1"/>
                <w:sz w:val="20"/>
                <w:szCs w:val="20"/>
              </w:rPr>
              <w:footnoteReference w:id="27"/>
            </w:r>
            <w:r w:rsidRPr="00C468E4">
              <w:rPr>
                <w:color w:val="000000" w:themeColor="text1"/>
                <w:sz w:val="20"/>
                <w:szCs w:val="20"/>
              </w:rPr>
              <w:t xml:space="preserve"> required SDG&amp;E to</w:t>
            </w:r>
          </w:p>
          <w:p w:rsidR="00342AE0" w:rsidP="00342AE0" w:rsidRDefault="00342AE0" w14:paraId="18D503E1" w14:textId="77777777">
            <w:pPr>
              <w:rPr>
                <w:color w:val="000000" w:themeColor="text1"/>
                <w:sz w:val="20"/>
                <w:szCs w:val="20"/>
              </w:rPr>
            </w:pPr>
            <w:r w:rsidRPr="00C468E4">
              <w:rPr>
                <w:color w:val="000000" w:themeColor="text1"/>
                <w:sz w:val="20"/>
                <w:szCs w:val="20"/>
              </w:rPr>
              <w:t>“define quantitative threshold values</w:t>
            </w:r>
            <w:r w:rsidR="00464DDD">
              <w:rPr>
                <w:color w:val="000000" w:themeColor="text1"/>
                <w:sz w:val="20"/>
                <w:szCs w:val="20"/>
              </w:rPr>
              <w:t xml:space="preserve"> [</w:t>
            </w:r>
            <w:r w:rsidRPr="00C468E4">
              <w:rPr>
                <w:color w:val="000000" w:themeColor="text1"/>
                <w:sz w:val="20"/>
                <w:szCs w:val="20"/>
              </w:rPr>
              <w:t>…</w:t>
            </w:r>
            <w:r w:rsidR="00464DDD">
              <w:rPr>
                <w:color w:val="000000" w:themeColor="text1"/>
                <w:sz w:val="20"/>
                <w:szCs w:val="20"/>
              </w:rPr>
              <w:t xml:space="preserve">] </w:t>
            </w:r>
            <w:r w:rsidRPr="00C468E4">
              <w:rPr>
                <w:color w:val="000000" w:themeColor="text1"/>
                <w:sz w:val="20"/>
                <w:szCs w:val="20"/>
              </w:rPr>
              <w:t xml:space="preserve"> for the criteria used to define a tree as ‘at-risk.’”</w:t>
            </w:r>
            <w:r w:rsidRPr="00C468E4">
              <w:rPr>
                <w:rStyle w:val="FootnoteReference"/>
                <w:color w:val="000000" w:themeColor="text1"/>
                <w:sz w:val="20"/>
                <w:szCs w:val="20"/>
              </w:rPr>
              <w:footnoteReference w:id="28"/>
            </w:r>
            <w:r w:rsidRPr="00C468E4">
              <w:rPr>
                <w:color w:val="000000" w:themeColor="text1"/>
                <w:sz w:val="20"/>
                <w:szCs w:val="20"/>
              </w:rPr>
              <w:t xml:space="preserve"> SDG&amp;E responded to this requirement stating, “evaluation is based more on qualitative factors rather than quantitative.”</w:t>
            </w:r>
            <w:r w:rsidRPr="00C468E4">
              <w:rPr>
                <w:rStyle w:val="FootnoteReference"/>
                <w:color w:val="000000" w:themeColor="text1"/>
                <w:sz w:val="20"/>
                <w:szCs w:val="20"/>
              </w:rPr>
              <w:footnoteReference w:id="29"/>
            </w:r>
            <w:r w:rsidRPr="00C468E4">
              <w:rPr>
                <w:color w:val="000000" w:themeColor="text1"/>
                <w:sz w:val="20"/>
                <w:szCs w:val="20"/>
              </w:rPr>
              <w:t xml:space="preserve"> SDG&amp;E </w:t>
            </w:r>
            <w:r w:rsidR="008107A0">
              <w:rPr>
                <w:color w:val="000000" w:themeColor="text1"/>
                <w:sz w:val="20"/>
                <w:szCs w:val="20"/>
              </w:rPr>
              <w:t>must</w:t>
            </w:r>
            <w:r w:rsidRPr="00C468E4">
              <w:rPr>
                <w:color w:val="000000" w:themeColor="text1"/>
                <w:sz w:val="20"/>
                <w:szCs w:val="20"/>
              </w:rPr>
              <w:t xml:space="preserve"> use quantitative data to inform its “at-risk” species targeting; purely qualitative evaluation of a tree’s risk does </w:t>
            </w:r>
            <w:r w:rsidRPr="00C468E4" w:rsidR="007A2DFA">
              <w:rPr>
                <w:color w:val="000000" w:themeColor="text1"/>
                <w:sz w:val="20"/>
                <w:szCs w:val="20"/>
              </w:rPr>
              <w:t xml:space="preserve">not </w:t>
            </w:r>
            <w:r w:rsidRPr="00C468E4">
              <w:rPr>
                <w:color w:val="000000" w:themeColor="text1"/>
                <w:sz w:val="20"/>
                <w:szCs w:val="20"/>
              </w:rPr>
              <w:t xml:space="preserve">adequately address the quantitative risk of ignition or outage. </w:t>
            </w:r>
          </w:p>
          <w:p w:rsidRPr="00C468E4" w:rsidR="00A9206F" w:rsidP="00342AE0" w:rsidRDefault="00A9206F" w14:paraId="2BCAC93B" w14:textId="5C613903">
            <w:pPr>
              <w:rPr>
                <w:rFonts w:cs="Calibri"/>
                <w:color w:val="FF0000"/>
                <w:sz w:val="20"/>
                <w:szCs w:val="20"/>
              </w:rPr>
            </w:pP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1D9694B5" w14:textId="35127A82">
            <w:pPr>
              <w:pStyle w:val="Standard"/>
              <w:rPr>
                <w:color w:val="000000" w:themeColor="text1"/>
                <w:sz w:val="20"/>
                <w:szCs w:val="20"/>
              </w:rPr>
            </w:pPr>
            <w:r w:rsidRPr="00C468E4">
              <w:rPr>
                <w:color w:val="000000" w:themeColor="text1"/>
                <w:sz w:val="20"/>
                <w:szCs w:val="20"/>
              </w:rPr>
              <w:lastRenderedPageBreak/>
              <w:t xml:space="preserve">In Section 7.3.5.15 </w:t>
            </w:r>
            <w:r w:rsidRPr="00C468E4" w:rsidR="00430BCE">
              <w:rPr>
                <w:color w:val="000000" w:themeColor="text1"/>
                <w:sz w:val="20"/>
                <w:szCs w:val="20"/>
              </w:rPr>
              <w:t xml:space="preserve">(or equivalent) </w:t>
            </w:r>
            <w:r w:rsidRPr="00C468E4">
              <w:rPr>
                <w:color w:val="000000" w:themeColor="text1"/>
                <w:sz w:val="20"/>
                <w:szCs w:val="20"/>
              </w:rPr>
              <w:t>of its 2022 WMP Update, SDG&amp;E must:</w:t>
            </w:r>
          </w:p>
          <w:p w:rsidRPr="00C468E4" w:rsidR="00342AE0" w:rsidP="00342AE0" w:rsidRDefault="00342AE0" w14:paraId="34D3A70A" w14:textId="77777777">
            <w:pPr>
              <w:pStyle w:val="Standard"/>
              <w:numPr>
                <w:ilvl w:val="0"/>
                <w:numId w:val="44"/>
              </w:numPr>
              <w:spacing w:after="0"/>
              <w:rPr>
                <w:color w:val="000000" w:themeColor="text1"/>
                <w:sz w:val="20"/>
                <w:szCs w:val="20"/>
              </w:rPr>
            </w:pPr>
            <w:r w:rsidRPr="00C468E4">
              <w:rPr>
                <w:color w:val="000000" w:themeColor="text1"/>
                <w:sz w:val="20"/>
                <w:szCs w:val="20"/>
              </w:rPr>
              <w:t>Describe the methodologies for determining what species it considers “at-risk.”</w:t>
            </w:r>
          </w:p>
          <w:p w:rsidRPr="00C468E4" w:rsidR="00342AE0" w:rsidP="00342AE0" w:rsidRDefault="00342AE0" w14:paraId="36BC08D2" w14:textId="5224015F">
            <w:pPr>
              <w:pStyle w:val="Standard"/>
              <w:numPr>
                <w:ilvl w:val="0"/>
                <w:numId w:val="44"/>
              </w:numPr>
              <w:spacing w:after="0" w:line="259" w:lineRule="auto"/>
              <w:rPr>
                <w:color w:val="000000" w:themeColor="text1"/>
                <w:sz w:val="20"/>
                <w:szCs w:val="20"/>
              </w:rPr>
            </w:pPr>
            <w:r w:rsidRPr="00C468E4">
              <w:rPr>
                <w:color w:val="000000" w:themeColor="text1"/>
                <w:sz w:val="20"/>
                <w:szCs w:val="20"/>
              </w:rPr>
              <w:t>Explain in complete detail why discrepancies exist between the genera with the highest number of</w:t>
            </w:r>
            <w:r w:rsidRPr="00C468E4">
              <w:rPr>
                <w:sz w:val="20"/>
                <w:szCs w:val="20"/>
              </w:rPr>
              <w:t xml:space="preserve"> outages</w:t>
            </w:r>
            <w:r w:rsidRPr="00C468E4">
              <w:rPr>
                <w:color w:val="000000" w:themeColor="text1"/>
                <w:sz w:val="20"/>
                <w:szCs w:val="20"/>
              </w:rPr>
              <w:t xml:space="preserve"> per 1000 trees per year and SDG&amp;E’s “targeted species identified as a higher risk due to growth potential, failure characteristics and relative outage frequency.”</w:t>
            </w:r>
            <w:r w:rsidRPr="00C468E4">
              <w:rPr>
                <w:rStyle w:val="FootnoteReference"/>
                <w:color w:val="000000" w:themeColor="text1"/>
                <w:sz w:val="20"/>
                <w:szCs w:val="20"/>
              </w:rPr>
              <w:footnoteReference w:id="30"/>
            </w:r>
          </w:p>
          <w:p w:rsidRPr="00C468E4" w:rsidR="00342AE0" w:rsidP="00342AE0" w:rsidRDefault="00342AE0" w14:paraId="66AB2020" w14:textId="77777777">
            <w:pPr>
              <w:pStyle w:val="Standard"/>
              <w:numPr>
                <w:ilvl w:val="0"/>
                <w:numId w:val="44"/>
              </w:numPr>
              <w:spacing w:after="0" w:line="259" w:lineRule="auto"/>
              <w:rPr>
                <w:color w:val="000000" w:themeColor="text1"/>
                <w:sz w:val="20"/>
                <w:szCs w:val="20"/>
              </w:rPr>
            </w:pPr>
            <w:r w:rsidRPr="00C468E4">
              <w:rPr>
                <w:color w:val="000000" w:themeColor="text1"/>
                <w:sz w:val="20"/>
                <w:szCs w:val="20"/>
              </w:rPr>
              <w:t>Define quantitative threshold values (whether a standard value, a range of values, or an example of a typical value) for the criteria used to define a tree as “at-risk.”</w:t>
            </w:r>
          </w:p>
        </w:tc>
      </w:tr>
      <w:tr w:rsidRPr="00C468E4" w:rsidR="00CC6257" w:rsidTr="00FC3A00" w14:paraId="041EF64E"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003E7294" w:rsidP="003E7294" w:rsidRDefault="003E7294" w14:paraId="0C32A02D" w14:textId="2E19D0CA">
            <w:r>
              <w:t>SDGE-</w:t>
            </w:r>
            <w:r w:rsidR="004A2C62">
              <w:t>21-</w:t>
            </w:r>
            <w:r w:rsidR="00AD0EA6">
              <w:t>0</w:t>
            </w:r>
            <w:r>
              <w:t>7</w:t>
            </w:r>
          </w:p>
          <w:p w:rsidRPr="00C468E4" w:rsidR="00CC6257" w:rsidP="00342AE0" w:rsidRDefault="00CC6257" w14:paraId="57296DFD" w14:textId="77777777">
            <w:pPr>
              <w:rPr>
                <w:rFonts w:cstheme="minorHAnsi"/>
                <w:szCs w:val="24"/>
              </w:rPr>
            </w:pPr>
          </w:p>
        </w:tc>
        <w:tc>
          <w:tcPr>
            <w:tcW w:w="1276" w:type="pct"/>
            <w:tcBorders>
              <w:top w:val="single" w:color="auto" w:sz="4" w:space="0"/>
              <w:left w:val="single" w:color="auto" w:sz="4" w:space="0"/>
              <w:bottom w:val="single" w:color="auto" w:sz="4" w:space="0"/>
              <w:right w:val="single" w:color="auto" w:sz="4" w:space="0"/>
            </w:tcBorders>
            <w:shd w:val="clear" w:color="auto" w:fill="auto"/>
          </w:tcPr>
          <w:p w:rsidR="00581C22" w:rsidP="00581C22" w:rsidRDefault="00581C22" w14:paraId="70F56115" w14:textId="77777777">
            <w:r w:rsidRPr="008762C2">
              <w:t>Need for quantified vegetation management (VM) compliance targets</w:t>
            </w:r>
          </w:p>
          <w:p w:rsidRPr="00C468E4" w:rsidR="00CC6257" w:rsidP="00342AE0" w:rsidRDefault="00CC6257" w14:paraId="6B6D60CB" w14:textId="77777777">
            <w:pPr>
              <w:rPr>
                <w:rFonts w:cstheme="minorHAnsi"/>
                <w:szCs w:val="24"/>
              </w:rPr>
            </w:pP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B51A9A" w:rsidR="00CC6257" w:rsidP="00342AE0" w:rsidRDefault="00B51A9A" w14:paraId="5E273C70" w14:textId="441385FE">
            <w:pPr>
              <w:rPr>
                <w:sz w:val="20"/>
                <w:szCs w:val="20"/>
              </w:rPr>
            </w:pPr>
            <w:r w:rsidRPr="00785227">
              <w:rPr>
                <w:rFonts w:eastAsia="Calibri"/>
                <w:sz w:val="20"/>
                <w:szCs w:val="20"/>
              </w:rPr>
              <w:t>In Table 12, SDG&amp;E only defines quantitative targets for four of 20 VM initiatives. The WSD</w:t>
            </w:r>
            <w:r w:rsidRPr="00785227">
              <w:rPr>
                <w:sz w:val="22"/>
              </w:rPr>
              <w:t xml:space="preserve"> </w:t>
            </w:r>
            <w:r w:rsidRPr="00785227">
              <w:rPr>
                <w:rFonts w:eastAsia="Calibri"/>
                <w:sz w:val="20"/>
                <w:szCs w:val="20"/>
              </w:rPr>
              <w:t xml:space="preserve">is statutorily required to audit SDG&amp;E when a “substantial portion” of SDG&amp;E’s VM work is </w:t>
            </w:r>
            <w:r w:rsidRPr="00785227">
              <w:rPr>
                <w:rFonts w:eastAsia="Calibri"/>
                <w:sz w:val="20"/>
                <w:szCs w:val="20"/>
              </w:rPr>
              <w:lastRenderedPageBreak/>
              <w:t>complete;</w:t>
            </w:r>
            <w:r w:rsidRPr="00785227">
              <w:rPr>
                <w:rFonts w:eastAsia="Calibri"/>
                <w:szCs w:val="20"/>
                <w:vertAlign w:val="superscript"/>
              </w:rPr>
              <w:footnoteReference w:id="31"/>
            </w:r>
            <w:r w:rsidRPr="00785227">
              <w:rPr>
                <w:sz w:val="22"/>
              </w:rPr>
              <w:t xml:space="preserve"> </w:t>
            </w:r>
            <w:r w:rsidRPr="00785227">
              <w:rPr>
                <w:rFonts w:eastAsia="Calibri"/>
                <w:sz w:val="20"/>
                <w:szCs w:val="20"/>
              </w:rPr>
              <w:t>without quantifiable targets in the WMP and subsequent reporting on those targets in the Quarterly Data Report (QDR) and Quarterly Initiative Update (QIU), the WSD cannot fully realize its statutory obligations.</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964189" w:rsidR="00CC6257" w:rsidP="006F650F" w:rsidRDefault="003566DD" w14:paraId="224675B9" w14:textId="4FE232A8">
            <w:pPr>
              <w:pStyle w:val="Standard"/>
              <w:rPr>
                <w:rFonts w:cstheme="minorHAnsi"/>
                <w:sz w:val="20"/>
                <w:szCs w:val="20"/>
              </w:rPr>
            </w:pPr>
            <w:r w:rsidRPr="003566DD">
              <w:rPr>
                <w:rFonts w:cstheme="minorHAnsi"/>
                <w:sz w:val="20"/>
                <w:szCs w:val="20"/>
              </w:rPr>
              <w:lastRenderedPageBreak/>
              <w:t>SDG&amp;E must define quantitative targets for all VM initiatives in Table 12. If quantitative targets are not applicable to an initiative, SDG&amp;E must fully justify this, define goals within that initiative, and include a timeline in which it expects to achieve those goals.</w:t>
            </w:r>
          </w:p>
        </w:tc>
      </w:tr>
      <w:tr w:rsidRPr="00C468E4" w:rsidR="00342AE0" w:rsidTr="00FC3A00" w14:paraId="36F05905"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665D05B9" w14:textId="2F6BB1B2">
            <w:pPr>
              <w:rPr>
                <w:rFonts w:cs="Calibri"/>
                <w:szCs w:val="24"/>
              </w:rPr>
            </w:pPr>
            <w:r w:rsidRPr="00C468E4">
              <w:rPr>
                <w:rFonts w:cstheme="minorHAnsi"/>
                <w:szCs w:val="24"/>
              </w:rPr>
              <w:t>SDGE</w:t>
            </w:r>
            <w:r w:rsidR="004A2C62">
              <w:rPr>
                <w:rFonts w:cstheme="minorHAnsi"/>
                <w:szCs w:val="24"/>
              </w:rPr>
              <w:t>-21</w:t>
            </w:r>
            <w:r w:rsidRPr="00C468E4">
              <w:rPr>
                <w:rFonts w:cstheme="minorHAnsi"/>
                <w:szCs w:val="24"/>
              </w:rPr>
              <w:t>-</w:t>
            </w:r>
            <w:r w:rsidR="00AD0EA6">
              <w:rPr>
                <w:rFonts w:cstheme="minorHAnsi"/>
                <w:szCs w:val="24"/>
              </w:rPr>
              <w:t>0</w:t>
            </w:r>
            <w:r w:rsidR="00B353E9">
              <w:rPr>
                <w:rFonts w:cstheme="minorHAnsi"/>
                <w:szCs w:val="24"/>
              </w:rPr>
              <w:t>8</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342AE0" w14:paraId="19B16FE3" w14:textId="77777777">
            <w:pPr>
              <w:rPr>
                <w:rFonts w:cs="Calibri"/>
                <w:szCs w:val="24"/>
              </w:rPr>
            </w:pPr>
            <w:r w:rsidRPr="00C468E4">
              <w:rPr>
                <w:rFonts w:cstheme="minorHAnsi"/>
                <w:szCs w:val="24"/>
              </w:rPr>
              <w:t>Non-communicative remote-controlled switches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342AE0" w:rsidP="00342AE0" w:rsidRDefault="0072351E" w14:paraId="7BCB0FDE" w14:textId="4D6D5BE4">
            <w:r w:rsidRPr="00C468E4">
              <w:rPr>
                <w:sz w:val="20"/>
                <w:szCs w:val="20"/>
              </w:rPr>
              <w:t xml:space="preserve">SDG&amp;E experienced several incidents in which non-communicative </w:t>
            </w:r>
            <w:r w:rsidR="00A652B0">
              <w:t xml:space="preserve"> </w:t>
            </w:r>
            <w:r w:rsidRPr="00A652B0" w:rsidR="00A652B0">
              <w:rPr>
                <w:sz w:val="20"/>
                <w:szCs w:val="20"/>
              </w:rPr>
              <w:t xml:space="preserve">Supervisory Control and Data Acquisition </w:t>
            </w:r>
            <w:r w:rsidR="0030019B">
              <w:rPr>
                <w:sz w:val="20"/>
                <w:szCs w:val="20"/>
              </w:rPr>
              <w:t>(</w:t>
            </w:r>
            <w:r w:rsidRPr="00C468E4">
              <w:rPr>
                <w:sz w:val="20"/>
                <w:szCs w:val="20"/>
              </w:rPr>
              <w:t>SCADA</w:t>
            </w:r>
            <w:r w:rsidR="0030019B">
              <w:rPr>
                <w:sz w:val="20"/>
                <w:szCs w:val="20"/>
              </w:rPr>
              <w:t>)</w:t>
            </w:r>
            <w:r w:rsidRPr="00C468E4">
              <w:rPr>
                <w:sz w:val="20"/>
                <w:szCs w:val="20"/>
              </w:rPr>
              <w:t xml:space="preserve"> switches caused customers to be de-energized without notice.</w:t>
            </w:r>
            <w:r w:rsidRPr="00C468E4">
              <w:rPr>
                <w:rStyle w:val="FootnoteReference"/>
                <w:sz w:val="20"/>
                <w:szCs w:val="20"/>
              </w:rPr>
              <w:footnoteReference w:id="32"/>
            </w:r>
            <w:r w:rsidRPr="00C468E4">
              <w:rPr>
                <w:sz w:val="20"/>
                <w:szCs w:val="20"/>
                <w:vertAlign w:val="superscript"/>
              </w:rPr>
              <w:t>,</w:t>
            </w:r>
            <w:r w:rsidRPr="00C468E4">
              <w:rPr>
                <w:rStyle w:val="FootnoteReference"/>
                <w:sz w:val="20"/>
                <w:szCs w:val="20"/>
              </w:rPr>
              <w:footnoteReference w:id="33"/>
            </w:r>
            <w:r w:rsidRPr="00C468E4">
              <w:rPr>
                <w:sz w:val="20"/>
                <w:szCs w:val="20"/>
              </w:rPr>
              <w:t xml:space="preserve"> SDG&amp;E indicate</w:t>
            </w:r>
            <w:r w:rsidRPr="00C468E4" w:rsidR="00EA1690">
              <w:rPr>
                <w:sz w:val="20"/>
                <w:szCs w:val="20"/>
              </w:rPr>
              <w:t>s</w:t>
            </w:r>
            <w:r w:rsidRPr="00C468E4">
              <w:rPr>
                <w:sz w:val="20"/>
                <w:szCs w:val="20"/>
              </w:rPr>
              <w:t xml:space="preserve"> that it has no plans to alter its existing practices to ensure this issue does not continue in the future.</w:t>
            </w:r>
            <w:r w:rsidRPr="00C468E4">
              <w:rPr>
                <w:rStyle w:val="FootnoteReference"/>
                <w:sz w:val="20"/>
                <w:szCs w:val="20"/>
              </w:rPr>
              <w:footnoteReference w:id="34"/>
            </w:r>
            <w:r w:rsidRPr="00C468E4">
              <w:rPr>
                <w:sz w:val="20"/>
                <w:szCs w:val="20"/>
              </w:rPr>
              <w:t xml:space="preserve"> In its WMP Update, SDG&amp;E does not discuss any plans to take system-level proactive steps to validate that existing SCADA switches remain fully functional</w:t>
            </w:r>
            <w:r w:rsidRPr="00C468E4">
              <w:rPr>
                <w:rStyle w:val="FootnoteReference"/>
                <w:sz w:val="20"/>
                <w:szCs w:val="20"/>
              </w:rPr>
              <w:footnoteReference w:id="35"/>
            </w:r>
            <w:r w:rsidRPr="00C468E4">
              <w:rPr>
                <w:sz w:val="20"/>
                <w:szCs w:val="20"/>
              </w:rPr>
              <w:t xml:space="preserve"> or to ensure </w:t>
            </w:r>
            <w:r w:rsidRPr="00C468E4">
              <w:rPr>
                <w:sz w:val="20"/>
                <w:szCs w:val="20"/>
              </w:rPr>
              <w:lastRenderedPageBreak/>
              <w:t xml:space="preserve">that newly installed SCADA switches are fully functional. </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964189" w:rsidR="006F650F" w:rsidP="006F650F" w:rsidRDefault="006F650F" w14:paraId="7E93D961" w14:textId="77777777">
            <w:pPr>
              <w:pStyle w:val="Standard"/>
              <w:rPr>
                <w:rFonts w:cstheme="minorHAnsi"/>
                <w:sz w:val="20"/>
                <w:szCs w:val="20"/>
              </w:rPr>
            </w:pPr>
            <w:r w:rsidRPr="00964189">
              <w:rPr>
                <w:rFonts w:cstheme="minorHAnsi"/>
                <w:sz w:val="20"/>
                <w:szCs w:val="20"/>
              </w:rPr>
              <w:lastRenderedPageBreak/>
              <w:t>SDG&amp;E must:</w:t>
            </w:r>
          </w:p>
          <w:p w:rsidRPr="00785227" w:rsidR="006F650F" w:rsidP="00785227" w:rsidRDefault="00964189" w14:paraId="0907633D" w14:textId="121A2743">
            <w:pPr>
              <w:rPr>
                <w:sz w:val="20"/>
                <w:szCs w:val="20"/>
              </w:rPr>
            </w:pPr>
            <w:r w:rsidRPr="00785227">
              <w:rPr>
                <w:sz w:val="20"/>
                <w:szCs w:val="20"/>
              </w:rPr>
              <w:t xml:space="preserve">1. </w:t>
            </w:r>
            <w:r w:rsidRPr="00785227" w:rsidR="006F650F">
              <w:rPr>
                <w:sz w:val="20"/>
                <w:szCs w:val="20"/>
              </w:rPr>
              <w:t>Discuss its plans to take system-level proactive steps to validate that existing SCADA switches remain fully functional.</w:t>
            </w:r>
          </w:p>
          <w:p w:rsidRPr="00785227" w:rsidR="006F650F" w:rsidP="00785227" w:rsidRDefault="00964189" w14:paraId="7B76DE84" w14:textId="38B3FF61">
            <w:pPr>
              <w:rPr>
                <w:sz w:val="20"/>
                <w:szCs w:val="20"/>
              </w:rPr>
            </w:pPr>
            <w:r>
              <w:rPr>
                <w:sz w:val="20"/>
                <w:szCs w:val="20"/>
              </w:rPr>
              <w:t xml:space="preserve">2. </w:t>
            </w:r>
            <w:r w:rsidRPr="00785227" w:rsidR="006F650F">
              <w:rPr>
                <w:sz w:val="20"/>
                <w:szCs w:val="20"/>
              </w:rPr>
              <w:t>Discuss its plans to ensure that newly installed SCADA switches are fully functional.</w:t>
            </w:r>
          </w:p>
          <w:p w:rsidRPr="00785227" w:rsidR="006F650F" w:rsidP="00785227" w:rsidRDefault="00964189" w14:paraId="1A437979" w14:textId="2BA35C8B">
            <w:pPr>
              <w:rPr>
                <w:sz w:val="20"/>
                <w:szCs w:val="20"/>
              </w:rPr>
            </w:pPr>
            <w:r>
              <w:rPr>
                <w:sz w:val="20"/>
                <w:szCs w:val="20"/>
              </w:rPr>
              <w:t xml:space="preserve">3. </w:t>
            </w:r>
            <w:r w:rsidRPr="00785227" w:rsidR="006F650F">
              <w:rPr>
                <w:sz w:val="20"/>
                <w:szCs w:val="20"/>
              </w:rPr>
              <w:t>Describe the steps it is taking to increase and improve inspections and testing of SCADA switches.</w:t>
            </w:r>
          </w:p>
          <w:p w:rsidRPr="00785227" w:rsidR="00342AE0" w:rsidP="00785227" w:rsidRDefault="00342AE0" w14:paraId="0BD2F43C" w14:textId="776B0CFF">
            <w:pPr>
              <w:rPr>
                <w:sz w:val="20"/>
                <w:szCs w:val="20"/>
              </w:rPr>
            </w:pPr>
          </w:p>
        </w:tc>
      </w:tr>
      <w:tr w:rsidRPr="00C468E4" w:rsidR="008D6CFE" w:rsidTr="00FC3A00" w14:paraId="180D1FE0"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8D6CFE" w:rsidP="008D6CFE" w:rsidRDefault="008D6CFE" w14:paraId="3D93E9A3" w14:textId="518CCB1C">
            <w:pPr>
              <w:rPr>
                <w:rFonts w:cs="Calibri"/>
                <w:color w:val="FF0000"/>
                <w:szCs w:val="24"/>
              </w:rPr>
            </w:pPr>
            <w:r w:rsidRPr="00C468E4">
              <w:rPr>
                <w:rFonts w:cs="Calibri"/>
                <w:szCs w:val="24"/>
              </w:rPr>
              <w:t>SDGE</w:t>
            </w:r>
            <w:r w:rsidR="004A2C62">
              <w:rPr>
                <w:rFonts w:cs="Calibri"/>
                <w:szCs w:val="24"/>
              </w:rPr>
              <w:t>-21</w:t>
            </w:r>
            <w:r w:rsidRPr="00C468E4">
              <w:rPr>
                <w:rFonts w:cs="Calibri"/>
                <w:szCs w:val="24"/>
              </w:rPr>
              <w:t>-</w:t>
            </w:r>
            <w:r w:rsidR="00AD0EA6">
              <w:rPr>
                <w:rFonts w:cs="Calibri"/>
                <w:szCs w:val="24"/>
              </w:rPr>
              <w:t>0</w:t>
            </w:r>
            <w:r w:rsidR="00B353E9">
              <w:rPr>
                <w:rFonts w:cs="Calibri"/>
                <w:szCs w:val="24"/>
              </w:rPr>
              <w:t>9</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8D6CFE" w:rsidDel="00B44821" w:rsidP="008D6CFE" w:rsidRDefault="008D6CFE" w14:paraId="6E76DD5E" w14:textId="2DEAF3A2">
            <w:pPr>
              <w:rPr>
                <w:rFonts w:cs="Calibri"/>
              </w:rPr>
            </w:pPr>
            <w:r w:rsidRPr="00C468E4">
              <w:rPr>
                <w:rFonts w:cs="Calibri"/>
              </w:rPr>
              <w:t>Inadequate transparency associated with SDG&amp;E’s decision-making process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8D6CFE" w:rsidP="008D6CFE" w:rsidRDefault="008D6CFE" w14:paraId="6117401B" w14:textId="670E33C3">
            <w:pPr>
              <w:rPr>
                <w:rFonts w:cs="Calibri"/>
                <w:color w:val="FF0000"/>
                <w:sz w:val="20"/>
                <w:szCs w:val="20"/>
              </w:rPr>
            </w:pPr>
            <w:r w:rsidRPr="00C468E4">
              <w:rPr>
                <w:rFonts w:eastAsia="Calibri" w:cs="Calibri"/>
                <w:sz w:val="20"/>
                <w:szCs w:val="20"/>
              </w:rPr>
              <w:t xml:space="preserve">SDG&amp;E does not clearly explain </w:t>
            </w:r>
            <w:r w:rsidR="008A4088">
              <w:rPr>
                <w:rFonts w:eastAsia="Calibri" w:cs="Calibri"/>
                <w:sz w:val="20"/>
                <w:szCs w:val="20"/>
              </w:rPr>
              <w:t>its</w:t>
            </w:r>
            <w:r w:rsidRPr="00C468E4">
              <w:rPr>
                <w:rFonts w:eastAsia="Calibri" w:cs="Calibri"/>
                <w:sz w:val="20"/>
                <w:szCs w:val="20"/>
              </w:rPr>
              <w:t xml:space="preserve"> initiative</w:t>
            </w:r>
            <w:r w:rsidRPr="00C468E4" w:rsidR="00B96CA4">
              <w:rPr>
                <w:rFonts w:eastAsia="Calibri" w:cs="Calibri"/>
                <w:sz w:val="20"/>
                <w:szCs w:val="20"/>
              </w:rPr>
              <w:t xml:space="preserve"> </w:t>
            </w:r>
            <w:r w:rsidRPr="00C468E4">
              <w:rPr>
                <w:rFonts w:eastAsia="Calibri" w:cs="Calibri"/>
                <w:sz w:val="20"/>
                <w:szCs w:val="20"/>
              </w:rPr>
              <w:t xml:space="preserve">selection process </w:t>
            </w:r>
            <w:r w:rsidR="008A4088">
              <w:rPr>
                <w:rFonts w:eastAsia="Calibri" w:cs="Calibri"/>
                <w:sz w:val="20"/>
                <w:szCs w:val="20"/>
              </w:rPr>
              <w:t>or</w:t>
            </w:r>
            <w:r w:rsidRPr="00C468E4">
              <w:rPr>
                <w:rFonts w:eastAsia="Calibri" w:cs="Calibri"/>
                <w:sz w:val="20"/>
                <w:szCs w:val="20"/>
              </w:rPr>
              <w:t xml:space="preserve"> how RSE estimates impact the process. For example, SDG&amp;E does not quantitively justify the selection of undergrounding compared to other mitigation alternatives. RSE estimates provide a pathway to assess the relative risk reduction benefit provided by mitigation initiatives and inform the initiative selection process.</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8139B5" w:rsidP="008D6CFE" w:rsidRDefault="008139B5" w14:paraId="72AF151B" w14:textId="6D9DFBC4">
            <w:pPr>
              <w:pStyle w:val="Standard"/>
              <w:rPr>
                <w:rFonts w:eastAsia="Calibri"/>
                <w:sz w:val="20"/>
                <w:szCs w:val="20"/>
              </w:rPr>
            </w:pPr>
            <w:r w:rsidRPr="00C468E4">
              <w:rPr>
                <w:rFonts w:eastAsia="Calibri"/>
                <w:sz w:val="20"/>
                <w:szCs w:val="20"/>
              </w:rPr>
              <w:t>SDG&amp;E must:</w:t>
            </w:r>
          </w:p>
          <w:p w:rsidRPr="00C468E4" w:rsidR="008D6CFE" w:rsidP="008D6CFE" w:rsidRDefault="008D6CFE" w14:paraId="56290EB3" w14:textId="2E68EB21">
            <w:pPr>
              <w:pStyle w:val="Standard"/>
              <w:rPr>
                <w:rFonts w:eastAsia="Calibri"/>
                <w:sz w:val="20"/>
                <w:szCs w:val="20"/>
              </w:rPr>
            </w:pPr>
            <w:r w:rsidRPr="00C468E4">
              <w:rPr>
                <w:rFonts w:eastAsia="Calibri"/>
                <w:sz w:val="20"/>
                <w:szCs w:val="20"/>
              </w:rPr>
              <w:t xml:space="preserve">1. </w:t>
            </w:r>
            <w:r w:rsidRPr="00C468E4" w:rsidR="008139B5">
              <w:rPr>
                <w:rFonts w:eastAsia="Calibri"/>
                <w:sz w:val="20"/>
                <w:szCs w:val="20"/>
              </w:rPr>
              <w:t>E</w:t>
            </w:r>
            <w:r w:rsidRPr="00C468E4">
              <w:rPr>
                <w:rFonts w:eastAsia="Calibri"/>
                <w:sz w:val="20"/>
                <w:szCs w:val="20"/>
              </w:rPr>
              <w:t>laborate on its decision-making process to include a thorough overview of the initiative</w:t>
            </w:r>
            <w:r w:rsidRPr="00C468E4" w:rsidR="00B96CA4">
              <w:rPr>
                <w:rFonts w:eastAsia="Calibri"/>
                <w:sz w:val="20"/>
                <w:szCs w:val="20"/>
              </w:rPr>
              <w:t xml:space="preserve"> </w:t>
            </w:r>
            <w:r w:rsidRPr="00C468E4">
              <w:rPr>
                <w:rFonts w:eastAsia="Calibri"/>
                <w:sz w:val="20"/>
                <w:szCs w:val="20"/>
              </w:rPr>
              <w:t xml:space="preserve">selection procedure. The overview must show the rankings of the </w:t>
            </w:r>
            <w:r w:rsidR="0007310B">
              <w:rPr>
                <w:rFonts w:eastAsia="Calibri"/>
                <w:sz w:val="20"/>
                <w:szCs w:val="20"/>
              </w:rPr>
              <w:t xml:space="preserve">relative </w:t>
            </w:r>
            <w:r w:rsidRPr="00C468E4">
              <w:rPr>
                <w:rFonts w:eastAsia="Calibri"/>
                <w:sz w:val="20"/>
                <w:szCs w:val="20"/>
              </w:rPr>
              <w:t>decision-making factors (i.e., planning and execution lead times, resource constraints, etc.) and pinpoint where quantifiable risk reductions and RSE estimates are considered in the initiative</w:t>
            </w:r>
            <w:r w:rsidRPr="00C468E4" w:rsidR="00B96CA4">
              <w:rPr>
                <w:rFonts w:eastAsia="Calibri"/>
                <w:sz w:val="20"/>
                <w:szCs w:val="20"/>
              </w:rPr>
              <w:t xml:space="preserve"> </w:t>
            </w:r>
            <w:r w:rsidRPr="00C468E4">
              <w:rPr>
                <w:rFonts w:eastAsia="Calibri"/>
                <w:sz w:val="20"/>
                <w:szCs w:val="20"/>
              </w:rPr>
              <w:t xml:space="preserve">selection process. The WSD recommends a cascading, dynamic “if-then” style flowchart to </w:t>
            </w:r>
            <w:r w:rsidRPr="00C468E4" w:rsidR="0088437D">
              <w:rPr>
                <w:rFonts w:eastAsia="Calibri"/>
                <w:sz w:val="20"/>
                <w:szCs w:val="20"/>
              </w:rPr>
              <w:t>effectively demonstrate this prioritization process and satisfy this requirement</w:t>
            </w:r>
            <w:r w:rsidRPr="00C468E4">
              <w:rPr>
                <w:rFonts w:eastAsia="Calibri"/>
                <w:sz w:val="20"/>
                <w:szCs w:val="20"/>
              </w:rPr>
              <w:t>.</w:t>
            </w:r>
          </w:p>
          <w:p w:rsidRPr="00C468E4" w:rsidR="008D6CFE" w:rsidP="008D6CFE" w:rsidRDefault="008D6CFE" w14:paraId="54032772" w14:textId="0993BE9E">
            <w:pPr>
              <w:pStyle w:val="Standard"/>
              <w:rPr>
                <w:rFonts w:cstheme="minorHAnsi"/>
                <w:color w:val="FF0000"/>
                <w:sz w:val="20"/>
                <w:szCs w:val="20"/>
              </w:rPr>
            </w:pPr>
            <w:r w:rsidRPr="00C468E4">
              <w:rPr>
                <w:rFonts w:eastAsia="Calibri"/>
                <w:sz w:val="20"/>
                <w:szCs w:val="20"/>
              </w:rPr>
              <w:t xml:space="preserve">2. Using the newly developed decision-making overview, </w:t>
            </w:r>
            <w:r w:rsidRPr="00C468E4" w:rsidR="008139B5">
              <w:rPr>
                <w:rFonts w:eastAsia="Calibri"/>
                <w:sz w:val="20"/>
                <w:szCs w:val="20"/>
              </w:rPr>
              <w:t xml:space="preserve"> </w:t>
            </w:r>
            <w:r w:rsidRPr="00C468E4">
              <w:rPr>
                <w:rFonts w:eastAsia="Calibri"/>
                <w:sz w:val="20"/>
                <w:szCs w:val="20"/>
              </w:rPr>
              <w:t xml:space="preserve">demonstrate that its undergrounding </w:t>
            </w:r>
            <w:r w:rsidRPr="00C468E4" w:rsidR="002C63B8">
              <w:rPr>
                <w:rFonts w:eastAsia="Calibri"/>
                <w:sz w:val="20"/>
                <w:szCs w:val="20"/>
              </w:rPr>
              <w:t xml:space="preserve">projects </w:t>
            </w:r>
            <w:r w:rsidRPr="00C468E4" w:rsidR="001059FB">
              <w:rPr>
                <w:rFonts w:eastAsia="Calibri"/>
                <w:sz w:val="20"/>
                <w:szCs w:val="20"/>
              </w:rPr>
              <w:t xml:space="preserve">are </w:t>
            </w:r>
            <w:r w:rsidRPr="00C468E4">
              <w:rPr>
                <w:rFonts w:eastAsia="Calibri"/>
                <w:sz w:val="20"/>
                <w:szCs w:val="20"/>
              </w:rPr>
              <w:t xml:space="preserve">a reasonable and effective use of resources </w:t>
            </w:r>
            <w:r w:rsidRPr="00C468E4" w:rsidR="00B11FEA">
              <w:rPr>
                <w:rFonts w:eastAsia="Calibri"/>
                <w:sz w:val="20"/>
                <w:szCs w:val="20"/>
              </w:rPr>
              <w:t>to</w:t>
            </w:r>
            <w:r w:rsidRPr="00C468E4" w:rsidR="002C63B8">
              <w:rPr>
                <w:rFonts w:eastAsia="Calibri"/>
                <w:sz w:val="20"/>
                <w:szCs w:val="20"/>
              </w:rPr>
              <w:t xml:space="preserve"> achieve risk reduction </w:t>
            </w:r>
            <w:r w:rsidRPr="00C468E4">
              <w:rPr>
                <w:rFonts w:eastAsia="Calibri"/>
                <w:sz w:val="20"/>
                <w:szCs w:val="20"/>
              </w:rPr>
              <w:t xml:space="preserve">compared to other </w:t>
            </w:r>
            <w:r w:rsidRPr="00C468E4" w:rsidR="00050E76">
              <w:rPr>
                <w:rFonts w:eastAsia="Calibri"/>
                <w:sz w:val="20"/>
                <w:szCs w:val="20"/>
              </w:rPr>
              <w:t>mitigation</w:t>
            </w:r>
            <w:r w:rsidRPr="00C468E4">
              <w:rPr>
                <w:rFonts w:eastAsia="Calibri"/>
                <w:sz w:val="20"/>
                <w:szCs w:val="20"/>
              </w:rPr>
              <w:t xml:space="preserve"> alternatives.</w:t>
            </w:r>
          </w:p>
        </w:tc>
      </w:tr>
      <w:tr w:rsidRPr="00C468E4" w:rsidR="008F7CBE" w:rsidTr="00FC3A00" w14:paraId="4FE8992A"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8F7CBE" w14:paraId="4A8C9796" w14:textId="75ABCFC9">
            <w:pPr>
              <w:rPr>
                <w:rFonts w:cs="Calibri"/>
                <w:szCs w:val="24"/>
              </w:rPr>
            </w:pPr>
            <w:r w:rsidRPr="00C468E4">
              <w:rPr>
                <w:rFonts w:cs="Calibri"/>
                <w:szCs w:val="24"/>
              </w:rPr>
              <w:t>SDGE</w:t>
            </w:r>
            <w:r w:rsidR="004A2C62">
              <w:rPr>
                <w:rFonts w:cs="Calibri"/>
                <w:szCs w:val="24"/>
              </w:rPr>
              <w:t>-21</w:t>
            </w:r>
            <w:r w:rsidRPr="00C468E4">
              <w:rPr>
                <w:rFonts w:cs="Calibri"/>
                <w:szCs w:val="24"/>
              </w:rPr>
              <w:t>-</w:t>
            </w:r>
            <w:r w:rsidR="00B353E9">
              <w:rPr>
                <w:rFonts w:cs="Calibri"/>
                <w:szCs w:val="24"/>
              </w:rPr>
              <w:t>10</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8F7CBE" w14:paraId="0EA02CB6" w14:textId="31FB5A12">
            <w:pPr>
              <w:rPr>
                <w:rFonts w:cs="Calibri"/>
                <w:szCs w:val="24"/>
              </w:rPr>
            </w:pPr>
            <w:r w:rsidRPr="00C468E4">
              <w:rPr>
                <w:rFonts w:cs="Calibri"/>
                <w:szCs w:val="24"/>
              </w:rPr>
              <w:t>Insufficient detail regarding prioritization of HFTD in undergrounding and covered conductor mitigation efforts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8F7CBE" w14:paraId="31E00614" w14:textId="2C06170C">
            <w:pPr>
              <w:rPr>
                <w:rFonts w:cs="Calibri"/>
                <w:color w:val="FF0000"/>
                <w:sz w:val="20"/>
                <w:szCs w:val="20"/>
              </w:rPr>
            </w:pPr>
            <w:r w:rsidRPr="00C468E4">
              <w:rPr>
                <w:rFonts w:eastAsia="Calibri" w:cs="Calibri"/>
                <w:sz w:val="20"/>
                <w:szCs w:val="20"/>
              </w:rPr>
              <w:t>Stakeholders expressed concerns that SDG&amp;E is not adequately targeting its covered conductor installations and undergrounding efforts to high-risk circuits in its HFTD areas.</w:t>
            </w:r>
            <w:r w:rsidRPr="00C468E4">
              <w:rPr>
                <w:rStyle w:val="FootnoteReference"/>
                <w:rFonts w:eastAsia="Calibri" w:cs="Calibri"/>
                <w:sz w:val="20"/>
                <w:szCs w:val="20"/>
              </w:rPr>
              <w:footnoteReference w:id="36"/>
            </w:r>
            <w:r w:rsidRPr="00C468E4">
              <w:rPr>
                <w:rFonts w:eastAsia="Calibri" w:cs="Calibri"/>
                <w:sz w:val="20"/>
                <w:szCs w:val="20"/>
              </w:rPr>
              <w:t xml:space="preserve"> It can be more cost-effective to bundle projects in proximate geographic areas</w:t>
            </w:r>
            <w:r w:rsidRPr="00C468E4">
              <w:rPr>
                <w:rStyle w:val="FootnoteReference"/>
                <w:rFonts w:eastAsia="Calibri" w:cs="Calibri"/>
                <w:sz w:val="20"/>
                <w:szCs w:val="20"/>
              </w:rPr>
              <w:footnoteReference w:id="37"/>
            </w:r>
            <w:r w:rsidRPr="00C468E4">
              <w:rPr>
                <w:rFonts w:eastAsia="Calibri" w:cs="Calibri"/>
                <w:sz w:val="20"/>
                <w:szCs w:val="20"/>
              </w:rPr>
              <w:t xml:space="preserve"> than to perform mitigation initiatives strictly from </w:t>
            </w:r>
            <w:r w:rsidRPr="00C468E4">
              <w:rPr>
                <w:rFonts w:eastAsia="Calibri" w:cs="Calibri"/>
                <w:sz w:val="20"/>
                <w:szCs w:val="20"/>
              </w:rPr>
              <w:lastRenderedPageBreak/>
              <w:t>the highest priority circuit segment to the lowest. Additionally, a strictly hierarchical strategy would not necessarily reduce PSPS events in the near</w:t>
            </w:r>
            <w:r w:rsidRPr="00C468E4" w:rsidR="00232011">
              <w:rPr>
                <w:rFonts w:eastAsia="Calibri" w:cs="Calibri"/>
                <w:sz w:val="20"/>
                <w:szCs w:val="20"/>
              </w:rPr>
              <w:t xml:space="preserve"> </w:t>
            </w:r>
            <w:r w:rsidRPr="00C468E4">
              <w:rPr>
                <w:rFonts w:eastAsia="Calibri" w:cs="Calibri"/>
                <w:sz w:val="20"/>
                <w:szCs w:val="20"/>
              </w:rPr>
              <w:t xml:space="preserve">term. It is therefore </w:t>
            </w:r>
            <w:r w:rsidRPr="00785227">
              <w:rPr>
                <w:rFonts w:eastAsia="Calibri" w:cs="Calibri"/>
                <w:i/>
                <w:iCs/>
                <w:sz w:val="20"/>
                <w:szCs w:val="20"/>
              </w:rPr>
              <w:t>theoretically</w:t>
            </w:r>
            <w:r w:rsidRPr="00C468E4">
              <w:rPr>
                <w:rFonts w:eastAsia="Calibri" w:cs="Calibri"/>
                <w:sz w:val="20"/>
                <w:szCs w:val="20"/>
              </w:rPr>
              <w:t xml:space="preserve"> possible that a strategy of directing 100% of mitigation efforts to HFTD areas may not be the most reasonable and cost-effective strategy for reducing wildfire risk and PSPS events. However, SDG&amp;E does not provide sufficient detail regarding its strategy for determining workflow to fully assess if SDG&amp;E is sufficiently prioritizing HFTD areas in its undergrounding and covered conductor mitigation efforts. SDG&amp;E must effectively demonstrate that its mitigation efforts are focused on efficiently reducing wildfire risk and PSPS events. </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8F7CBE" w:rsidP="008F7CBE" w:rsidRDefault="00FA3255" w14:paraId="7A55FD70" w14:textId="5F8CD39A">
            <w:pPr>
              <w:pStyle w:val="Standard"/>
              <w:rPr>
                <w:rFonts w:cstheme="minorHAnsi"/>
                <w:color w:val="FF0000"/>
                <w:sz w:val="20"/>
                <w:szCs w:val="20"/>
              </w:rPr>
            </w:pPr>
            <w:r w:rsidRPr="00C468E4">
              <w:rPr>
                <w:rFonts w:eastAsia="Calibri"/>
                <w:sz w:val="20"/>
                <w:szCs w:val="20"/>
              </w:rPr>
              <w:lastRenderedPageBreak/>
              <w:t>SDG&amp;E must fully demonstrate that its undergrounding and covered conductor mitigation efforts are focused on efficiently reducing wildfire risk and PSPS events, including a description of how SDG&amp;E determines the order in which circuit segments are scheduled for mitigation.</w:t>
            </w:r>
          </w:p>
        </w:tc>
      </w:tr>
      <w:tr w:rsidRPr="00C468E4" w:rsidR="007A6701" w:rsidTr="00FC3A00" w14:paraId="649A94BC" w14:textId="77777777">
        <w:trPr>
          <w:trHeight w:val="630"/>
        </w:trPr>
        <w:tc>
          <w:tcPr>
            <w:tcW w:w="610" w:type="pct"/>
            <w:tcBorders>
              <w:top w:val="single" w:color="auto" w:sz="4" w:space="0"/>
              <w:left w:val="single" w:color="auto" w:sz="4" w:space="0"/>
              <w:bottom w:val="single" w:color="auto" w:sz="4" w:space="0"/>
              <w:right w:val="single" w:color="auto" w:sz="4" w:space="0"/>
            </w:tcBorders>
            <w:shd w:val="clear" w:color="auto" w:fill="auto"/>
          </w:tcPr>
          <w:p w:rsidRPr="00C468E4" w:rsidR="007A6701" w:rsidP="007A6701" w:rsidRDefault="007A6701" w14:paraId="1A2B4C40" w14:textId="0A34F239">
            <w:pPr>
              <w:rPr>
                <w:rFonts w:cs="Calibri"/>
                <w:szCs w:val="24"/>
              </w:rPr>
            </w:pPr>
            <w:r w:rsidRPr="00C468E4">
              <w:rPr>
                <w:rFonts w:cs="Calibri"/>
                <w:szCs w:val="24"/>
              </w:rPr>
              <w:t>SDGE-</w:t>
            </w:r>
            <w:r w:rsidR="004A2C62">
              <w:rPr>
                <w:rFonts w:cs="Calibri"/>
                <w:szCs w:val="24"/>
              </w:rPr>
              <w:t>21-</w:t>
            </w:r>
            <w:r w:rsidRPr="00C468E4" w:rsidR="00FC3A00">
              <w:rPr>
                <w:rFonts w:cs="Calibri"/>
                <w:szCs w:val="24"/>
              </w:rPr>
              <w:t>1</w:t>
            </w:r>
            <w:r w:rsidR="00B353E9">
              <w:rPr>
                <w:rFonts w:cs="Calibri"/>
                <w:szCs w:val="24"/>
              </w:rPr>
              <w:t>1</w:t>
            </w:r>
          </w:p>
        </w:tc>
        <w:tc>
          <w:tcPr>
            <w:tcW w:w="1276" w:type="pct"/>
            <w:tcBorders>
              <w:top w:val="single" w:color="auto" w:sz="4" w:space="0"/>
              <w:left w:val="single" w:color="auto" w:sz="4" w:space="0"/>
              <w:bottom w:val="single" w:color="auto" w:sz="4" w:space="0"/>
              <w:right w:val="single" w:color="auto" w:sz="4" w:space="0"/>
            </w:tcBorders>
            <w:shd w:val="clear" w:color="auto" w:fill="auto"/>
          </w:tcPr>
          <w:p w:rsidRPr="00C468E4" w:rsidR="007A6701" w:rsidP="007A6701" w:rsidRDefault="007A6701" w14:paraId="0A18FB2F" w14:textId="20C8A83A">
            <w:pPr>
              <w:rPr>
                <w:rFonts w:cs="Calibri"/>
                <w:szCs w:val="24"/>
              </w:rPr>
            </w:pPr>
            <w:r w:rsidRPr="00C468E4">
              <w:rPr>
                <w:rFonts w:cs="Calibri"/>
                <w:szCs w:val="24"/>
              </w:rPr>
              <w:t>RSE values vary across utilities</w:t>
            </w:r>
          </w:p>
        </w:tc>
        <w:tc>
          <w:tcPr>
            <w:tcW w:w="1274" w:type="pct"/>
            <w:tcBorders>
              <w:top w:val="single" w:color="auto" w:sz="4" w:space="0"/>
              <w:left w:val="single" w:color="auto" w:sz="4" w:space="0"/>
              <w:bottom w:val="single" w:color="auto" w:sz="4" w:space="0"/>
              <w:right w:val="single" w:color="auto" w:sz="4" w:space="0"/>
            </w:tcBorders>
            <w:shd w:val="clear" w:color="auto" w:fill="auto"/>
          </w:tcPr>
          <w:p w:rsidRPr="00C468E4" w:rsidR="007A6701" w:rsidP="007A6701" w:rsidRDefault="007F5C63" w14:paraId="7B68FBEF" w14:textId="10530DC9">
            <w:pPr>
              <w:rPr>
                <w:rFonts w:eastAsia="Calibri" w:cs="Calibri"/>
                <w:sz w:val="20"/>
                <w:szCs w:val="20"/>
              </w:rPr>
            </w:pPr>
            <w:r w:rsidRPr="00C468E4">
              <w:rPr>
                <w:rFonts w:eastAsia="Calibri" w:cs="Calibri"/>
                <w:sz w:val="20"/>
                <w:szCs w:val="20"/>
              </w:rPr>
              <w:t xml:space="preserve">The WSD is concerned by the stark variances in RSE estimates, sometimes on several orders of magnitude, for the same initiatives calculated by different utilities. For example, PGE’s RSE for covered </w:t>
            </w:r>
            <w:r w:rsidRPr="00C468E4">
              <w:rPr>
                <w:rFonts w:eastAsia="Calibri" w:cs="Calibri"/>
                <w:sz w:val="20"/>
                <w:szCs w:val="20"/>
              </w:rPr>
              <w:lastRenderedPageBreak/>
              <w:t>conductor installation was 4.08,</w:t>
            </w:r>
            <w:r w:rsidRPr="00C468E4">
              <w:rPr>
                <w:rFonts w:eastAsia="Calibri" w:cs="Calibri"/>
                <w:sz w:val="20"/>
                <w:szCs w:val="20"/>
                <w:vertAlign w:val="superscript"/>
              </w:rPr>
              <w:footnoteReference w:id="38"/>
            </w:r>
            <w:r w:rsidRPr="00C468E4">
              <w:rPr>
                <w:rFonts w:eastAsia="Calibri" w:cs="Calibri"/>
                <w:sz w:val="20"/>
                <w:szCs w:val="20"/>
              </w:rPr>
              <w:t xml:space="preserve"> SDGE’s RSE was 76.73,</w:t>
            </w:r>
            <w:r w:rsidRPr="00C468E4">
              <w:rPr>
                <w:rFonts w:eastAsia="Calibri" w:cs="Calibri"/>
                <w:sz w:val="20"/>
                <w:szCs w:val="20"/>
                <w:vertAlign w:val="superscript"/>
              </w:rPr>
              <w:footnoteReference w:id="39"/>
            </w:r>
            <w:r w:rsidRPr="00C468E4">
              <w:rPr>
                <w:rFonts w:eastAsia="Calibri" w:cs="Calibri"/>
                <w:sz w:val="20"/>
                <w:szCs w:val="20"/>
              </w:rPr>
              <w:t xml:space="preserve"> and SCE’s RSE was 4,192.</w:t>
            </w:r>
            <w:r w:rsidRPr="00C468E4">
              <w:rPr>
                <w:rFonts w:eastAsia="Calibri" w:cs="Calibri"/>
                <w:sz w:val="20"/>
                <w:szCs w:val="20"/>
                <w:vertAlign w:val="superscript"/>
              </w:rPr>
              <w:footnoteReference w:id="40"/>
            </w:r>
            <w:r w:rsidRPr="00C468E4">
              <w:rPr>
                <w:rFonts w:eastAsia="Calibri" w:cs="Calibri"/>
                <w:sz w:val="20"/>
                <w:szCs w:val="20"/>
              </w:rPr>
              <w:t xml:space="preserve"> These drastic differences reveal that there are significant discrepancies </w:t>
            </w:r>
            <w:r w:rsidRPr="00676BAE" w:rsidR="00676BAE">
              <w:rPr>
                <w:rFonts w:eastAsia="Calibri" w:cs="Calibri"/>
                <w:sz w:val="20"/>
                <w:szCs w:val="20"/>
              </w:rPr>
              <w:t>between the utilities’ inputs and assumptions</w:t>
            </w:r>
            <w:r w:rsidR="00676BAE">
              <w:rPr>
                <w:rFonts w:eastAsia="Calibri" w:cs="Calibri"/>
                <w:sz w:val="20"/>
                <w:szCs w:val="20"/>
              </w:rPr>
              <w:t>,</w:t>
            </w:r>
            <w:r w:rsidRPr="00676BAE" w:rsidR="00676BAE">
              <w:rPr>
                <w:rFonts w:eastAsia="Calibri" w:cs="Calibri"/>
                <w:sz w:val="20"/>
                <w:szCs w:val="20"/>
              </w:rPr>
              <w:t xml:space="preserve"> </w:t>
            </w:r>
            <w:r w:rsidRPr="00C468E4">
              <w:rPr>
                <w:rFonts w:eastAsia="Calibri" w:cs="Calibri"/>
                <w:sz w:val="20"/>
                <w:szCs w:val="20"/>
              </w:rPr>
              <w:t>which further support the need for exploration and alignment of these calculations.</w:t>
            </w:r>
          </w:p>
        </w:tc>
        <w:tc>
          <w:tcPr>
            <w:tcW w:w="1840" w:type="pct"/>
            <w:tcBorders>
              <w:top w:val="single" w:color="auto" w:sz="4" w:space="0"/>
              <w:left w:val="single" w:color="auto" w:sz="4" w:space="0"/>
              <w:bottom w:val="single" w:color="auto" w:sz="4" w:space="0"/>
              <w:right w:val="single" w:color="auto" w:sz="4" w:space="0"/>
            </w:tcBorders>
            <w:shd w:val="clear" w:color="auto" w:fill="auto"/>
          </w:tcPr>
          <w:p w:rsidRPr="00C468E4" w:rsidR="000D4698" w:rsidP="000D4698" w:rsidRDefault="000D4698" w14:paraId="0A8B7B87" w14:textId="003FF222">
            <w:pPr>
              <w:pStyle w:val="Standard"/>
              <w:rPr>
                <w:rFonts w:eastAsia="Calibri"/>
                <w:sz w:val="20"/>
                <w:szCs w:val="20"/>
              </w:rPr>
            </w:pPr>
            <w:r w:rsidRPr="00C468E4">
              <w:rPr>
                <w:rFonts w:eastAsia="Calibri"/>
                <w:sz w:val="20"/>
                <w:szCs w:val="20"/>
              </w:rPr>
              <w:lastRenderedPageBreak/>
              <w:t>The utilities</w:t>
            </w:r>
            <w:r w:rsidRPr="00C468E4">
              <w:rPr>
                <w:rFonts w:eastAsia="Calibri"/>
                <w:sz w:val="20"/>
                <w:szCs w:val="20"/>
                <w:vertAlign w:val="superscript"/>
              </w:rPr>
              <w:footnoteReference w:id="41"/>
            </w:r>
            <w:r w:rsidRPr="00C468E4">
              <w:rPr>
                <w:rFonts w:eastAsia="Calibri"/>
                <w:sz w:val="20"/>
                <w:szCs w:val="20"/>
              </w:rPr>
              <w:t xml:space="preserve"> must collaborate through a working group facilitated by Energy Safety</w:t>
            </w:r>
            <w:r w:rsidRPr="00C468E4">
              <w:rPr>
                <w:rFonts w:eastAsia="Calibri"/>
                <w:sz w:val="20"/>
                <w:szCs w:val="20"/>
                <w:vertAlign w:val="superscript"/>
              </w:rPr>
              <w:footnoteReference w:id="42"/>
            </w:r>
            <w:r w:rsidRPr="00C468E4">
              <w:rPr>
                <w:rFonts w:eastAsia="Calibri"/>
                <w:sz w:val="20"/>
                <w:szCs w:val="20"/>
              </w:rPr>
              <w:t xml:space="preserve"> to develop a more standardized approach to </w:t>
            </w:r>
            <w:r w:rsidR="003A3257">
              <w:rPr>
                <w:rFonts w:eastAsia="Calibri"/>
                <w:sz w:val="20"/>
                <w:szCs w:val="20"/>
              </w:rPr>
              <w:t xml:space="preserve">the inputs and assumptions </w:t>
            </w:r>
            <w:r w:rsidRPr="00BD7F1D" w:rsidR="00BD7F1D">
              <w:rPr>
                <w:rFonts w:eastAsia="Calibri"/>
                <w:sz w:val="20"/>
                <w:szCs w:val="20"/>
              </w:rPr>
              <w:t>used for RSE calculations</w:t>
            </w:r>
            <w:r w:rsidRPr="00C468E4">
              <w:rPr>
                <w:rFonts w:eastAsia="Calibri"/>
                <w:sz w:val="20"/>
                <w:szCs w:val="20"/>
              </w:rPr>
              <w:t xml:space="preserve">. After the WSD completes its evaluation of the 2021 WMP Updates, it will provide </w:t>
            </w:r>
            <w:r w:rsidRPr="00C468E4">
              <w:rPr>
                <w:rFonts w:eastAsia="Calibri"/>
                <w:sz w:val="20"/>
                <w:szCs w:val="20"/>
              </w:rPr>
              <w:lastRenderedPageBreak/>
              <w:t xml:space="preserve">additional detail on the specifics of this working group. </w:t>
            </w:r>
          </w:p>
          <w:p w:rsidRPr="00C468E4" w:rsidR="000D4698" w:rsidP="000D4698" w:rsidRDefault="00670507" w14:paraId="0D745526" w14:textId="682506C2">
            <w:pPr>
              <w:pStyle w:val="Standard"/>
              <w:spacing w:after="160"/>
              <w:rPr>
                <w:rStyle w:val="normaltextrun"/>
                <w:sz w:val="20"/>
                <w:szCs w:val="20"/>
              </w:rPr>
            </w:pPr>
            <w:r w:rsidRPr="0069658C">
              <w:rPr>
                <w:sz w:val="20"/>
                <w:szCs w:val="20"/>
              </w:rPr>
              <w:t xml:space="preserve">This working group will focus on addressing the inconsistencies between the inputs and assumptions </w:t>
            </w:r>
            <w:r w:rsidRPr="00670507">
              <w:rPr>
                <w:sz w:val="20"/>
                <w:szCs w:val="20"/>
              </w:rPr>
              <w:t>used by the utilities for</w:t>
            </w:r>
            <w:r w:rsidRPr="0069658C">
              <w:rPr>
                <w:sz w:val="20"/>
                <w:szCs w:val="20"/>
              </w:rPr>
              <w:t xml:space="preserve"> their RSE calculations, which will allow for</w:t>
            </w:r>
            <w:r w:rsidRPr="00670507" w:rsidDel="00670507">
              <w:rPr>
                <w:sz w:val="20"/>
                <w:szCs w:val="20"/>
              </w:rPr>
              <w:t xml:space="preserve"> </w:t>
            </w:r>
            <w:r w:rsidRPr="00C468E4" w:rsidR="000D4698">
              <w:rPr>
                <w:rStyle w:val="normaltextrun"/>
                <w:sz w:val="20"/>
                <w:szCs w:val="20"/>
              </w:rPr>
              <w:t>:</w:t>
            </w:r>
          </w:p>
          <w:p w:rsidRPr="00C468E4" w:rsidR="000D4698" w:rsidP="000D4698" w:rsidRDefault="000D4698" w14:paraId="42F34981" w14:textId="77777777">
            <w:pPr>
              <w:pStyle w:val="Standard"/>
              <w:numPr>
                <w:ilvl w:val="0"/>
                <w:numId w:val="53"/>
              </w:numPr>
              <w:spacing w:after="0" w:line="259" w:lineRule="auto"/>
              <w:rPr>
                <w:rStyle w:val="normaltextrun"/>
                <w:sz w:val="20"/>
                <w:szCs w:val="20"/>
              </w:rPr>
            </w:pPr>
            <w:r w:rsidRPr="00C468E4">
              <w:rPr>
                <w:rStyle w:val="normaltextrun"/>
                <w:sz w:val="20"/>
                <w:szCs w:val="20"/>
              </w:rPr>
              <w:t>Collaboration among the utilities;</w:t>
            </w:r>
          </w:p>
          <w:p w:rsidRPr="00C468E4" w:rsidR="000D4698" w:rsidP="000D4698" w:rsidRDefault="000D4698" w14:paraId="18E05FED" w14:textId="77777777">
            <w:pPr>
              <w:pStyle w:val="Standard"/>
              <w:numPr>
                <w:ilvl w:val="0"/>
                <w:numId w:val="53"/>
              </w:numPr>
              <w:spacing w:after="0" w:line="259" w:lineRule="auto"/>
              <w:rPr>
                <w:rStyle w:val="normaltextrun"/>
                <w:sz w:val="20"/>
                <w:szCs w:val="20"/>
              </w:rPr>
            </w:pPr>
            <w:r w:rsidRPr="00C468E4">
              <w:rPr>
                <w:rStyle w:val="normaltextrun"/>
                <w:sz w:val="20"/>
                <w:szCs w:val="20"/>
              </w:rPr>
              <w:t>Stakeholder and academic expert input; and</w:t>
            </w:r>
          </w:p>
          <w:p w:rsidRPr="00C468E4" w:rsidR="007A6701" w:rsidP="009A5337" w:rsidRDefault="000D4698" w14:paraId="0595F311" w14:textId="477D7D0B">
            <w:pPr>
              <w:pStyle w:val="Standard"/>
              <w:numPr>
                <w:ilvl w:val="0"/>
                <w:numId w:val="53"/>
              </w:numPr>
              <w:spacing w:after="0" w:line="259" w:lineRule="auto"/>
              <w:rPr>
                <w:sz w:val="20"/>
                <w:szCs w:val="20"/>
              </w:rPr>
            </w:pPr>
            <w:r w:rsidRPr="00C468E4">
              <w:rPr>
                <w:rStyle w:val="normaltextrun"/>
                <w:sz w:val="20"/>
              </w:rPr>
              <w:t>Increased transparency. </w:t>
            </w:r>
          </w:p>
        </w:tc>
      </w:tr>
    </w:tbl>
    <w:p w:rsidRPr="00C468E4" w:rsidR="0072451F" w:rsidP="0072451F" w:rsidRDefault="0072451F" w14:paraId="2948B441" w14:textId="77777777">
      <w:pPr>
        <w:pStyle w:val="Standard"/>
        <w:rPr>
          <w:rFonts w:asciiTheme="minorHAnsi" w:hAnsiTheme="minorHAnsi" w:cstheme="minorHAnsi"/>
        </w:rPr>
      </w:pPr>
    </w:p>
    <w:p w:rsidRPr="00C468E4" w:rsidR="00050B84" w:rsidP="006335BC" w:rsidRDefault="009F2DF2" w14:paraId="62126DDB" w14:textId="0977B059">
      <w:pPr>
        <w:pStyle w:val="Standard"/>
        <w:rPr>
          <w:b/>
        </w:rPr>
      </w:pPr>
      <w:r w:rsidRPr="00C468E4">
        <w:rPr>
          <w:b/>
        </w:rPr>
        <w:t>6.4</w:t>
      </w:r>
      <w:r w:rsidR="00714D8B">
        <w:rPr>
          <w:b/>
        </w:rPr>
        <w:t>.</w:t>
      </w:r>
      <w:r w:rsidRPr="00C468E4" w:rsidR="00C30081">
        <w:rPr>
          <w:b/>
        </w:rPr>
        <w:t xml:space="preserve"> Wildfire Mitigation</w:t>
      </w:r>
      <w:r w:rsidRPr="00C468E4">
        <w:rPr>
          <w:b/>
        </w:rPr>
        <w:t xml:space="preserve"> Cost</w:t>
      </w:r>
      <w:r w:rsidRPr="00C468E4" w:rsidR="00C30081">
        <w:rPr>
          <w:b/>
        </w:rPr>
        <w:t>s</w:t>
      </w:r>
    </w:p>
    <w:p w:rsidRPr="00C468E4" w:rsidR="001E4D4E" w:rsidP="006335BC" w:rsidRDefault="009F2DF2" w14:paraId="6C1F27C2" w14:textId="77777777">
      <w:pPr>
        <w:pStyle w:val="Standard"/>
      </w:pPr>
      <w:r w:rsidRPr="00C468E4">
        <w:t xml:space="preserve">Pursuant to statute, an electrical corporation’s costs associated with wildfire mitigation activities </w:t>
      </w:r>
      <w:r w:rsidRPr="00C468E4" w:rsidR="008D7D07">
        <w:t>are</w:t>
      </w:r>
      <w:r w:rsidRPr="00C468E4">
        <w:t xml:space="preserve"> not </w:t>
      </w:r>
      <w:r w:rsidRPr="00C468E4" w:rsidR="00C30081">
        <w:t>approved as part of its WMP; rather, costs are evaluated in each electrical corporation’s General Rate Case</w:t>
      </w:r>
      <w:r w:rsidRPr="00C468E4" w:rsidR="00F45A2D">
        <w:t xml:space="preserve"> or other application for rate recovery</w:t>
      </w:r>
      <w:r w:rsidRPr="00C468E4" w:rsidR="00C30081">
        <w:t xml:space="preserve">. </w:t>
      </w:r>
    </w:p>
    <w:p w:rsidRPr="00C468E4" w:rsidR="003462A4" w:rsidP="006335BC" w:rsidRDefault="00F91B94" w14:paraId="22C5C750" w14:textId="5B902D57">
      <w:pPr>
        <w:pStyle w:val="Standard"/>
        <w:rPr>
          <w:color w:val="FF0000"/>
        </w:rPr>
      </w:pPr>
      <w:r w:rsidRPr="00C468E4">
        <w:t>In SDG&amp;E’s 2021 WMP Update, actual 2020 mitigation costs were higher than projected costs for 2020</w:t>
      </w:r>
      <w:r w:rsidRPr="00C468E4" w:rsidR="00AE24B0">
        <w:t xml:space="preserve"> (the 2020 </w:t>
      </w:r>
      <w:r w:rsidRPr="00C468E4" w:rsidR="00335B73">
        <w:t>projected</w:t>
      </w:r>
      <w:r w:rsidRPr="00C468E4" w:rsidR="00AE24B0">
        <w:t xml:space="preserve"> </w:t>
      </w:r>
      <w:r w:rsidRPr="00C468E4" w:rsidR="00B91C61">
        <w:t>cost</w:t>
      </w:r>
      <w:r w:rsidRPr="00C468E4" w:rsidR="004B50A8">
        <w:t>s</w:t>
      </w:r>
      <w:r w:rsidRPr="00C468E4" w:rsidR="00F63D13">
        <w:t xml:space="preserve"> w</w:t>
      </w:r>
      <w:r w:rsidRPr="00C468E4" w:rsidR="004B50A8">
        <w:t>ere</w:t>
      </w:r>
      <w:r w:rsidRPr="00C468E4" w:rsidR="00F63D13">
        <w:t xml:space="preserve"> $452</w:t>
      </w:r>
      <w:r w:rsidRPr="00C468E4" w:rsidR="009C6E30">
        <w:t xml:space="preserve"> million</w:t>
      </w:r>
      <w:r w:rsidRPr="00C468E4" w:rsidR="00D758FA">
        <w:t>;</w:t>
      </w:r>
      <w:r w:rsidRPr="00C468E4" w:rsidR="00335B73">
        <w:t xml:space="preserve"> 2020 actual</w:t>
      </w:r>
      <w:r w:rsidRPr="00C468E4" w:rsidR="00D758FA">
        <w:t xml:space="preserve"> cost</w:t>
      </w:r>
      <w:r w:rsidRPr="00C468E4" w:rsidR="004B50A8">
        <w:t>s</w:t>
      </w:r>
      <w:r w:rsidRPr="00C468E4" w:rsidR="00D758FA">
        <w:t xml:space="preserve"> w</w:t>
      </w:r>
      <w:r w:rsidRPr="00C468E4" w:rsidR="004B50A8">
        <w:t>ere</w:t>
      </w:r>
      <w:r w:rsidRPr="00C468E4" w:rsidR="00D758FA">
        <w:t xml:space="preserve"> </w:t>
      </w:r>
      <w:r w:rsidRPr="00C468E4" w:rsidR="009B5DDE">
        <w:t>$</w:t>
      </w:r>
      <w:r w:rsidRPr="00C468E4" w:rsidR="00B91C61">
        <w:t>569</w:t>
      </w:r>
      <w:r w:rsidRPr="00C468E4" w:rsidR="009C6E30">
        <w:t xml:space="preserve"> million</w:t>
      </w:r>
      <w:r w:rsidRPr="00C468E4" w:rsidR="00B91C61">
        <w:t>)</w:t>
      </w:r>
      <w:r w:rsidRPr="00C468E4">
        <w:t xml:space="preserve">. </w:t>
      </w:r>
      <w:r w:rsidRPr="00C468E4" w:rsidR="00323F62">
        <w:t xml:space="preserve">In the 2021 WMP Update, projected 2021-2022 costs were higher than in </w:t>
      </w:r>
      <w:r w:rsidRPr="00C468E4" w:rsidR="004B50A8">
        <w:t xml:space="preserve">the </w:t>
      </w:r>
      <w:r w:rsidRPr="00C468E4" w:rsidR="00323F62">
        <w:t>2020 WMP</w:t>
      </w:r>
      <w:r w:rsidRPr="00C468E4" w:rsidR="009C6E30">
        <w:t xml:space="preserve"> (</w:t>
      </w:r>
      <w:r w:rsidRPr="00C468E4" w:rsidR="008D427F">
        <w:t>the 2020 projected cost</w:t>
      </w:r>
      <w:r w:rsidRPr="00C468E4" w:rsidR="00A62D61">
        <w:t>s</w:t>
      </w:r>
      <w:r w:rsidRPr="00C468E4" w:rsidR="004B50A8">
        <w:t xml:space="preserve"> for 2021-2022 </w:t>
      </w:r>
      <w:r w:rsidRPr="00C468E4" w:rsidR="008D427F">
        <w:t>w</w:t>
      </w:r>
      <w:r w:rsidRPr="00C468E4" w:rsidR="00A62D61">
        <w:t xml:space="preserve">ere </w:t>
      </w:r>
      <w:r w:rsidRPr="00C468E4" w:rsidR="008D427F">
        <w:t>$897 million</w:t>
      </w:r>
      <w:r w:rsidRPr="00C468E4" w:rsidR="00A62D61">
        <w:t xml:space="preserve">; </w:t>
      </w:r>
      <w:r w:rsidRPr="00C468E4" w:rsidR="008D427F">
        <w:t>the 2021 projected cost</w:t>
      </w:r>
      <w:r w:rsidRPr="00C468E4" w:rsidR="00A62D61">
        <w:t>s for 2021-2022 were</w:t>
      </w:r>
      <w:r w:rsidRPr="00C468E4" w:rsidR="008D427F">
        <w:t xml:space="preserve"> $1,316 million</w:t>
      </w:r>
      <w:r w:rsidRPr="00C468E4" w:rsidR="004B50A8">
        <w:t>)</w:t>
      </w:r>
      <w:r w:rsidRPr="00C468E4" w:rsidR="00323F62">
        <w:t>.</w:t>
      </w:r>
      <w:r w:rsidRPr="00C468E4" w:rsidR="00663C92">
        <w:t xml:space="preserve"> </w:t>
      </w:r>
      <w:r w:rsidRPr="00C468E4" w:rsidR="003462A4">
        <w:t xml:space="preserve">For example, SDG&amp;E’s 2021 wildfire mitigation costs projected in its 2021 WMP Update increased to </w:t>
      </w:r>
      <w:r w:rsidRPr="00C468E4" w:rsidR="00C64CD4">
        <w:t>$</w:t>
      </w:r>
      <w:r w:rsidRPr="00C468E4" w:rsidR="003462A4">
        <w:t>646</w:t>
      </w:r>
      <w:r w:rsidRPr="00C468E4" w:rsidR="00C64CD4">
        <w:t xml:space="preserve"> million</w:t>
      </w:r>
      <w:r w:rsidRPr="00C468E4" w:rsidR="003462A4">
        <w:t xml:space="preserve"> from the </w:t>
      </w:r>
      <w:r w:rsidRPr="00C468E4" w:rsidR="00C64CD4">
        <w:t>$</w:t>
      </w:r>
      <w:r w:rsidRPr="00C468E4" w:rsidR="003462A4">
        <w:t>456</w:t>
      </w:r>
      <w:r w:rsidRPr="00C468E4" w:rsidR="00C64CD4">
        <w:t xml:space="preserve"> million</w:t>
      </w:r>
      <w:r w:rsidRPr="00C468E4" w:rsidR="003462A4">
        <w:t xml:space="preserve"> projected in its 2020 WMP, a 42% increase.</w:t>
      </w:r>
    </w:p>
    <w:p w:rsidRPr="00C468E4" w:rsidR="00A75876" w:rsidP="00C30081" w:rsidRDefault="00A75876" w14:paraId="5544DF99" w14:textId="35A5A1B9">
      <w:pPr>
        <w:pStyle w:val="Standard"/>
      </w:pPr>
      <w:r w:rsidRPr="00C468E4">
        <w:t xml:space="preserve">The WSD analyzed these </w:t>
      </w:r>
      <w:r w:rsidRPr="00C468E4" w:rsidR="00B037BD">
        <w:t>wildfire mitigation cost increases and made the following findings:</w:t>
      </w:r>
    </w:p>
    <w:p w:rsidRPr="00C468E4" w:rsidR="00596743" w:rsidP="00C30081" w:rsidRDefault="00957F73" w14:paraId="22A916C0" w14:textId="77777777">
      <w:pPr>
        <w:pStyle w:val="Standard"/>
        <w:numPr>
          <w:ilvl w:val="0"/>
          <w:numId w:val="46"/>
        </w:numPr>
      </w:pPr>
      <w:r w:rsidRPr="00C468E4">
        <w:lastRenderedPageBreak/>
        <w:t xml:space="preserve">The territory covered by the costs did not </w:t>
      </w:r>
      <w:r w:rsidRPr="00C468E4" w:rsidR="003C6FEA">
        <w:t>change: no additional territory was included (e.g., no territory was reclassified as HFTD)</w:t>
      </w:r>
      <w:r w:rsidRPr="00C468E4" w:rsidR="00596743">
        <w:t>.</w:t>
      </w:r>
    </w:p>
    <w:p w:rsidRPr="00C468E4" w:rsidR="00A75876" w:rsidP="00FB4CD8" w:rsidRDefault="00DB7D1A" w14:paraId="1972D33B" w14:textId="46434749">
      <w:pPr>
        <w:pStyle w:val="Standard"/>
        <w:numPr>
          <w:ilvl w:val="0"/>
          <w:numId w:val="46"/>
        </w:numPr>
      </w:pPr>
      <w:r w:rsidRPr="00C468E4">
        <w:t xml:space="preserve">The higher costs relate to costs from more </w:t>
      </w:r>
      <w:r w:rsidRPr="00C468E4" w:rsidR="00FF4FE9">
        <w:t xml:space="preserve">investment in the existing work area (e.g., </w:t>
      </w:r>
      <w:r w:rsidRPr="00C468E4">
        <w:t>engineering and covered conductors).</w:t>
      </w:r>
      <w:r w:rsidRPr="00C468E4" w:rsidR="00861996">
        <w:rPr>
          <w:rStyle w:val="FootnoteReference"/>
        </w:rPr>
        <w:footnoteReference w:id="43"/>
      </w:r>
      <w:r w:rsidRPr="00C468E4">
        <w:t xml:space="preserve"> </w:t>
      </w:r>
    </w:p>
    <w:p w:rsidRPr="00C468E4" w:rsidR="00C30081" w:rsidP="00C30081" w:rsidRDefault="00C30081" w14:paraId="249415A8" w14:textId="72880331">
      <w:pPr>
        <w:pStyle w:val="Standard"/>
        <w:rPr>
          <w:rFonts w:cs="Arial"/>
          <w:b/>
          <w:szCs w:val="26"/>
        </w:rPr>
      </w:pPr>
      <w:r w:rsidRPr="00C468E4">
        <w:t xml:space="preserve">The Commission </w:t>
      </w:r>
      <w:r w:rsidRPr="00C468E4" w:rsidR="007C5E1E">
        <w:t xml:space="preserve">will evaluate wildfire mitigation costs in </w:t>
      </w:r>
      <w:r w:rsidRPr="00C468E4" w:rsidR="00EA52CE">
        <w:t>SDG&amp;E’s</w:t>
      </w:r>
      <w:r w:rsidRPr="00C468E4" w:rsidR="007C5E1E">
        <w:t xml:space="preserve"> General Rate Case. </w:t>
      </w:r>
    </w:p>
    <w:p w:rsidRPr="00C468E4" w:rsidR="0026179B" w:rsidP="00053592" w:rsidRDefault="0026179B" w14:paraId="361A0E0C" w14:textId="386103D5">
      <w:pPr>
        <w:pStyle w:val="Header2"/>
      </w:pPr>
      <w:bookmarkStart w:name="_Hlk37070521" w:id="12"/>
      <w:bookmarkStart w:name="_Toc76656584" w:id="13"/>
      <w:bookmarkEnd w:id="12"/>
      <w:r w:rsidRPr="00C468E4">
        <w:t xml:space="preserve">Maturity </w:t>
      </w:r>
      <w:r w:rsidRPr="00C468E4" w:rsidR="00BA3550">
        <w:t>Evaluation</w:t>
      </w:r>
      <w:bookmarkEnd w:id="13"/>
    </w:p>
    <w:p w:rsidRPr="00C468E4" w:rsidR="00E50712" w:rsidP="00E50712" w:rsidRDefault="00E50712" w14:paraId="29D8AF49" w14:textId="5AD3926B">
      <w:r w:rsidRPr="00C468E4">
        <w:t>In 2020, WSD introduced a new Utility Wildfire Mitigation Maturity Model</w:t>
      </w:r>
      <w:r w:rsidRPr="00C468E4" w:rsidR="00822A5F">
        <w:t xml:space="preserve"> (the Maturity Model)</w:t>
      </w:r>
      <w:r w:rsidRPr="00C468E4">
        <w:t xml:space="preserve"> to establish a baseline understanding of</w:t>
      </w:r>
      <w:r w:rsidRPr="00C468E4" w:rsidR="00CC2CC2">
        <w:t xml:space="preserve"> </w:t>
      </w:r>
      <w:r w:rsidRPr="00C468E4" w:rsidR="001D10F6">
        <w:t xml:space="preserve">an </w:t>
      </w:r>
      <w:r w:rsidRPr="00C468E4" w:rsidR="00CE0CA0">
        <w:t>electrical corporation’</w:t>
      </w:r>
      <w:r w:rsidRPr="00C468E4" w:rsidR="001D10F6">
        <w:t>s</w:t>
      </w:r>
      <w:r w:rsidRPr="00C468E4" w:rsidR="00CE0CA0">
        <w:t xml:space="preserve"> </w:t>
      </w:r>
      <w:r w:rsidRPr="00C468E4">
        <w:t xml:space="preserve">current and projected capabilities and assess whether each </w:t>
      </w:r>
      <w:r w:rsidRPr="00C468E4" w:rsidR="00CE0CA0">
        <w:t>electrical corporation</w:t>
      </w:r>
      <w:r w:rsidRPr="00C468E4">
        <w:t xml:space="preserve"> is progressing sufficiently </w:t>
      </w:r>
      <w:bookmarkStart w:name="_Hlk54886155" w:id="14"/>
      <w:r w:rsidRPr="00C468E4">
        <w:t xml:space="preserve">to improve its ability to mitigate wildfire risk </w:t>
      </w:r>
      <w:r w:rsidRPr="00C468E4">
        <w:rPr>
          <w:rFonts w:eastAsia="Palatino Linotype" w:cs="Palatino Linotype"/>
        </w:rPr>
        <w:t>effectively</w:t>
      </w:r>
      <w:r w:rsidRPr="00C468E4">
        <w:t>.</w:t>
      </w:r>
      <w:r w:rsidRPr="00C468E4" w:rsidR="009C6747">
        <w:t xml:space="preserve"> </w:t>
      </w:r>
      <w:r w:rsidRPr="00C468E4">
        <w:t xml:space="preserve">The </w:t>
      </w:r>
      <w:r w:rsidRPr="00C468E4" w:rsidR="00B16383">
        <w:t>M</w:t>
      </w:r>
      <w:r w:rsidRPr="00C468E4">
        <w:t xml:space="preserve">aturity </w:t>
      </w:r>
      <w:r w:rsidRPr="00C468E4" w:rsidR="00B16383">
        <w:t>M</w:t>
      </w:r>
      <w:r w:rsidRPr="00C468E4">
        <w:t xml:space="preserve">odel also serves as an objective means of comparing </w:t>
      </w:r>
      <w:r w:rsidRPr="00C468E4" w:rsidR="00037714">
        <w:t>me</w:t>
      </w:r>
      <w:r w:rsidRPr="00C468E4" w:rsidR="00D474A9">
        <w:t xml:space="preserve">asurements of progress </w:t>
      </w:r>
      <w:r w:rsidRPr="00C468E4">
        <w:t xml:space="preserve">across </w:t>
      </w:r>
      <w:r w:rsidRPr="00C468E4" w:rsidR="00CE0CA0">
        <w:t xml:space="preserve">electrical corporations </w:t>
      </w:r>
      <w:r w:rsidRPr="00C468E4">
        <w:t>and provides a framework for driving progress in wildfire risk mitigation over time.</w:t>
      </w:r>
      <w:r w:rsidRPr="00C468E4" w:rsidR="009C6747">
        <w:t xml:space="preserve"> </w:t>
      </w:r>
      <w:bookmarkStart w:name="_Hlk54889136" w:id="15"/>
      <w:r w:rsidRPr="00C468E4" w:rsidR="00CE0CA0">
        <w:t>T</w:t>
      </w:r>
      <w:r w:rsidRPr="00C468E4" w:rsidR="004F31BE">
        <w:t>o identify an electrical corporation’s progress within the Maturity Model, t</w:t>
      </w:r>
      <w:r w:rsidRPr="00C468E4" w:rsidR="00CE0CA0">
        <w:t xml:space="preserve">he WSD required </w:t>
      </w:r>
      <w:r w:rsidRPr="00C468E4" w:rsidR="00822A5F">
        <w:t>each electrical corporation</w:t>
      </w:r>
      <w:r w:rsidRPr="00C468E4">
        <w:t xml:space="preserve"> to complete a survey in which </w:t>
      </w:r>
      <w:r w:rsidRPr="00C468E4" w:rsidR="0068415B">
        <w:t>it</w:t>
      </w:r>
      <w:r w:rsidRPr="00C468E4">
        <w:t xml:space="preserve"> answered questions</w:t>
      </w:r>
      <w:r w:rsidRPr="00C468E4" w:rsidR="00623851">
        <w:t xml:space="preserve"> </w:t>
      </w:r>
      <w:r w:rsidRPr="00C468E4" w:rsidR="00CE4849">
        <w:t>addressing</w:t>
      </w:r>
      <w:r w:rsidRPr="00C468E4" w:rsidR="00D254F1">
        <w:t xml:space="preserve"> its maturity </w:t>
      </w:r>
      <w:r w:rsidRPr="00C468E4" w:rsidR="003C04F7">
        <w:t>regarding</w:t>
      </w:r>
      <w:r w:rsidRPr="00C468E4" w:rsidR="00623851">
        <w:t xml:space="preserve"> 52 </w:t>
      </w:r>
      <w:r w:rsidRPr="00C468E4" w:rsidR="00F34A19">
        <w:t xml:space="preserve">wildfire mitigation-related </w:t>
      </w:r>
      <w:r w:rsidRPr="00C468E4" w:rsidR="00623851">
        <w:t>capabilities</w:t>
      </w:r>
      <w:r w:rsidRPr="00C468E4">
        <w:t xml:space="preserve"> at the time of </w:t>
      </w:r>
      <w:r w:rsidRPr="00C468E4" w:rsidR="00B20E57">
        <w:t>submission</w:t>
      </w:r>
      <w:r w:rsidRPr="00C468E4">
        <w:t xml:space="preserve"> and </w:t>
      </w:r>
      <w:r w:rsidRPr="00C468E4" w:rsidR="006B67A4">
        <w:t xml:space="preserve">its projections of its maturity </w:t>
      </w:r>
      <w:r w:rsidRPr="00C468E4">
        <w:t xml:space="preserve">at the end of the </w:t>
      </w:r>
      <w:r w:rsidRPr="00C468E4" w:rsidR="008A17BB">
        <w:t>three-</w:t>
      </w:r>
      <w:r w:rsidRPr="00C468E4">
        <w:t>year plan horizon.</w:t>
      </w:r>
      <w:r w:rsidRPr="00C468E4" w:rsidR="009C6747">
        <w:t xml:space="preserve"> </w:t>
      </w:r>
      <w:r w:rsidRPr="00C468E4">
        <w:t xml:space="preserve">The 52 capabilities are mapped to the same </w:t>
      </w:r>
      <w:r w:rsidRPr="00C468E4" w:rsidR="00F55BE8">
        <w:t>ten</w:t>
      </w:r>
      <w:r w:rsidRPr="00C468E4">
        <w:t xml:space="preserve"> categories identified</w:t>
      </w:r>
      <w:bookmarkEnd w:id="15"/>
      <w:r w:rsidRPr="00C468E4">
        <w:t xml:space="preserve"> </w:t>
      </w:r>
      <w:r w:rsidRPr="00C468E4" w:rsidR="009C1864">
        <w:t>for mitigation initiatives</w:t>
      </w:r>
      <w:bookmarkEnd w:id="14"/>
      <w:r w:rsidRPr="00C468E4" w:rsidR="009C1864">
        <w:t xml:space="preserve">. </w:t>
      </w:r>
    </w:p>
    <w:p w:rsidRPr="00C468E4" w:rsidR="00E50712" w:rsidP="00E50712" w:rsidRDefault="00E50712" w14:paraId="78C95AA8" w14:textId="77777777"/>
    <w:p w:rsidRPr="00C468E4" w:rsidR="00E50712" w:rsidP="5B5E984F" w:rsidRDefault="00E50712" w14:paraId="5FA7E8BF" w14:textId="3432DECC">
      <w:pPr>
        <w:rPr>
          <w:rFonts w:eastAsia="Book Antiqua" w:cs="Book Antiqua"/>
        </w:rPr>
      </w:pPr>
      <w:r w:rsidRPr="00C468E4">
        <w:t xml:space="preserve">The </w:t>
      </w:r>
      <w:r w:rsidRPr="00C468E4" w:rsidR="00C718BB">
        <w:t>M</w:t>
      </w:r>
      <w:r w:rsidRPr="00C468E4">
        <w:t xml:space="preserve">aturity </w:t>
      </w:r>
      <w:r w:rsidRPr="00C468E4" w:rsidR="00C718BB">
        <w:t>M</w:t>
      </w:r>
      <w:r w:rsidRPr="00C468E4">
        <w:t xml:space="preserve">odel will continue to evolve </w:t>
      </w:r>
      <w:r w:rsidRPr="00C468E4" w:rsidR="009B5DDE">
        <w:t>over time</w:t>
      </w:r>
      <w:r w:rsidRPr="00C468E4">
        <w:t xml:space="preserve"> to reflect best practices and lessons learned.</w:t>
      </w:r>
      <w:r w:rsidRPr="00C468E4" w:rsidR="009C6747">
        <w:t xml:space="preserve"> </w:t>
      </w:r>
      <w:r w:rsidRPr="00C468E4" w:rsidR="009B36B5">
        <w:t>In 2021 the maturity model was updated to clarify definitions while remaining consistent with the 2020 model to enable year-over-year progress tracking. I</w:t>
      </w:r>
      <w:r w:rsidRPr="00C468E4">
        <w:t xml:space="preserve">t is essential that the maturity </w:t>
      </w:r>
      <w:r w:rsidRPr="00C468E4" w:rsidR="0051481C">
        <w:t>levels</w:t>
      </w:r>
      <w:r w:rsidRPr="00C468E4">
        <w:t xml:space="preserve"> are understood within the context of the qualitative detail supporting each </w:t>
      </w:r>
      <w:r w:rsidRPr="00C468E4" w:rsidR="005A0270">
        <w:t>level</w:t>
      </w:r>
      <w:r w:rsidRPr="00C468E4">
        <w:t>.</w:t>
      </w:r>
      <w:r w:rsidRPr="00C468E4" w:rsidR="009C6747">
        <w:t xml:space="preserve"> </w:t>
      </w:r>
      <w:r w:rsidRPr="00C468E4">
        <w:t>T</w:t>
      </w:r>
      <w:r w:rsidRPr="00C468E4">
        <w:rPr>
          <w:rFonts w:eastAsia="Book Antiqua" w:cs="Book Antiqua"/>
        </w:rPr>
        <w:t>he model results require context and should not be interpreted as the final word on an electrical corporation’s wildfire mitigation capabilities without an understanding of the scoring process described in</w:t>
      </w:r>
      <w:r w:rsidRPr="00C468E4" w:rsidR="00BA0AB8">
        <w:rPr>
          <w:rFonts w:eastAsia="Book Antiqua" w:cs="Book Antiqua"/>
        </w:rPr>
        <w:t xml:space="preserve"> </w:t>
      </w:r>
      <w:r w:rsidRPr="00C468E4" w:rsidR="00F662A9">
        <w:rPr>
          <w:rFonts w:eastAsia="Book Antiqua" w:cs="Book Antiqua"/>
        </w:rPr>
        <w:t>Action Statement Appendix 11.1</w:t>
      </w:r>
      <w:r w:rsidRPr="00C468E4">
        <w:rPr>
          <w:rFonts w:eastAsia="Book Antiqua" w:cs="Book Antiqua"/>
        </w:rPr>
        <w:t xml:space="preserve">. As such, the final </w:t>
      </w:r>
      <w:r w:rsidRPr="00C468E4" w:rsidR="006A0F0E">
        <w:rPr>
          <w:rFonts w:eastAsia="Book Antiqua" w:cs="Book Antiqua"/>
        </w:rPr>
        <w:t>M</w:t>
      </w:r>
      <w:r w:rsidRPr="00C468E4">
        <w:rPr>
          <w:rFonts w:eastAsia="Book Antiqua" w:cs="Book Antiqua"/>
        </w:rPr>
        <w:t xml:space="preserve">aturity </w:t>
      </w:r>
      <w:r w:rsidRPr="00C468E4" w:rsidR="006A0F0E">
        <w:rPr>
          <w:rFonts w:eastAsia="Book Antiqua" w:cs="Book Antiqua"/>
        </w:rPr>
        <w:t>M</w:t>
      </w:r>
      <w:r w:rsidRPr="00C468E4">
        <w:rPr>
          <w:rFonts w:eastAsia="Book Antiqua" w:cs="Book Antiqua"/>
        </w:rPr>
        <w:t>odel outputs should be viewed as levels or thresholds</w:t>
      </w:r>
      <w:r w:rsidRPr="00C468E4" w:rsidR="00E43CF3">
        <w:rPr>
          <w:rFonts w:eastAsia="Book Antiqua" w:cs="Book Antiqua"/>
        </w:rPr>
        <w:t>—</w:t>
      </w:r>
      <w:r w:rsidRPr="00C468E4">
        <w:rPr>
          <w:rFonts w:eastAsia="Book Antiqua" w:cs="Book Antiqua"/>
        </w:rPr>
        <w:t>they are not absolute scores.</w:t>
      </w:r>
    </w:p>
    <w:p w:rsidRPr="00C468E4" w:rsidR="00CE0CA0" w:rsidP="5B5E984F" w:rsidRDefault="00CE0CA0" w14:paraId="749D1C34" w14:textId="4A4FF585">
      <w:pPr>
        <w:rPr>
          <w:rFonts w:eastAsia="Book Antiqua" w:cs="Book Antiqua"/>
        </w:rPr>
      </w:pPr>
    </w:p>
    <w:p w:rsidRPr="00C468E4" w:rsidR="00CE0CA0" w:rsidP="5B5E984F" w:rsidRDefault="00CE0CA0" w14:paraId="788AC841" w14:textId="5721C3F6">
      <w:pPr>
        <w:rPr>
          <w:rFonts w:eastAsia="Book Antiqua" w:cs="Book Antiqua"/>
        </w:rPr>
      </w:pPr>
      <w:r w:rsidRPr="00C468E4">
        <w:rPr>
          <w:rFonts w:eastAsia="Book Antiqua" w:cs="Book Antiqua"/>
        </w:rPr>
        <w:t xml:space="preserve">The Commission </w:t>
      </w:r>
      <w:r w:rsidRPr="00C468E4" w:rsidR="00A232C8">
        <w:rPr>
          <w:rFonts w:eastAsia="Book Antiqua" w:cs="Book Antiqua"/>
        </w:rPr>
        <w:t>ratifies</w:t>
      </w:r>
      <w:r w:rsidRPr="00C468E4" w:rsidR="0045611D">
        <w:rPr>
          <w:rFonts w:eastAsia="Book Antiqua" w:cs="Book Antiqua"/>
        </w:rPr>
        <w:t xml:space="preserve"> the WSD’s findings </w:t>
      </w:r>
      <w:r w:rsidRPr="00C468E4">
        <w:rPr>
          <w:rFonts w:eastAsia="Book Antiqua" w:cs="Book Antiqua"/>
        </w:rPr>
        <w:t>that</w:t>
      </w:r>
      <w:r w:rsidRPr="00C468E4" w:rsidR="000B6F6E">
        <w:rPr>
          <w:rFonts w:eastAsia="Book Antiqua" w:cs="Book Antiqua"/>
        </w:rPr>
        <w:t xml:space="preserve"> SDG&amp;E</w:t>
      </w:r>
      <w:r w:rsidRPr="00C468E4" w:rsidR="00EF7288">
        <w:rPr>
          <w:rFonts w:eastAsia="Book Antiqua" w:cs="Book Antiqua"/>
          <w:color w:val="FF0000"/>
        </w:rPr>
        <w:t xml:space="preserve"> </w:t>
      </w:r>
      <w:r w:rsidRPr="00C468E4">
        <w:rPr>
          <w:rFonts w:eastAsia="Book Antiqua" w:cs="Book Antiqua"/>
        </w:rPr>
        <w:t xml:space="preserve">has made sufficient progress toward maturity in the past year. The Commission </w:t>
      </w:r>
      <w:r w:rsidRPr="00C468E4" w:rsidR="009B5DDE">
        <w:rPr>
          <w:rFonts w:eastAsia="Book Antiqua" w:cs="Book Antiqua"/>
        </w:rPr>
        <w:t xml:space="preserve">and </w:t>
      </w:r>
      <w:r w:rsidRPr="00C468E4" w:rsidR="00E145F5">
        <w:rPr>
          <w:rFonts w:eastAsia="Book Antiqua" w:cs="Book Antiqua"/>
        </w:rPr>
        <w:t xml:space="preserve">the </w:t>
      </w:r>
      <w:r w:rsidRPr="00C468E4" w:rsidR="009B5DDE">
        <w:rPr>
          <w:rFonts w:eastAsia="Book Antiqua" w:cs="Book Antiqua"/>
        </w:rPr>
        <w:t xml:space="preserve">WSD </w:t>
      </w:r>
      <w:r w:rsidRPr="00C468E4">
        <w:rPr>
          <w:rFonts w:eastAsia="Book Antiqua" w:cs="Book Antiqua"/>
        </w:rPr>
        <w:t xml:space="preserve">expect </w:t>
      </w:r>
      <w:r w:rsidRPr="00C468E4" w:rsidR="000B6F6E">
        <w:rPr>
          <w:rFonts w:eastAsia="Book Antiqua" w:cs="Book Antiqua"/>
        </w:rPr>
        <w:lastRenderedPageBreak/>
        <w:t>SDG&amp;E</w:t>
      </w:r>
      <w:r w:rsidRPr="00C468E4">
        <w:rPr>
          <w:rFonts w:eastAsia="Book Antiqua" w:cs="Book Antiqua"/>
          <w:color w:val="FF0000"/>
        </w:rPr>
        <w:t xml:space="preserve"> </w:t>
      </w:r>
      <w:r w:rsidRPr="00C468E4" w:rsidR="009B5DDE">
        <w:rPr>
          <w:rFonts w:eastAsia="Book Antiqua" w:cs="Book Antiqua"/>
        </w:rPr>
        <w:t xml:space="preserve">to </w:t>
      </w:r>
      <w:r w:rsidRPr="00C468E4">
        <w:rPr>
          <w:rFonts w:eastAsia="Book Antiqua" w:cs="Book Antiqua"/>
        </w:rPr>
        <w:t xml:space="preserve">continue to </w:t>
      </w:r>
      <w:r w:rsidRPr="00C468E4" w:rsidR="009B5DDE">
        <w:rPr>
          <w:rFonts w:eastAsia="Book Antiqua" w:cs="Book Antiqua"/>
        </w:rPr>
        <w:t xml:space="preserve">improve </w:t>
      </w:r>
      <w:r w:rsidRPr="00C468E4">
        <w:rPr>
          <w:rFonts w:eastAsia="Book Antiqua" w:cs="Book Antiqua"/>
        </w:rPr>
        <w:t xml:space="preserve">its maturity in all areas in order to reduce utility-related wildfire risk. </w:t>
      </w:r>
    </w:p>
    <w:p w:rsidRPr="00C468E4" w:rsidR="009A561E" w:rsidP="5B5E984F" w:rsidRDefault="009A561E" w14:paraId="4BA02CB3" w14:textId="52361F50">
      <w:pPr>
        <w:rPr>
          <w:rFonts w:eastAsia="Book Antiqua" w:cs="Book Antiqua"/>
        </w:rPr>
      </w:pPr>
    </w:p>
    <w:p w:rsidRPr="00C468E4" w:rsidR="00E50712" w:rsidP="5B5E984F" w:rsidRDefault="004154C1" w14:paraId="4798E232" w14:textId="5512DB1A">
      <w:pPr>
        <w:pStyle w:val="subheading"/>
      </w:pPr>
      <w:r w:rsidRPr="00C468E4">
        <w:t>Summary of</w:t>
      </w:r>
      <w:r w:rsidRPr="00C468E4" w:rsidR="003E630E">
        <w:t xml:space="preserve"> SDG&amp;E</w:t>
      </w:r>
      <w:r w:rsidRPr="00C468E4">
        <w:t xml:space="preserve"> Maturity Evaluation</w:t>
      </w:r>
    </w:p>
    <w:p w:rsidRPr="00C468E4" w:rsidR="00E73FB2" w:rsidP="00FC0985" w:rsidRDefault="004C3406" w14:paraId="00BF7420" w14:textId="77777777">
      <w:pPr>
        <w:pStyle w:val="ListParagraph"/>
        <w:numPr>
          <w:ilvl w:val="0"/>
          <w:numId w:val="2"/>
        </w:numPr>
        <w:spacing w:line="257" w:lineRule="auto"/>
        <w:rPr>
          <w:rFonts w:ascii="Book Antiqua" w:hAnsi="Book Antiqua" w:eastAsia="Book Antiqua" w:cs="Book Antiqua"/>
        </w:rPr>
      </w:pPr>
      <w:r w:rsidRPr="00785227">
        <w:rPr>
          <w:rFonts w:ascii="Book Antiqua" w:hAnsi="Book Antiqua" w:eastAsia="Book Antiqua" w:cs="Book Antiqua"/>
        </w:rPr>
        <w:t>The utility has been and remains generally more advanced than its peer utilities as measured by the Utility Maturity Survey.</w:t>
      </w:r>
      <w:r w:rsidRPr="00785227" w:rsidR="0098670A">
        <w:rPr>
          <w:rFonts w:ascii="Book Antiqua" w:hAnsi="Book Antiqua" w:eastAsia="Book Antiqua" w:cs="Book Antiqua"/>
        </w:rPr>
        <w:t xml:space="preserve"> </w:t>
      </w:r>
    </w:p>
    <w:p w:rsidRPr="00C468E4" w:rsidR="004C3406" w:rsidP="00FC0985" w:rsidRDefault="0098670A" w14:paraId="562F5C37" w14:textId="4ED0A53D">
      <w:pPr>
        <w:pStyle w:val="ListParagraph"/>
        <w:numPr>
          <w:ilvl w:val="0"/>
          <w:numId w:val="2"/>
        </w:numPr>
        <w:spacing w:line="257" w:lineRule="auto"/>
        <w:rPr>
          <w:rFonts w:ascii="Book Antiqua" w:hAnsi="Book Antiqua" w:eastAsia="Book Antiqua" w:cs="Book Antiqua"/>
        </w:rPr>
      </w:pPr>
      <w:r w:rsidRPr="00785227">
        <w:rPr>
          <w:rFonts w:ascii="Book Antiqua" w:hAnsi="Book Antiqua" w:eastAsia="Book Antiqua" w:cs="Book Antiqua"/>
        </w:rPr>
        <w:t>For most questions</w:t>
      </w:r>
      <w:r w:rsidRPr="00785227" w:rsidR="00937B3A">
        <w:rPr>
          <w:rFonts w:ascii="Book Antiqua" w:hAnsi="Book Antiqua" w:eastAsia="Book Antiqua" w:cs="Book Antiqua"/>
        </w:rPr>
        <w:t xml:space="preserve"> (59%) </w:t>
      </w:r>
      <w:r w:rsidRPr="00785227">
        <w:rPr>
          <w:rFonts w:ascii="Book Antiqua" w:hAnsi="Book Antiqua" w:eastAsia="Book Antiqua" w:cs="Book Antiqua"/>
        </w:rPr>
        <w:t xml:space="preserve">it </w:t>
      </w:r>
      <w:r w:rsidRPr="00785227" w:rsidR="002D667B">
        <w:rPr>
          <w:rFonts w:ascii="Book Antiqua" w:hAnsi="Book Antiqua" w:eastAsia="Book Antiqua" w:cs="Book Antiqua"/>
        </w:rPr>
        <w:t>rated itself</w:t>
      </w:r>
      <w:r w:rsidRPr="00785227" w:rsidR="00300869">
        <w:rPr>
          <w:rFonts w:ascii="Book Antiqua" w:hAnsi="Book Antiqua" w:eastAsia="Book Antiqua" w:cs="Book Antiqua"/>
        </w:rPr>
        <w:t xml:space="preserve"> as starting at the top of the maturity scale in 2020 and remain</w:t>
      </w:r>
      <w:r w:rsidRPr="00785227" w:rsidR="00A41F99">
        <w:rPr>
          <w:rFonts w:ascii="Book Antiqua" w:hAnsi="Book Antiqua" w:eastAsia="Book Antiqua" w:cs="Book Antiqua"/>
        </w:rPr>
        <w:t>ing</w:t>
      </w:r>
      <w:r w:rsidRPr="00785227" w:rsidR="00300869">
        <w:rPr>
          <w:rFonts w:ascii="Book Antiqua" w:hAnsi="Book Antiqua" w:eastAsia="Book Antiqua" w:cs="Book Antiqua"/>
        </w:rPr>
        <w:t xml:space="preserve"> there through </w:t>
      </w:r>
      <w:r w:rsidRPr="00785227" w:rsidR="000E3AE7">
        <w:rPr>
          <w:rFonts w:ascii="Book Antiqua" w:hAnsi="Book Antiqua" w:eastAsia="Book Antiqua" w:cs="Book Antiqua"/>
        </w:rPr>
        <w:t>2023</w:t>
      </w:r>
      <w:r w:rsidRPr="00785227" w:rsidR="00E8667C">
        <w:rPr>
          <w:rFonts w:ascii="Book Antiqua" w:hAnsi="Book Antiqua" w:eastAsia="Book Antiqua" w:cs="Book Antiqua"/>
        </w:rPr>
        <w:t>.</w:t>
      </w:r>
      <w:r w:rsidRPr="00785227" w:rsidR="004E2E5D">
        <w:rPr>
          <w:rFonts w:ascii="Book Antiqua" w:hAnsi="Book Antiqua" w:eastAsia="Book Antiqua" w:cs="Book Antiqua"/>
        </w:rPr>
        <w:t xml:space="preserve"> For </w:t>
      </w:r>
      <w:r w:rsidRPr="00785227" w:rsidR="00CC5D1A">
        <w:rPr>
          <w:rFonts w:ascii="Book Antiqua" w:hAnsi="Book Antiqua" w:eastAsia="Book Antiqua" w:cs="Book Antiqua"/>
        </w:rPr>
        <w:t xml:space="preserve">more than </w:t>
      </w:r>
      <w:r w:rsidRPr="00785227" w:rsidR="00BC2263">
        <w:rPr>
          <w:rFonts w:ascii="Book Antiqua" w:hAnsi="Book Antiqua" w:eastAsia="Book Antiqua" w:cs="Book Antiqua"/>
        </w:rPr>
        <w:t xml:space="preserve">3/4 of the questions (77%) it rated itself </w:t>
      </w:r>
      <w:r w:rsidRPr="00785227" w:rsidR="00A41F99">
        <w:rPr>
          <w:rFonts w:ascii="Book Antiqua" w:hAnsi="Book Antiqua" w:eastAsia="Book Antiqua" w:cs="Book Antiqua"/>
        </w:rPr>
        <w:t>at either the next-best or best possible maturity level for 2021</w:t>
      </w:r>
      <w:r w:rsidRPr="00785227" w:rsidR="007F2499">
        <w:rPr>
          <w:rFonts w:ascii="Book Antiqua" w:hAnsi="Book Antiqua" w:eastAsia="Book Antiqua" w:cs="Book Antiqua"/>
        </w:rPr>
        <w:t xml:space="preserve">, </w:t>
      </w:r>
      <w:r w:rsidRPr="00785227" w:rsidR="00704B64">
        <w:rPr>
          <w:rFonts w:ascii="Book Antiqua" w:hAnsi="Book Antiqua" w:eastAsia="Book Antiqua" w:cs="Book Antiqua"/>
        </w:rPr>
        <w:t xml:space="preserve">remaining </w:t>
      </w:r>
      <w:r w:rsidRPr="00785227" w:rsidR="007F2499">
        <w:rPr>
          <w:rFonts w:ascii="Book Antiqua" w:hAnsi="Book Antiqua" w:eastAsia="Book Antiqua" w:cs="Book Antiqua"/>
        </w:rPr>
        <w:t>there through</w:t>
      </w:r>
      <w:r w:rsidRPr="00785227" w:rsidR="00704B64">
        <w:rPr>
          <w:rFonts w:ascii="Book Antiqua" w:hAnsi="Book Antiqua" w:eastAsia="Book Antiqua" w:cs="Book Antiqua"/>
        </w:rPr>
        <w:t xml:space="preserve"> 2023.</w:t>
      </w:r>
      <w:r w:rsidRPr="00785227" w:rsidR="000E3AE7">
        <w:rPr>
          <w:rFonts w:ascii="Book Antiqua" w:hAnsi="Book Antiqua" w:eastAsia="Book Antiqua" w:cs="Book Antiqua"/>
        </w:rPr>
        <w:t xml:space="preserve"> As such </w:t>
      </w:r>
      <w:r w:rsidRPr="00785227" w:rsidR="005C484D">
        <w:rPr>
          <w:rFonts w:ascii="Book Antiqua" w:hAnsi="Book Antiqua" w:eastAsia="Book Antiqua" w:cs="Book Antiqua"/>
        </w:rPr>
        <w:t xml:space="preserve">SDG&amp;E </w:t>
      </w:r>
      <w:r w:rsidRPr="00785227" w:rsidR="000E3AE7">
        <w:rPr>
          <w:rFonts w:ascii="Book Antiqua" w:hAnsi="Book Antiqua" w:eastAsia="Book Antiqua" w:cs="Book Antiqua"/>
        </w:rPr>
        <w:t>does</w:t>
      </w:r>
      <w:r w:rsidRPr="00785227" w:rsidR="00C112F2">
        <w:rPr>
          <w:rFonts w:ascii="Book Antiqua" w:hAnsi="Book Antiqua" w:eastAsia="Book Antiqua" w:cs="Book Antiqua"/>
        </w:rPr>
        <w:t xml:space="preserve"> not have much room for growth</w:t>
      </w:r>
      <w:r w:rsidRPr="00785227" w:rsidR="005C484D">
        <w:rPr>
          <w:rFonts w:ascii="Book Antiqua" w:hAnsi="Book Antiqua" w:eastAsia="Book Antiqua" w:cs="Book Antiqua"/>
        </w:rPr>
        <w:t xml:space="preserve"> on the m</w:t>
      </w:r>
      <w:r w:rsidRPr="00785227" w:rsidR="00503D8B">
        <w:rPr>
          <w:rFonts w:ascii="Book Antiqua" w:hAnsi="Book Antiqua" w:eastAsia="Book Antiqua" w:cs="Book Antiqua"/>
        </w:rPr>
        <w:t>aturity scale.</w:t>
      </w:r>
    </w:p>
    <w:p w:rsidRPr="00C468E4" w:rsidR="00D24C85" w:rsidP="00D24C85" w:rsidRDefault="00D24C85" w14:paraId="35471B11" w14:textId="123D2C18">
      <w:pPr>
        <w:pStyle w:val="ListParagraph"/>
        <w:numPr>
          <w:ilvl w:val="0"/>
          <w:numId w:val="2"/>
        </w:numPr>
        <w:rPr>
          <w:rFonts w:ascii="Book Antiqua" w:hAnsi="Book Antiqua" w:eastAsia="Book Antiqua" w:cs="Book Antiqua"/>
        </w:rPr>
      </w:pPr>
      <w:r w:rsidRPr="00785227">
        <w:rPr>
          <w:rFonts w:ascii="Book Antiqua" w:hAnsi="Book Antiqua" w:eastAsia="Book Antiqua" w:cs="Book Antiqua"/>
        </w:rPr>
        <w:t>The “asset inspection cycle” competency area was the utility’s weakest in its 2021 Maturity Survey. Nine of the utility’s</w:t>
      </w:r>
      <w:r w:rsidRPr="00785227" w:rsidR="008C1AB0">
        <w:rPr>
          <w:rFonts w:ascii="Book Antiqua" w:hAnsi="Book Antiqua" w:eastAsia="Book Antiqua" w:cs="Book Antiqua"/>
        </w:rPr>
        <w:t xml:space="preserve"> 23</w:t>
      </w:r>
      <w:r w:rsidRPr="00785227">
        <w:rPr>
          <w:rFonts w:ascii="Book Antiqua" w:hAnsi="Book Antiqua" w:eastAsia="Book Antiqua" w:cs="Book Antiqua"/>
        </w:rPr>
        <w:t xml:space="preserve"> low-maturity responses were in the “asset management and inspections” competency. For seven of these, SDG&amp;E reports that it does not expect an increase in its maturity level between 2021 and the start of 2023.   </w:t>
      </w:r>
    </w:p>
    <w:p w:rsidRPr="00C468E4" w:rsidR="009A561E" w:rsidP="009A561E" w:rsidRDefault="003E630E" w14:paraId="4AD7B1F7" w14:textId="67DE0D76">
      <w:pPr>
        <w:rPr>
          <w:rFonts w:eastAsia="Book Antiqua" w:cs="Book Antiqua"/>
        </w:rPr>
      </w:pPr>
      <w:r w:rsidRPr="00C468E4">
        <w:rPr>
          <w:rFonts w:eastAsia="Book Antiqua" w:cs="Book Antiqua"/>
        </w:rPr>
        <w:t>SDG&amp;E</w:t>
      </w:r>
      <w:r w:rsidRPr="00C468E4" w:rsidR="009A561E">
        <w:rPr>
          <w:rFonts w:eastAsia="Book Antiqua" w:cs="Book Antiqua"/>
        </w:rPr>
        <w:t>’s maturity evaluation is further detailed in the attached Action Statement</w:t>
      </w:r>
      <w:r w:rsidRPr="00C468E4" w:rsidR="00371A40">
        <w:rPr>
          <w:rFonts w:eastAsia="Book Antiqua" w:cs="Book Antiqua"/>
        </w:rPr>
        <w:t xml:space="preserve"> (</w:t>
      </w:r>
      <w:r w:rsidRPr="00C468E4" w:rsidR="0047565E">
        <w:rPr>
          <w:rFonts w:eastAsia="Book Antiqua" w:cs="Book Antiqua"/>
        </w:rPr>
        <w:t xml:space="preserve">see Action Statement </w:t>
      </w:r>
      <w:r w:rsidRPr="00C468E4" w:rsidR="00E4367E">
        <w:rPr>
          <w:rFonts w:eastAsia="Book Antiqua" w:cs="Book Antiqua"/>
        </w:rPr>
        <w:t>Appendix 11.1 for a summary of SDG&amp;E’s 2021 Maturity Survey output</w:t>
      </w:r>
      <w:r w:rsidRPr="00C468E4" w:rsidR="00371A40">
        <w:rPr>
          <w:rFonts w:eastAsia="Book Antiqua" w:cs="Book Antiqua"/>
        </w:rPr>
        <w:t>)</w:t>
      </w:r>
      <w:r w:rsidRPr="00C468E4" w:rsidR="009A561E">
        <w:rPr>
          <w:rFonts w:eastAsia="Book Antiqua" w:cs="Book Antiqua"/>
        </w:rPr>
        <w:t xml:space="preserve">. </w:t>
      </w:r>
    </w:p>
    <w:p w:rsidRPr="00C468E4" w:rsidR="009C1864" w:rsidP="009A561E" w:rsidRDefault="009C1864" w14:paraId="6A3520EA" w14:textId="77777777">
      <w:pPr>
        <w:rPr>
          <w:rFonts w:eastAsia="Book Antiqua" w:cs="Book Antiqua"/>
        </w:rPr>
      </w:pPr>
    </w:p>
    <w:p w:rsidRPr="00C468E4" w:rsidR="00C30081" w:rsidP="00945A06" w:rsidRDefault="00C30081" w14:paraId="253DC791" w14:textId="1704DCB6">
      <w:pPr>
        <w:pStyle w:val="Header2"/>
      </w:pPr>
      <w:bookmarkStart w:name="_Toc76656585" w:id="16"/>
      <w:bookmarkStart w:name="_Ref57625821" w:id="17"/>
      <w:r w:rsidRPr="00C468E4">
        <w:t>Next Steps</w:t>
      </w:r>
      <w:bookmarkEnd w:id="16"/>
    </w:p>
    <w:p w:rsidRPr="00C468E4" w:rsidR="005336CB" w:rsidP="005E70F3" w:rsidRDefault="007C5E1E" w14:paraId="64B67728" w14:textId="3062EBC5">
      <w:pPr>
        <w:pStyle w:val="Standard"/>
      </w:pPr>
      <w:r w:rsidRPr="00C468E4">
        <w:t xml:space="preserve">In its Action Statement, the WSD sets forth </w:t>
      </w:r>
      <w:r w:rsidRPr="00C468E4" w:rsidR="00671402">
        <w:t xml:space="preserve">the </w:t>
      </w:r>
      <w:r w:rsidRPr="00C468E4">
        <w:t xml:space="preserve">next </w:t>
      </w:r>
      <w:r w:rsidRPr="001D6B38">
        <w:t>steps</w:t>
      </w:r>
      <w:r w:rsidRPr="001D6B38" w:rsidR="00D81888">
        <w:t xml:space="preserve"> SDG&amp;E</w:t>
      </w:r>
      <w:r w:rsidRPr="001D6B38">
        <w:t xml:space="preserve"> must take following </w:t>
      </w:r>
      <w:r w:rsidRPr="001D6B38" w:rsidR="00671402">
        <w:t xml:space="preserve">the </w:t>
      </w:r>
      <w:r w:rsidRPr="001D6B38">
        <w:t>WSD</w:t>
      </w:r>
      <w:r w:rsidRPr="001D6B38" w:rsidR="00671402">
        <w:t>’s</w:t>
      </w:r>
      <w:r w:rsidRPr="001D6B38">
        <w:t xml:space="preserve"> approval of its</w:t>
      </w:r>
      <w:r w:rsidRPr="001D6B38" w:rsidR="00AD3098">
        <w:t xml:space="preserve"> </w:t>
      </w:r>
      <w:r w:rsidRPr="001D6B38">
        <w:t xml:space="preserve">2021 WMP Update. </w:t>
      </w:r>
      <w:r w:rsidRPr="00C468E4">
        <w:t xml:space="preserve">This includes a process for </w:t>
      </w:r>
      <w:r w:rsidRPr="00C468E4" w:rsidR="005336CB">
        <w:t xml:space="preserve">significantly </w:t>
      </w:r>
      <w:r w:rsidRPr="00C468E4">
        <w:t>modifying (</w:t>
      </w:r>
      <w:r w:rsidRPr="00C468E4" w:rsidR="005336CB">
        <w:t xml:space="preserve">i.e., </w:t>
      </w:r>
      <w:r w:rsidRPr="00C468E4">
        <w:t xml:space="preserve">reducing, increasing, or ending) mitigation measures in the WMP. </w:t>
      </w:r>
    </w:p>
    <w:p w:rsidRPr="00C468E4" w:rsidR="003E2D82" w:rsidP="003E2D82" w:rsidRDefault="003E2D82" w14:paraId="23530580" w14:textId="700F26A7">
      <w:pPr>
        <w:pStyle w:val="Standard"/>
      </w:pPr>
      <w:r w:rsidRPr="00C468E4">
        <w:t xml:space="preserve">Upon ratification of this resolution, the WSD discontinues the ongoing Quarterly Report established in the 2020 WMP, except for the Quarterly Data Reports pursuant to Guidance-10 from </w:t>
      </w:r>
      <w:r w:rsidR="0031518A">
        <w:t xml:space="preserve">Resolution </w:t>
      </w:r>
      <w:r w:rsidRPr="00C468E4">
        <w:t>WSD-002.</w:t>
      </w:r>
    </w:p>
    <w:p w:rsidRPr="00C468E4" w:rsidR="003E2D82" w:rsidP="003E2D82" w:rsidRDefault="003E2D82" w14:paraId="4306B453" w14:textId="36A5E234">
      <w:pPr>
        <w:pStyle w:val="Standard"/>
      </w:pPr>
      <w:r w:rsidRPr="00C468E4">
        <w:t xml:space="preserve">Upon ratification of this resolution, </w:t>
      </w:r>
      <w:r w:rsidRPr="00C468E4" w:rsidR="000B01E5">
        <w:t>SDG&amp;E</w:t>
      </w:r>
      <w:r w:rsidRPr="00C468E4">
        <w:rPr>
          <w:color w:val="FF0000"/>
        </w:rPr>
        <w:t xml:space="preserve"> </w:t>
      </w:r>
      <w:r w:rsidRPr="00C468E4">
        <w:t xml:space="preserve">is required to provide a Progress Report by 5:00 p.m. on November 1, </w:t>
      </w:r>
      <w:r w:rsidRPr="00C468E4" w:rsidR="005447A2">
        <w:t>2021</w:t>
      </w:r>
      <w:r w:rsidRPr="00C468E4">
        <w:t>, including the following:</w:t>
      </w:r>
    </w:p>
    <w:p w:rsidRPr="00C468E4" w:rsidR="003E2D82" w:rsidP="003E2D82" w:rsidRDefault="003E2D82" w14:paraId="7340B029" w14:textId="77777777">
      <w:pPr>
        <w:pStyle w:val="Standard"/>
        <w:numPr>
          <w:ilvl w:val="0"/>
          <w:numId w:val="49"/>
        </w:numPr>
      </w:pPr>
      <w:r w:rsidRPr="00C468E4">
        <w:t>Progress on remedies associated with key areas for improvement listed in section 6.3 of this Resolution and section 1.3 of the attached Action Statement. Further details on remedies can be found in the Action Statement.</w:t>
      </w:r>
    </w:p>
    <w:p w:rsidRPr="00C468E4" w:rsidR="003E2D82" w:rsidP="003E2D82" w:rsidRDefault="003E2D82" w14:paraId="13B31733" w14:textId="77777777">
      <w:pPr>
        <w:pStyle w:val="Standard"/>
        <w:numPr>
          <w:ilvl w:val="0"/>
          <w:numId w:val="49"/>
        </w:numPr>
      </w:pPr>
      <w:r w:rsidRPr="00C468E4">
        <w:lastRenderedPageBreak/>
        <w:t>Additional requirements explicitly set by the WSD, including additional items that require ongoing progress updates, pursuant to future guidance.</w:t>
      </w:r>
    </w:p>
    <w:p w:rsidRPr="00C468E4" w:rsidR="005336CB" w:rsidP="005E70F3" w:rsidRDefault="003E2D82" w14:paraId="543AFA78" w14:textId="3D61F069">
      <w:pPr>
        <w:pStyle w:val="Standard"/>
      </w:pPr>
      <w:r w:rsidRPr="00C468E4">
        <w:t>Upon ratification of this resolution, the WSD is granted authority to change reporting requirements and process through a public notice.</w:t>
      </w:r>
    </w:p>
    <w:p w:rsidRPr="00C468E4" w:rsidR="007C5E1E" w:rsidP="005E70F3" w:rsidRDefault="007C5E1E" w14:paraId="3093FCF9" w14:textId="47063563">
      <w:pPr>
        <w:pStyle w:val="Standard"/>
      </w:pPr>
      <w:r w:rsidRPr="00C468E4">
        <w:t xml:space="preserve">The Commission </w:t>
      </w:r>
      <w:r w:rsidRPr="00C468E4" w:rsidR="00BE62FE">
        <w:t xml:space="preserve">expects the </w:t>
      </w:r>
      <w:bookmarkStart w:name="_Hlk65210882" w:id="18"/>
      <w:r w:rsidRPr="00C468E4" w:rsidR="00BE62FE">
        <w:t xml:space="preserve">electrical corporation </w:t>
      </w:r>
      <w:r w:rsidRPr="00C468E4">
        <w:t xml:space="preserve">to adhere to all ongoing requirements set forth in the Action Statement. </w:t>
      </w:r>
      <w:bookmarkEnd w:id="18"/>
    </w:p>
    <w:p w:rsidRPr="00C468E4" w:rsidR="00CE0CA0" w:rsidP="00A3032D" w:rsidRDefault="00CE0CA0" w14:paraId="64A09BBC" w14:textId="293FB4ED">
      <w:pPr>
        <w:pStyle w:val="Header2"/>
      </w:pPr>
      <w:bookmarkStart w:name="_Toc76656586" w:id="19"/>
      <w:r w:rsidRPr="00C468E4">
        <w:t>Consultation with CAL FIRE</w:t>
      </w:r>
      <w:bookmarkEnd w:id="19"/>
      <w:r w:rsidRPr="00C468E4">
        <w:t xml:space="preserve"> </w:t>
      </w:r>
    </w:p>
    <w:p w:rsidRPr="00C468E4" w:rsidR="00CE0CA0" w:rsidP="005E70F3" w:rsidRDefault="00CE0CA0" w14:paraId="01C43C9B" w14:textId="0791885E">
      <w:pPr>
        <w:pStyle w:val="Standard"/>
      </w:pPr>
      <w:r w:rsidRPr="00C468E4">
        <w:t>Pub. Util. Code § 8386.3(a) requires</w:t>
      </w:r>
      <w:r w:rsidRPr="00C468E4" w:rsidR="001D10F6">
        <w:t xml:space="preserve"> the </w:t>
      </w:r>
      <w:r w:rsidRPr="00C468E4">
        <w:t>WSD to consult with CAL FIRE in reviewing electrical corporations’ 202</w:t>
      </w:r>
      <w:r w:rsidRPr="00C468E4" w:rsidR="00457579">
        <w:t>1</w:t>
      </w:r>
      <w:r w:rsidRPr="00C468E4">
        <w:t xml:space="preserve"> WMP</w:t>
      </w:r>
      <w:r w:rsidRPr="00C468E4" w:rsidR="00457579">
        <w:t xml:space="preserve"> Update</w:t>
      </w:r>
      <w:r w:rsidRPr="00C468E4">
        <w:t>s. The Commission and CAL FIRE have a memorandum of understanding in place to facilitate this consultation (Pub. Util. Code § 8386.5). The Commission and</w:t>
      </w:r>
      <w:r w:rsidRPr="00C468E4" w:rsidR="001D10F6">
        <w:t xml:space="preserve"> the </w:t>
      </w:r>
      <w:r w:rsidRPr="00C468E4">
        <w:t xml:space="preserve">WSD have met these requirements, but this </w:t>
      </w:r>
      <w:r w:rsidRPr="00C468E4" w:rsidR="00FF3958">
        <w:t>Resolution</w:t>
      </w:r>
      <w:r w:rsidRPr="00C468E4">
        <w:t xml:space="preserve"> does not purport to speak for CAL FIRE. </w:t>
      </w:r>
    </w:p>
    <w:p w:rsidRPr="00BD0639" w:rsidR="00BE62FE" w:rsidP="00A3032D" w:rsidRDefault="00BE62FE" w14:paraId="11AE3D89" w14:textId="2EB8027A">
      <w:pPr>
        <w:pStyle w:val="Header2"/>
      </w:pPr>
      <w:bookmarkStart w:name="_Toc76656587" w:id="20"/>
      <w:r w:rsidRPr="00BD0639">
        <w:t>Office of Energy Infrastructure Safety</w:t>
      </w:r>
      <w:bookmarkEnd w:id="20"/>
    </w:p>
    <w:p w:rsidRPr="001578CD" w:rsidR="001F59E2" w:rsidP="00785227" w:rsidRDefault="00BE62FE" w14:paraId="672ED234" w14:textId="71777E2F">
      <w:pPr>
        <w:pStyle w:val="Standard"/>
      </w:pPr>
      <w:r w:rsidRPr="00C468E4">
        <w:t xml:space="preserve">Pursuant to </w:t>
      </w:r>
      <w:r w:rsidRPr="00C468E4" w:rsidR="00561D07">
        <w:t>Public Utilities Code Section 326(b)</w:t>
      </w:r>
      <w:r w:rsidRPr="00C468E4">
        <w:t>, on July 1, 2021, the Wildfire Safety Division transition</w:t>
      </w:r>
      <w:r w:rsidR="00C52C6C">
        <w:t>ed</w:t>
      </w:r>
      <w:r w:rsidRPr="00C468E4">
        <w:t xml:space="preserve"> from the Commission </w:t>
      </w:r>
      <w:r w:rsidRPr="00C468E4" w:rsidR="00DE3750">
        <w:t>in</w:t>
      </w:r>
      <w:r w:rsidRPr="00C468E4">
        <w:t xml:space="preserve">to </w:t>
      </w:r>
      <w:r w:rsidRPr="00C468E4" w:rsidR="00DE3750">
        <w:t>the Office of Energy Infrastructure Safety (</w:t>
      </w:r>
      <w:r w:rsidRPr="00C468E4" w:rsidR="00242EA4">
        <w:t>Energy Safety</w:t>
      </w:r>
      <w:r w:rsidRPr="00C468E4" w:rsidR="00DE3750">
        <w:t xml:space="preserve">) under </w:t>
      </w:r>
      <w:r w:rsidRPr="00C468E4">
        <w:t xml:space="preserve">the California Natural Resources Agency. </w:t>
      </w:r>
      <w:r w:rsidRPr="00C468E4" w:rsidR="00242EA4">
        <w:t>Energy Safety</w:t>
      </w:r>
      <w:r w:rsidRPr="00C468E4">
        <w:t xml:space="preserve"> </w:t>
      </w:r>
      <w:r w:rsidR="000842EB">
        <w:rPr>
          <w:color w:val="FF0000"/>
        </w:rPr>
        <w:t>“is the successor to” and</w:t>
      </w:r>
      <w:r w:rsidRPr="00C468E4">
        <w:t xml:space="preserve"> </w:t>
      </w:r>
      <w:r w:rsidRPr="00C468E4" w:rsidR="00DF4115">
        <w:t>“</w:t>
      </w:r>
      <w:r w:rsidR="008F57A4">
        <w:t xml:space="preserve">is vested with </w:t>
      </w:r>
      <w:r w:rsidRPr="00C468E4" w:rsidR="00DF4115">
        <w:t xml:space="preserve">all </w:t>
      </w:r>
      <w:r w:rsidR="002B4B04">
        <w:t xml:space="preserve">of </w:t>
      </w:r>
      <w:r w:rsidRPr="00C468E4" w:rsidR="00DF4115">
        <w:t>the duties, powers, and responsibilities of the Wildfire Safety Division</w:t>
      </w:r>
      <w:r w:rsidRPr="00C468E4" w:rsidR="005317C6">
        <w:t>,</w:t>
      </w:r>
      <w:r w:rsidRPr="00C468E4" w:rsidR="00DF4115">
        <w:t>”</w:t>
      </w:r>
      <w:r w:rsidRPr="00C468E4" w:rsidR="0034390B">
        <w:rPr>
          <w:rStyle w:val="FootnoteReference"/>
        </w:rPr>
        <w:footnoteReference w:id="44"/>
      </w:r>
      <w:r w:rsidRPr="00C468E4" w:rsidR="00DF4115">
        <w:t xml:space="preserve"> including</w:t>
      </w:r>
      <w:r w:rsidR="002B4B04">
        <w:t>, but not limited to,</w:t>
      </w:r>
      <w:r w:rsidRPr="00C468E4" w:rsidR="00DF4115">
        <w:t xml:space="preserve"> </w:t>
      </w:r>
      <w:r w:rsidRPr="00C468E4">
        <w:t>jurisdiction for evaluating and approving or denying electrical corporation</w:t>
      </w:r>
      <w:r w:rsidRPr="00C468E4" w:rsidR="00E70C84">
        <w:t>s’</w:t>
      </w:r>
      <w:r w:rsidRPr="00C468E4">
        <w:t xml:space="preserve"> WMPs </w:t>
      </w:r>
      <w:r w:rsidRPr="00C468E4" w:rsidR="00DF4115">
        <w:t>and</w:t>
      </w:r>
      <w:r w:rsidRPr="00C468E4">
        <w:t xml:space="preserve"> evaluating compliance </w:t>
      </w:r>
      <w:r w:rsidRPr="00C468E4" w:rsidR="00E70C84">
        <w:t>with</w:t>
      </w:r>
      <w:r w:rsidRPr="00C468E4" w:rsidR="000A4A19">
        <w:t xml:space="preserve"> regulations related to the</w:t>
      </w:r>
      <w:r w:rsidRPr="00C468E4">
        <w:t xml:space="preserve"> WMPs. The Commission and the newly formed </w:t>
      </w:r>
      <w:r w:rsidRPr="00C468E4" w:rsidR="00242EA4">
        <w:t>Energy Safety</w:t>
      </w:r>
      <w:r w:rsidRPr="00C468E4">
        <w:t xml:space="preserve"> will adhere to all statutory requirements pertaining to the WMP process.</w:t>
      </w:r>
      <w:bookmarkEnd w:id="17"/>
    </w:p>
    <w:p w:rsidRPr="00C468E4" w:rsidR="4B2F443B" w:rsidP="00A3032D" w:rsidRDefault="4B2F443B" w14:paraId="0F3FA417" w14:textId="3EE6EB13">
      <w:pPr>
        <w:pStyle w:val="Header2"/>
      </w:pPr>
      <w:bookmarkStart w:name="_Toc76656588" w:id="21"/>
      <w:r w:rsidRPr="00C468E4">
        <w:t>Impact of COVID-19 Pandemic</w:t>
      </w:r>
      <w:bookmarkEnd w:id="21"/>
    </w:p>
    <w:p w:rsidRPr="00C468E4" w:rsidR="4B2F443B" w:rsidRDefault="00042FF8" w14:paraId="782F03B4" w14:textId="5212D0BB">
      <w:pPr>
        <w:pStyle w:val="Standard"/>
      </w:pPr>
      <w:r w:rsidRPr="00C468E4">
        <w:t>O</w:t>
      </w:r>
      <w:r w:rsidRPr="00C468E4" w:rsidR="4B2F443B">
        <w:t>n March 19, 2020, California Governor Gavin Newsom signed Executive Order N-33-20 requiring Californians to stay at home to combat the spread of the COVID-19 virus.</w:t>
      </w:r>
      <w:r w:rsidRPr="00C468E4" w:rsidR="009C6747">
        <w:t xml:space="preserve"> </w:t>
      </w:r>
      <w:r w:rsidRPr="00C468E4" w:rsidR="4B2F443B">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w:t>
      </w:r>
      <w:r w:rsidRPr="00C468E4" w:rsidR="4B2F443B">
        <w:lastRenderedPageBreak/>
        <w:t>public health emergency presented by the COVID-19 disease (stay-at-home order).</w:t>
      </w:r>
      <w:r w:rsidRPr="00C468E4" w:rsidR="4B2F443B">
        <w:rPr>
          <w:rStyle w:val="FootnoteReference"/>
        </w:rPr>
        <w:footnoteReference w:id="45"/>
      </w:r>
    </w:p>
    <w:p w:rsidRPr="00C468E4" w:rsidR="009F2DF2" w:rsidRDefault="4B2F443B" w14:paraId="08C354EC" w14:textId="0DCEF7FA">
      <w:pPr>
        <w:pStyle w:val="Standard"/>
      </w:pPr>
      <w:r w:rsidRPr="00C468E4">
        <w:t>As articulated in the March 27, 2020</w:t>
      </w:r>
      <w:r w:rsidRPr="00C468E4" w:rsidR="000C45C2">
        <w:t>,</w:t>
      </w:r>
      <w:r w:rsidRPr="00C468E4">
        <w:t xml:space="preserve"> joint letters</w:t>
      </w:r>
      <w:r w:rsidRPr="00C468E4">
        <w:rPr>
          <w:rStyle w:val="FootnoteReference"/>
        </w:rPr>
        <w:footnoteReference w:id="46"/>
      </w:r>
      <w:r w:rsidRPr="00C468E4">
        <w:t xml:space="preserve"> of the WSD, CAL FIRE</w:t>
      </w:r>
      <w:r w:rsidRPr="00C468E4" w:rsidR="00292ADC">
        <w:t>,</w:t>
      </w:r>
      <w:r w:rsidRPr="00C468E4">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C468E4" w:rsidR="4B2F443B" w:rsidRDefault="009F2DF2" w14:paraId="7845157D" w14:textId="35EBD942">
      <w:pPr>
        <w:pStyle w:val="Standard"/>
      </w:pPr>
      <w:r w:rsidRPr="00C468E4">
        <w:t xml:space="preserve">Since issuance of this letter, the </w:t>
      </w:r>
      <w:r w:rsidRPr="00C468E4" w:rsidR="4B2F443B">
        <w:t xml:space="preserve">WSD </w:t>
      </w:r>
      <w:r w:rsidRPr="00C468E4" w:rsidR="00042FF8">
        <w:t xml:space="preserve">has </w:t>
      </w:r>
      <w:r w:rsidRPr="00C468E4" w:rsidR="4B2F443B">
        <w:t>expect</w:t>
      </w:r>
      <w:r w:rsidRPr="00C468E4" w:rsidR="00042FF8">
        <w:t>ed</w:t>
      </w:r>
      <w:r w:rsidRPr="00C468E4" w:rsidR="4B2F443B">
        <w:t xml:space="preserve"> the electrical corporations to make every effort to keep WMP implementation progress on track, including necessary coordination with local jurisdictions.</w:t>
      </w:r>
      <w:r w:rsidRPr="00C468E4" w:rsidR="009C6747">
        <w:t xml:space="preserve"> </w:t>
      </w:r>
      <w:r w:rsidRPr="00C468E4" w:rsidR="4B2F443B">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C468E4" w:rsidR="4B2F443B" w:rsidRDefault="00822A5F" w14:paraId="3F0AA3F4" w14:textId="46652D09">
      <w:pPr>
        <w:pStyle w:val="Standard"/>
        <w:rPr>
          <w:rFonts w:eastAsia="Book Antiqua" w:cs="Book Antiqua"/>
        </w:rPr>
      </w:pPr>
      <w:r w:rsidRPr="00C468E4">
        <w:t>Throughout</w:t>
      </w:r>
      <w:r w:rsidRPr="00C468E4" w:rsidR="00042FF8">
        <w:t xml:space="preserve"> 2021</w:t>
      </w:r>
      <w:r w:rsidRPr="00C468E4" w:rsidR="4B2F443B">
        <w:t xml:space="preserve">, the WSD expects the electrical corporations to continue to make meaningful progress </w:t>
      </w:r>
      <w:r w:rsidRPr="00C468E4" w:rsidR="009F2DF2">
        <w:t>on wildfire mitigation goals and efforts to reduce the scale, scope</w:t>
      </w:r>
      <w:r w:rsidRPr="00C468E4" w:rsidR="003D3D55">
        <w:t>,</w:t>
      </w:r>
      <w:r w:rsidRPr="00C468E4" w:rsidR="009F2DF2">
        <w:t xml:space="preserve"> and frequency of PSPS events </w:t>
      </w:r>
      <w:r w:rsidRPr="00C468E4" w:rsidR="000B02A8">
        <w:t>while continuing to abide by</w:t>
      </w:r>
      <w:r w:rsidRPr="00C468E4" w:rsidR="009F2DF2">
        <w:t xml:space="preserve"> COVID-19 public health guidelines.</w:t>
      </w:r>
    </w:p>
    <w:p w:rsidRPr="00C468E4" w:rsidR="00705C88" w:rsidP="00A3032D" w:rsidRDefault="00705C88" w14:paraId="05EB50EA" w14:textId="2E850889">
      <w:pPr>
        <w:pStyle w:val="Header2"/>
      </w:pPr>
      <w:bookmarkStart w:name="_Toc76656589" w:id="22"/>
      <w:r w:rsidRPr="00C468E4">
        <w:t>Conclusion</w:t>
      </w:r>
      <w:bookmarkEnd w:id="22"/>
    </w:p>
    <w:p w:rsidRPr="00C468E4" w:rsidR="007C4A0B" w:rsidP="008E7B52" w:rsidRDefault="00DE0D7E" w14:paraId="7A30B08C" w14:textId="43DDFC3A">
      <w:pPr>
        <w:pStyle w:val="ListParagraph"/>
        <w:numPr>
          <w:ilvl w:val="1"/>
          <w:numId w:val="2"/>
        </w:numPr>
        <w:rPr>
          <w:rFonts w:ascii="Book Antiqua" w:hAnsi="Book Antiqua"/>
        </w:rPr>
      </w:pPr>
      <w:r w:rsidRPr="00C468E4">
        <w:rPr>
          <w:rFonts w:ascii="Book Antiqua" w:hAnsi="Book Antiqua"/>
        </w:rPr>
        <w:t>SDG&amp;E</w:t>
      </w:r>
      <w:r w:rsidRPr="00C468E4" w:rsidR="007C4A0B">
        <w:rPr>
          <w:rFonts w:ascii="Book Antiqua" w:hAnsi="Book Antiqua"/>
        </w:rPr>
        <w:t xml:space="preserve">’s </w:t>
      </w:r>
      <w:r w:rsidRPr="00C468E4" w:rsidR="00422DB4">
        <w:rPr>
          <w:rFonts w:ascii="Book Antiqua" w:hAnsi="Book Antiqua"/>
        </w:rPr>
        <w:t xml:space="preserve">2021 </w:t>
      </w:r>
      <w:r w:rsidRPr="00C468E4" w:rsidR="007C4A0B">
        <w:rPr>
          <w:rFonts w:ascii="Book Antiqua" w:hAnsi="Book Antiqua"/>
        </w:rPr>
        <w:t xml:space="preserve">Wildfire Mitigation Plan </w:t>
      </w:r>
      <w:r w:rsidRPr="00C468E4" w:rsidR="00422DB4">
        <w:rPr>
          <w:rFonts w:ascii="Book Antiqua" w:hAnsi="Book Antiqua"/>
        </w:rPr>
        <w:t xml:space="preserve">Update </w:t>
      </w:r>
      <w:r w:rsidRPr="00C468E4" w:rsidR="007C4A0B">
        <w:rPr>
          <w:rFonts w:ascii="Book Antiqua" w:hAnsi="Book Antiqua"/>
        </w:rPr>
        <w:t>contain</w:t>
      </w:r>
      <w:r w:rsidRPr="00C468E4" w:rsidR="00ED4F7D">
        <w:rPr>
          <w:rFonts w:ascii="Book Antiqua" w:hAnsi="Book Antiqua"/>
        </w:rPr>
        <w:t>s</w:t>
      </w:r>
      <w:r w:rsidRPr="00C468E4" w:rsidR="007C4A0B">
        <w:rPr>
          <w:rFonts w:ascii="Book Antiqua" w:hAnsi="Book Antiqua"/>
        </w:rPr>
        <w:t xml:space="preserve"> all of the elements required by AB 1054, Pub. Util. Code Section 8386(c) and all elements required by the WMP </w:t>
      </w:r>
      <w:r w:rsidRPr="00C468E4" w:rsidR="0089351B">
        <w:rPr>
          <w:rFonts w:ascii="Book Antiqua" w:hAnsi="Book Antiqua"/>
        </w:rPr>
        <w:t>Guidelines.</w:t>
      </w:r>
    </w:p>
    <w:p w:rsidRPr="00C468E4" w:rsidR="007C4A0B" w:rsidP="008E7B52" w:rsidRDefault="009F2DF2" w14:paraId="1A00A00E" w14:textId="54711ED8">
      <w:pPr>
        <w:pStyle w:val="ListParagraph"/>
        <w:numPr>
          <w:ilvl w:val="1"/>
          <w:numId w:val="2"/>
        </w:numPr>
        <w:rPr>
          <w:rFonts w:ascii="Book Antiqua" w:hAnsi="Book Antiqua"/>
        </w:rPr>
      </w:pPr>
      <w:r w:rsidRPr="00C468E4">
        <w:rPr>
          <w:rFonts w:ascii="Book Antiqua" w:hAnsi="Book Antiqua"/>
        </w:rPr>
        <w:t>The Commission ratifies the WSD’s Action Statement approving</w:t>
      </w:r>
      <w:r w:rsidRPr="00C468E4" w:rsidR="001068AB">
        <w:rPr>
          <w:rFonts w:ascii="Book Antiqua" w:hAnsi="Book Antiqua"/>
        </w:rPr>
        <w:t xml:space="preserve"> </w:t>
      </w:r>
      <w:r w:rsidRPr="00C468E4" w:rsidR="0009412F">
        <w:rPr>
          <w:rFonts w:ascii="Book Antiqua" w:hAnsi="Book Antiqua"/>
        </w:rPr>
        <w:t>SDG&amp;E</w:t>
      </w:r>
      <w:r w:rsidRPr="00C468E4" w:rsidR="001068AB">
        <w:rPr>
          <w:rFonts w:ascii="Book Antiqua" w:hAnsi="Book Antiqua"/>
        </w:rPr>
        <w:t>’s</w:t>
      </w:r>
      <w:r w:rsidRPr="00C468E4">
        <w:rPr>
          <w:rFonts w:ascii="Book Antiqua" w:hAnsi="Book Antiqua"/>
        </w:rPr>
        <w:t xml:space="preserve"> 2021 WMP Update subject to any requirements contained therein.</w:t>
      </w:r>
    </w:p>
    <w:p w:rsidRPr="00C468E4" w:rsidR="00705C88" w:rsidP="00A3032D" w:rsidRDefault="00705C88" w14:paraId="72A4C65A" w14:textId="5BD7709C">
      <w:pPr>
        <w:pStyle w:val="Header2"/>
      </w:pPr>
      <w:bookmarkStart w:name="_Toc76656590" w:id="23"/>
      <w:bookmarkStart w:name="_Hlk66718995" w:id="24"/>
      <w:r w:rsidRPr="00C468E4">
        <w:lastRenderedPageBreak/>
        <w:t>Comments</w:t>
      </w:r>
      <w:bookmarkEnd w:id="23"/>
    </w:p>
    <w:p w:rsidRPr="00C468E4" w:rsidR="00A1380E" w:rsidP="0047692E" w:rsidRDefault="00A1380E" w14:paraId="50B116AB" w14:textId="34123896">
      <w:pPr>
        <w:pStyle w:val="Standard"/>
      </w:pPr>
      <w:r w:rsidRPr="00C468E4">
        <w:t xml:space="preserve">Pub. Util. Code § 311(g)(1) provides that resolutions must be served </w:t>
      </w:r>
      <w:r w:rsidRPr="00C468E4" w:rsidR="00DC45BD">
        <w:t>to</w:t>
      </w:r>
      <w:r w:rsidRPr="00C468E4">
        <w:t xml:space="preserve"> all parties and subject to at least 30 days public review. However, given that this </w:t>
      </w:r>
      <w:r w:rsidRPr="00C468E4" w:rsidR="00CD0D66">
        <w:t>R</w:t>
      </w:r>
      <w:r w:rsidRPr="00C468E4">
        <w:t xml:space="preserve">esolution is issued outside of a formal proceeding, interested stakeholders need not have party status in R.18-10-007 in order to submit comments.  </w:t>
      </w:r>
      <w:r w:rsidRPr="00B04FDB" w:rsidR="00B04FDB">
        <w:t xml:space="preserve">Comments were due </w:t>
      </w:r>
      <w:r w:rsidR="006720A1">
        <w:t xml:space="preserve">on July 1, 2021, </w:t>
      </w:r>
      <w:r w:rsidRPr="00B04FDB" w:rsidR="00B04FDB">
        <w:t>20 days from the mailing of the draft of this Resolution. Reply comments were not accepted.</w:t>
      </w:r>
    </w:p>
    <w:bookmarkEnd w:id="24"/>
    <w:p w:rsidR="00A1380E" w:rsidP="0047692E" w:rsidRDefault="00F663A1" w14:paraId="34BF8200" w14:textId="7F17DB13">
      <w:pPr>
        <w:pStyle w:val="Standard"/>
      </w:pPr>
      <w:r>
        <w:t>On June 10, 2021, t</w:t>
      </w:r>
      <w:r w:rsidRPr="00C468E4" w:rsidR="00A1380E">
        <w:t xml:space="preserve">his draft </w:t>
      </w:r>
      <w:r w:rsidRPr="00C468E4" w:rsidR="00E54843">
        <w:t>R</w:t>
      </w:r>
      <w:r w:rsidRPr="00C468E4" w:rsidR="00A1380E">
        <w:t xml:space="preserve">esolution was served on the service list of R.18-10-007 and posted on the Commission’s website, </w:t>
      </w:r>
      <w:hyperlink w:history="1" r:id="rId17">
        <w:r w:rsidRPr="00C468E4" w:rsidR="00A1380E">
          <w:rPr>
            <w:color w:val="0563C1"/>
            <w:u w:val="single"/>
          </w:rPr>
          <w:t>www.cpuc.ca.gov/wildfiremitigationplans</w:t>
        </w:r>
      </w:hyperlink>
      <w:r w:rsidRPr="00C468E4" w:rsidR="00A1380E">
        <w:t>.</w:t>
      </w:r>
    </w:p>
    <w:p w:rsidR="00CA4696" w:rsidP="00CA4696" w:rsidRDefault="00CA4696" w14:paraId="7C42F0F9" w14:textId="77777777">
      <w:pPr>
        <w:pStyle w:val="NormalWeb"/>
        <w:spacing w:after="240"/>
        <w:rPr>
          <w:rFonts w:ascii="Segoe UI" w:hAnsi="Segoe UI" w:cs="Segoe UI"/>
          <w:sz w:val="21"/>
          <w:szCs w:val="21"/>
        </w:rPr>
      </w:pPr>
      <w:r>
        <w:rPr>
          <w:rFonts w:ascii="Book Antiqua" w:hAnsi="Book Antiqua" w:cs="Segoe UI"/>
          <w:sz w:val="26"/>
          <w:szCs w:val="26"/>
        </w:rPr>
        <w:t xml:space="preserve">On July 1, 2021, SDG&amp;E, Protect Our Communities Foundation (PCF), and </w:t>
      </w:r>
      <w:r w:rsidRPr="0027351E">
        <w:rPr>
          <w:rFonts w:ascii="Book Antiqua" w:hAnsi="Book Antiqua" w:cs="Segoe UI"/>
          <w:sz w:val="26"/>
          <w:szCs w:val="26"/>
        </w:rPr>
        <w:tab/>
        <w:t xml:space="preserve">Green Power Institute </w:t>
      </w:r>
      <w:r>
        <w:rPr>
          <w:rFonts w:ascii="Book Antiqua" w:hAnsi="Book Antiqua" w:cs="Segoe UI"/>
          <w:sz w:val="26"/>
          <w:szCs w:val="26"/>
        </w:rPr>
        <w:t>(GPI) timely submitted comments on the draft SDG&amp;E Resolution and Action Statement.</w:t>
      </w:r>
    </w:p>
    <w:p w:rsidR="00CA4696" w:rsidP="00CA4696" w:rsidRDefault="00CA4696" w14:paraId="2F237CC4" w14:textId="77777777">
      <w:pPr>
        <w:pStyle w:val="NormalWeb"/>
        <w:spacing w:after="240"/>
        <w:rPr>
          <w:rFonts w:ascii="Book Antiqua" w:hAnsi="Book Antiqua" w:cs="Segoe UI"/>
          <w:sz w:val="26"/>
          <w:szCs w:val="26"/>
        </w:rPr>
      </w:pPr>
      <w:r>
        <w:rPr>
          <w:rFonts w:ascii="Book Antiqua" w:hAnsi="Book Antiqua" w:cs="Segoe UI"/>
          <w:sz w:val="26"/>
          <w:szCs w:val="26"/>
        </w:rPr>
        <w:t xml:space="preserve">SDG&amp;E indicated support for many of the WSD’s comments on its WMP Update. It acknowledged that it would </w:t>
      </w:r>
      <w:r w:rsidRPr="001B66F2">
        <w:rPr>
          <w:rFonts w:ascii="Book Antiqua" w:hAnsi="Book Antiqua" w:cs="Segoe UI"/>
          <w:sz w:val="26"/>
          <w:szCs w:val="26"/>
        </w:rPr>
        <w:t>continue to</w:t>
      </w:r>
      <w:r>
        <w:rPr>
          <w:rFonts w:ascii="Book Antiqua" w:hAnsi="Book Antiqua" w:cs="Segoe UI"/>
          <w:sz w:val="26"/>
          <w:szCs w:val="26"/>
        </w:rPr>
        <w:t xml:space="preserve"> </w:t>
      </w:r>
      <w:r w:rsidRPr="001B66F2">
        <w:rPr>
          <w:rFonts w:ascii="Book Antiqua" w:hAnsi="Book Antiqua" w:cs="Segoe UI"/>
          <w:sz w:val="26"/>
          <w:szCs w:val="26"/>
        </w:rPr>
        <w:t>provide more clarity on how it targets its mitigation efforts to focus on ignition drivers that are</w:t>
      </w:r>
      <w:r>
        <w:rPr>
          <w:rFonts w:ascii="Book Antiqua" w:hAnsi="Book Antiqua" w:cs="Segoe UI"/>
          <w:sz w:val="26"/>
          <w:szCs w:val="26"/>
        </w:rPr>
        <w:t xml:space="preserve"> </w:t>
      </w:r>
      <w:r w:rsidRPr="001B66F2">
        <w:rPr>
          <w:rFonts w:ascii="Book Antiqua" w:hAnsi="Book Antiqua" w:cs="Segoe UI"/>
          <w:sz w:val="26"/>
          <w:szCs w:val="26"/>
        </w:rPr>
        <w:t>within the utility’s control</w:t>
      </w:r>
      <w:r>
        <w:rPr>
          <w:rFonts w:ascii="Book Antiqua" w:hAnsi="Book Antiqua" w:cs="Segoe UI"/>
          <w:sz w:val="26"/>
          <w:szCs w:val="26"/>
        </w:rPr>
        <w:t>, while also expecting benefits from these efforts in reducing ignitions from sources outside the utility’s control (e.g., Mylar balloons are less likely to be caught on wires if they are spread out more widely)</w:t>
      </w:r>
      <w:r w:rsidRPr="001B66F2">
        <w:rPr>
          <w:rFonts w:ascii="Book Antiqua" w:hAnsi="Book Antiqua" w:cs="Segoe UI"/>
          <w:sz w:val="26"/>
          <w:szCs w:val="26"/>
        </w:rPr>
        <w:t>.</w:t>
      </w:r>
      <w:r>
        <w:rPr>
          <w:rFonts w:ascii="Book Antiqua" w:hAnsi="Book Antiqua" w:cs="Segoe UI"/>
          <w:sz w:val="26"/>
          <w:szCs w:val="26"/>
        </w:rPr>
        <w:t xml:space="preserve"> Regarding the assessment of the efficacy of covered conductor, SDG&amp;E points out that </w:t>
      </w:r>
      <w:r w:rsidRPr="0059511E">
        <w:rPr>
          <w:rFonts w:ascii="Book Antiqua" w:hAnsi="Book Antiqua" w:cs="Segoe UI"/>
          <w:sz w:val="26"/>
          <w:szCs w:val="26"/>
        </w:rPr>
        <w:t>it is difficult to validate assumptions without broader</w:t>
      </w:r>
      <w:r>
        <w:rPr>
          <w:rFonts w:ascii="Book Antiqua" w:hAnsi="Book Antiqua" w:cs="Segoe UI"/>
          <w:sz w:val="26"/>
          <w:szCs w:val="26"/>
        </w:rPr>
        <w:t xml:space="preserve"> </w:t>
      </w:r>
      <w:r w:rsidRPr="0059511E">
        <w:rPr>
          <w:rFonts w:ascii="Book Antiqua" w:hAnsi="Book Antiqua" w:cs="Segoe UI"/>
          <w:sz w:val="26"/>
          <w:szCs w:val="26"/>
        </w:rPr>
        <w:t>implementation and gathering of data over multiple years.</w:t>
      </w:r>
      <w:r>
        <w:rPr>
          <w:rFonts w:ascii="Book Antiqua" w:hAnsi="Book Antiqua" w:cs="Segoe UI"/>
          <w:sz w:val="26"/>
          <w:szCs w:val="26"/>
        </w:rPr>
        <w:t xml:space="preserve"> </w:t>
      </w:r>
    </w:p>
    <w:p w:rsidRPr="00F10AB8" w:rsidR="00CA4696" w:rsidP="00CA4696" w:rsidRDefault="00CA4696" w14:paraId="7F762BDD" w14:textId="15B0074D">
      <w:pPr>
        <w:pStyle w:val="NormalWeb"/>
        <w:spacing w:after="240"/>
        <w:rPr>
          <w:rFonts w:ascii="Book Antiqua" w:hAnsi="Book Antiqua" w:cs="Segoe UI"/>
          <w:sz w:val="26"/>
          <w:szCs w:val="26"/>
        </w:rPr>
      </w:pPr>
      <w:r w:rsidRPr="00937784">
        <w:rPr>
          <w:rFonts w:ascii="Book Antiqua" w:hAnsi="Book Antiqua" w:cs="Segoe UI"/>
          <w:sz w:val="26"/>
          <w:szCs w:val="26"/>
        </w:rPr>
        <w:t xml:space="preserve">The utility noted some issues it had with the WSD’s comments related to VM, namely that it does not see potential for wildfire risk reduction from identifying trees to species level, while acknowledging that there might be such a benefit to identifying the genus </w:t>
      </w:r>
      <w:r w:rsidRPr="00937784">
        <w:rPr>
          <w:rFonts w:ascii="Book Antiqua" w:hAnsi="Book Antiqua" w:cs="Segoe UI"/>
          <w:i/>
          <w:iCs/>
          <w:sz w:val="26"/>
          <w:szCs w:val="26"/>
        </w:rPr>
        <w:t>Pinus</w:t>
      </w:r>
      <w:r w:rsidRPr="00937784">
        <w:rPr>
          <w:rFonts w:ascii="Book Antiqua" w:hAnsi="Book Antiqua" w:cs="Segoe UI"/>
          <w:sz w:val="26"/>
          <w:szCs w:val="26"/>
        </w:rPr>
        <w:t xml:space="preserve"> to species level.</w:t>
      </w:r>
      <w:r>
        <w:rPr>
          <w:rFonts w:ascii="Book Antiqua" w:hAnsi="Book Antiqua" w:cs="Segoe UI"/>
          <w:sz w:val="26"/>
          <w:szCs w:val="26"/>
        </w:rPr>
        <w:t xml:space="preserve"> </w:t>
      </w:r>
      <w:r w:rsidRPr="00F10AB8">
        <w:rPr>
          <w:rFonts w:ascii="Book Antiqua" w:hAnsi="Book Antiqua" w:cs="Segoe UI"/>
          <w:sz w:val="26"/>
          <w:szCs w:val="26"/>
        </w:rPr>
        <w:t>The WSD is interested in SDG</w:t>
      </w:r>
      <w:r>
        <w:rPr>
          <w:rFonts w:ascii="Book Antiqua" w:hAnsi="Book Antiqua" w:cs="Segoe UI"/>
          <w:sz w:val="26"/>
          <w:szCs w:val="26"/>
        </w:rPr>
        <w:t>&amp;</w:t>
      </w:r>
      <w:r w:rsidRPr="00F10AB8">
        <w:rPr>
          <w:rFonts w:ascii="Book Antiqua" w:hAnsi="Book Antiqua" w:cs="Segoe UI"/>
          <w:sz w:val="26"/>
          <w:szCs w:val="26"/>
        </w:rPr>
        <w:t>E’s suggestion of “developing a list of trees and</w:t>
      </w:r>
      <w:r>
        <w:rPr>
          <w:rFonts w:ascii="Book Antiqua" w:hAnsi="Book Antiqua" w:cs="Segoe UI"/>
          <w:sz w:val="26"/>
          <w:szCs w:val="26"/>
        </w:rPr>
        <w:t xml:space="preserve"> </w:t>
      </w:r>
      <w:r w:rsidRPr="00F10AB8">
        <w:rPr>
          <w:rFonts w:ascii="Book Antiqua" w:hAnsi="Book Antiqua" w:cs="Segoe UI"/>
          <w:sz w:val="26"/>
          <w:szCs w:val="26"/>
        </w:rPr>
        <w:t>vegetation that will be identified by species through a working group or joint study with the other utilities to address</w:t>
      </w:r>
      <w:r>
        <w:rPr>
          <w:rFonts w:ascii="Book Antiqua" w:hAnsi="Book Antiqua" w:cs="Segoe UI"/>
          <w:sz w:val="26"/>
          <w:szCs w:val="26"/>
        </w:rPr>
        <w:t xml:space="preserve"> </w:t>
      </w:r>
      <w:r w:rsidRPr="00F10AB8">
        <w:rPr>
          <w:rFonts w:ascii="Book Antiqua" w:hAnsi="Book Antiqua" w:cs="Segoe UI"/>
          <w:sz w:val="26"/>
          <w:szCs w:val="26"/>
        </w:rPr>
        <w:t>concerns regarding consistency.” However, this does not negate the ongoing necessity for more granular vegetation</w:t>
      </w:r>
      <w:r>
        <w:rPr>
          <w:rFonts w:ascii="Book Antiqua" w:hAnsi="Book Antiqua" w:cs="Segoe UI"/>
          <w:sz w:val="26"/>
          <w:szCs w:val="26"/>
        </w:rPr>
        <w:t xml:space="preserve"> </w:t>
      </w:r>
      <w:r w:rsidRPr="00F10AB8">
        <w:rPr>
          <w:rFonts w:ascii="Book Antiqua" w:hAnsi="Book Antiqua" w:cs="Segoe UI"/>
          <w:sz w:val="26"/>
          <w:szCs w:val="26"/>
        </w:rPr>
        <w:t>data.</w:t>
      </w:r>
      <w:r>
        <w:rPr>
          <w:rFonts w:ascii="Book Antiqua" w:hAnsi="Book Antiqua" w:cs="Segoe UI"/>
          <w:sz w:val="26"/>
          <w:szCs w:val="26"/>
        </w:rPr>
        <w:t xml:space="preserve"> Regarding the utility’s comment on the new burden created by identifying trees to species level, </w:t>
      </w:r>
      <w:r w:rsidRPr="00293554">
        <w:rPr>
          <w:rFonts w:ascii="Book Antiqua" w:hAnsi="Book Antiqua" w:cs="Segoe UI"/>
          <w:sz w:val="26"/>
          <w:szCs w:val="26"/>
        </w:rPr>
        <w:t>SDGE</w:t>
      </w:r>
      <w:r w:rsidRPr="00293554">
        <w:rPr>
          <w:sz w:val="26"/>
          <w:szCs w:val="26"/>
        </w:rPr>
        <w:t>‐</w:t>
      </w:r>
      <w:r w:rsidRPr="00293554" w:rsidR="00293554">
        <w:rPr>
          <w:rFonts w:ascii="Book Antiqua" w:hAnsi="Book Antiqua"/>
          <w:sz w:val="26"/>
          <w:szCs w:val="26"/>
        </w:rPr>
        <w:t>21-0</w:t>
      </w:r>
      <w:r w:rsidRPr="00293554">
        <w:rPr>
          <w:rFonts w:ascii="Book Antiqua" w:hAnsi="Book Antiqua" w:cs="Segoe UI"/>
          <w:sz w:val="26"/>
          <w:szCs w:val="26"/>
        </w:rPr>
        <w:t>5</w:t>
      </w:r>
      <w:r w:rsidRPr="004711F1">
        <w:rPr>
          <w:rFonts w:ascii="Book Antiqua" w:hAnsi="Book Antiqua" w:cs="Segoe UI"/>
          <w:sz w:val="26"/>
          <w:szCs w:val="26"/>
        </w:rPr>
        <w:t xml:space="preserve"> includes provisions for </w:t>
      </w:r>
      <w:r>
        <w:rPr>
          <w:rFonts w:ascii="Book Antiqua" w:hAnsi="Book Antiqua" w:cs="Segoe UI"/>
          <w:sz w:val="26"/>
          <w:szCs w:val="26"/>
        </w:rPr>
        <w:t>documenting a tree of unknown</w:t>
      </w:r>
      <w:r w:rsidRPr="004711F1">
        <w:rPr>
          <w:rFonts w:ascii="Book Antiqua" w:hAnsi="Book Antiqua" w:cs="Segoe UI"/>
          <w:sz w:val="26"/>
          <w:szCs w:val="26"/>
        </w:rPr>
        <w:t xml:space="preserve"> species.</w:t>
      </w:r>
      <w:r>
        <w:rPr>
          <w:rFonts w:ascii="Book Antiqua" w:hAnsi="Book Antiqua" w:cs="Segoe UI"/>
          <w:sz w:val="26"/>
          <w:szCs w:val="26"/>
        </w:rPr>
        <w:t xml:space="preserve"> Nevertheless, t</w:t>
      </w:r>
      <w:r w:rsidRPr="00F22D33">
        <w:rPr>
          <w:rFonts w:ascii="Book Antiqua" w:hAnsi="Book Antiqua" w:cs="Segoe UI"/>
          <w:sz w:val="26"/>
          <w:szCs w:val="26"/>
        </w:rPr>
        <w:t xml:space="preserve">he WSD has altered the language of SDGE-21-05 to lessen the burden of record keeping on the utility. </w:t>
      </w:r>
      <w:r>
        <w:rPr>
          <w:rFonts w:ascii="Book Antiqua" w:hAnsi="Book Antiqua" w:cs="Segoe UI"/>
          <w:sz w:val="26"/>
          <w:szCs w:val="26"/>
        </w:rPr>
        <w:t>The altered language</w:t>
      </w:r>
      <w:r w:rsidRPr="00F22D33">
        <w:rPr>
          <w:rFonts w:ascii="Book Antiqua" w:hAnsi="Book Antiqua" w:cs="Segoe UI"/>
          <w:sz w:val="26"/>
          <w:szCs w:val="26"/>
        </w:rPr>
        <w:t xml:space="preserve"> emphasize</w:t>
      </w:r>
      <w:r>
        <w:rPr>
          <w:rFonts w:ascii="Book Antiqua" w:hAnsi="Book Antiqua" w:cs="Segoe UI"/>
          <w:sz w:val="26"/>
          <w:szCs w:val="26"/>
        </w:rPr>
        <w:t xml:space="preserve">s </w:t>
      </w:r>
      <w:r w:rsidRPr="00F22D33">
        <w:rPr>
          <w:rFonts w:ascii="Book Antiqua" w:hAnsi="Book Antiqua" w:cs="Segoe UI"/>
          <w:sz w:val="26"/>
          <w:szCs w:val="26"/>
        </w:rPr>
        <w:t xml:space="preserve">that tree identification to </w:t>
      </w:r>
      <w:r>
        <w:rPr>
          <w:rFonts w:ascii="Book Antiqua" w:hAnsi="Book Antiqua" w:cs="Segoe UI"/>
          <w:sz w:val="26"/>
          <w:szCs w:val="26"/>
        </w:rPr>
        <w:t xml:space="preserve">the </w:t>
      </w:r>
      <w:r w:rsidRPr="00F22D33">
        <w:rPr>
          <w:rFonts w:ascii="Book Antiqua" w:hAnsi="Book Antiqua" w:cs="Segoe UI"/>
          <w:sz w:val="26"/>
          <w:szCs w:val="26"/>
        </w:rPr>
        <w:t>species</w:t>
      </w:r>
      <w:r>
        <w:rPr>
          <w:rFonts w:ascii="Book Antiqua" w:hAnsi="Book Antiqua" w:cs="Segoe UI"/>
          <w:sz w:val="26"/>
          <w:szCs w:val="26"/>
        </w:rPr>
        <w:t xml:space="preserve"> level</w:t>
      </w:r>
      <w:r w:rsidRPr="00F22D33">
        <w:rPr>
          <w:rFonts w:ascii="Book Antiqua" w:hAnsi="Book Antiqua" w:cs="Segoe UI"/>
          <w:sz w:val="26"/>
          <w:szCs w:val="26"/>
        </w:rPr>
        <w:t xml:space="preserve"> is required</w:t>
      </w:r>
      <w:r>
        <w:rPr>
          <w:rFonts w:ascii="Book Antiqua" w:hAnsi="Book Antiqua" w:cs="Segoe UI"/>
          <w:sz w:val="26"/>
          <w:szCs w:val="26"/>
        </w:rPr>
        <w:t>,</w:t>
      </w:r>
      <w:r w:rsidRPr="00F22D33">
        <w:rPr>
          <w:rFonts w:ascii="Book Antiqua" w:hAnsi="Book Antiqua" w:cs="Segoe UI"/>
          <w:sz w:val="26"/>
          <w:szCs w:val="26"/>
        </w:rPr>
        <w:t xml:space="preserve"> at a minimum</w:t>
      </w:r>
      <w:r>
        <w:rPr>
          <w:rFonts w:ascii="Book Antiqua" w:hAnsi="Book Antiqua" w:cs="Segoe UI"/>
          <w:sz w:val="26"/>
          <w:szCs w:val="26"/>
        </w:rPr>
        <w:t>,</w:t>
      </w:r>
      <w:r w:rsidRPr="00F22D33">
        <w:rPr>
          <w:rFonts w:ascii="Book Antiqua" w:hAnsi="Book Antiqua" w:cs="Segoe UI"/>
          <w:sz w:val="26"/>
          <w:szCs w:val="26"/>
        </w:rPr>
        <w:t xml:space="preserve"> for vegetation</w:t>
      </w:r>
      <w:r>
        <w:rPr>
          <w:rFonts w:ascii="Book Antiqua" w:hAnsi="Book Antiqua" w:cs="Segoe UI"/>
          <w:sz w:val="26"/>
          <w:szCs w:val="26"/>
        </w:rPr>
        <w:t>-</w:t>
      </w:r>
      <w:r w:rsidRPr="00F22D33">
        <w:rPr>
          <w:rFonts w:ascii="Book Antiqua" w:hAnsi="Book Antiqua" w:cs="Segoe UI"/>
          <w:sz w:val="26"/>
          <w:szCs w:val="26"/>
        </w:rPr>
        <w:t>caused outages and ignitions.</w:t>
      </w:r>
    </w:p>
    <w:p w:rsidR="00CA4696" w:rsidP="00CA4696" w:rsidRDefault="00CA4696" w14:paraId="737DB41E" w14:textId="77777777">
      <w:pPr>
        <w:pStyle w:val="NormalWeb"/>
        <w:spacing w:after="240"/>
        <w:rPr>
          <w:rFonts w:ascii="Book Antiqua" w:hAnsi="Book Antiqua" w:cs="Segoe UI"/>
          <w:sz w:val="26"/>
          <w:szCs w:val="26"/>
        </w:rPr>
      </w:pPr>
      <w:r w:rsidRPr="0003669F">
        <w:rPr>
          <w:rFonts w:ascii="Book Antiqua" w:hAnsi="Book Antiqua" w:cs="Segoe UI"/>
          <w:sz w:val="26"/>
          <w:szCs w:val="26"/>
        </w:rPr>
        <w:lastRenderedPageBreak/>
        <w:t xml:space="preserve">Additionally, SDG&amp;E notes that further quantitative analysis of “at-risk” species may have limited value. </w:t>
      </w:r>
      <w:r w:rsidRPr="00AE0A61">
        <w:rPr>
          <w:rFonts w:ascii="Book Antiqua" w:hAnsi="Book Antiqua" w:cs="Segoe UI"/>
          <w:sz w:val="26"/>
          <w:szCs w:val="26"/>
        </w:rPr>
        <w:t xml:space="preserve">The WSD agrees that it is necessary to evaluate </w:t>
      </w:r>
      <w:r>
        <w:rPr>
          <w:rFonts w:ascii="Book Antiqua" w:hAnsi="Book Antiqua" w:cs="Segoe UI"/>
          <w:sz w:val="26"/>
          <w:szCs w:val="26"/>
        </w:rPr>
        <w:t xml:space="preserve">hazardous </w:t>
      </w:r>
      <w:r w:rsidRPr="00AE0A61">
        <w:rPr>
          <w:rFonts w:ascii="Book Antiqua" w:hAnsi="Book Antiqua" w:cs="Segoe UI"/>
          <w:sz w:val="26"/>
          <w:szCs w:val="26"/>
        </w:rPr>
        <w:t>vegetation using both qualitative and quantitative attributes</w:t>
      </w:r>
      <w:r>
        <w:rPr>
          <w:rFonts w:ascii="Book Antiqua" w:hAnsi="Book Antiqua" w:cs="Segoe UI"/>
          <w:sz w:val="26"/>
          <w:szCs w:val="26"/>
        </w:rPr>
        <w:t>. The WSD also believes that SDG&amp;E could identify quantitative</w:t>
      </w:r>
      <w:r w:rsidRPr="00EA2CB7">
        <w:t xml:space="preserve"> </w:t>
      </w:r>
      <w:r w:rsidRPr="00EA2CB7">
        <w:rPr>
          <w:rFonts w:ascii="Book Antiqua" w:hAnsi="Book Antiqua" w:cs="Segoe UI"/>
          <w:sz w:val="26"/>
          <w:szCs w:val="26"/>
        </w:rPr>
        <w:t>threshold values</w:t>
      </w:r>
      <w:r>
        <w:rPr>
          <w:rFonts w:ascii="Book Antiqua" w:hAnsi="Book Antiqua" w:cs="Segoe UI"/>
          <w:sz w:val="26"/>
          <w:szCs w:val="26"/>
        </w:rPr>
        <w:t xml:space="preserve"> to improve its targeting of “at-risk” species. </w:t>
      </w:r>
    </w:p>
    <w:p w:rsidR="00CA4696" w:rsidP="00CA4696" w:rsidRDefault="00CA4696" w14:paraId="3873E666" w14:textId="77777777">
      <w:pPr>
        <w:pStyle w:val="NormalWeb"/>
        <w:spacing w:after="240"/>
        <w:rPr>
          <w:rFonts w:ascii="Book Antiqua" w:hAnsi="Book Antiqua" w:cs="Segoe UI"/>
          <w:sz w:val="26"/>
          <w:szCs w:val="26"/>
        </w:rPr>
      </w:pPr>
      <w:r w:rsidRPr="00EC6EC9">
        <w:rPr>
          <w:rFonts w:ascii="Book Antiqua" w:hAnsi="Book Antiqua" w:cs="Segoe UI"/>
          <w:sz w:val="26"/>
          <w:szCs w:val="26"/>
        </w:rPr>
        <w:t xml:space="preserve">SDG&amp;E further takes issue with the request for additional quantitative targets for its VM initiatives. </w:t>
      </w:r>
      <w:r>
        <w:rPr>
          <w:rFonts w:ascii="Book Antiqua" w:hAnsi="Book Antiqua" w:cs="Segoe UI"/>
          <w:sz w:val="26"/>
          <w:szCs w:val="26"/>
        </w:rPr>
        <w:t xml:space="preserve">SDG&amp;E notes that it has </w:t>
      </w:r>
      <w:r w:rsidRPr="009B1184">
        <w:rPr>
          <w:rFonts w:ascii="Book Antiqua" w:hAnsi="Book Antiqua" w:cs="Segoe UI"/>
          <w:sz w:val="26"/>
          <w:szCs w:val="26"/>
        </w:rPr>
        <w:t>ten</w:t>
      </w:r>
      <w:r>
        <w:rPr>
          <w:rFonts w:ascii="Book Antiqua" w:hAnsi="Book Antiqua" w:cs="Segoe UI"/>
          <w:sz w:val="26"/>
          <w:szCs w:val="26"/>
        </w:rPr>
        <w:t xml:space="preserve"> VM</w:t>
      </w:r>
      <w:r w:rsidRPr="009B1184">
        <w:rPr>
          <w:rFonts w:ascii="Book Antiqua" w:hAnsi="Book Antiqua" w:cs="Segoe UI"/>
          <w:sz w:val="26"/>
          <w:szCs w:val="26"/>
        </w:rPr>
        <w:t xml:space="preserve"> initiatives</w:t>
      </w:r>
      <w:r>
        <w:rPr>
          <w:rFonts w:ascii="Book Antiqua" w:hAnsi="Book Antiqua" w:cs="Segoe UI"/>
          <w:sz w:val="26"/>
          <w:szCs w:val="26"/>
        </w:rPr>
        <w:t xml:space="preserve"> in response to SDGE-21-07,</w:t>
      </w:r>
      <w:r>
        <w:rPr>
          <w:rStyle w:val="FootnoteReference"/>
          <w:rFonts w:cs="Segoe UI"/>
          <w:szCs w:val="26"/>
        </w:rPr>
        <w:footnoteReference w:id="47"/>
      </w:r>
      <w:r>
        <w:rPr>
          <w:rFonts w:ascii="Book Antiqua" w:hAnsi="Book Antiqua" w:cs="Segoe UI"/>
          <w:sz w:val="26"/>
          <w:szCs w:val="26"/>
        </w:rPr>
        <w:t xml:space="preserve"> where the WSD points out that SDG&amp;E has only established quantitative targets for four of 20 VM initiatives. To clarify, “20” refers to the number of</w:t>
      </w:r>
      <w:r w:rsidRPr="008C276C">
        <w:rPr>
          <w:rFonts w:ascii="Book Antiqua" w:hAnsi="Book Antiqua" w:cs="Segoe UI"/>
          <w:sz w:val="26"/>
          <w:szCs w:val="26"/>
        </w:rPr>
        <w:t xml:space="preserve"> VM initiatives </w:t>
      </w:r>
      <w:r>
        <w:rPr>
          <w:rFonts w:ascii="Book Antiqua" w:hAnsi="Book Antiqua" w:cs="Segoe UI"/>
          <w:sz w:val="26"/>
          <w:szCs w:val="26"/>
        </w:rPr>
        <w:t>in</w:t>
      </w:r>
      <w:r w:rsidRPr="008C276C">
        <w:rPr>
          <w:rFonts w:ascii="Book Antiqua" w:hAnsi="Book Antiqua" w:cs="Segoe UI"/>
          <w:sz w:val="26"/>
          <w:szCs w:val="26"/>
        </w:rPr>
        <w:t xml:space="preserve"> Table 12</w:t>
      </w:r>
      <w:r>
        <w:rPr>
          <w:rFonts w:ascii="Book Antiqua" w:hAnsi="Book Antiqua" w:cs="Segoe UI"/>
          <w:sz w:val="26"/>
          <w:szCs w:val="26"/>
        </w:rPr>
        <w:t>, not the number of VM initiatives defined by SDG&amp;E in the body of the WMP Update</w:t>
      </w:r>
      <w:r w:rsidRPr="008C276C">
        <w:rPr>
          <w:rFonts w:ascii="Book Antiqua" w:hAnsi="Book Antiqua" w:cs="Segoe UI"/>
          <w:sz w:val="26"/>
          <w:szCs w:val="26"/>
        </w:rPr>
        <w:t>.</w:t>
      </w:r>
      <w:r w:rsidRPr="008B370C">
        <w:t xml:space="preserve"> </w:t>
      </w:r>
      <w:r w:rsidRPr="008B370C">
        <w:rPr>
          <w:rFonts w:ascii="Book Antiqua" w:hAnsi="Book Antiqua" w:cs="Segoe UI"/>
          <w:sz w:val="26"/>
          <w:szCs w:val="26"/>
        </w:rPr>
        <w:t>The WSD acknowledges that not all VM initiatives are well-suited for quantitative targets, as noted in the required remedies.</w:t>
      </w:r>
    </w:p>
    <w:p w:rsidR="00CA4696" w:rsidP="00CA4696" w:rsidRDefault="00CA4696" w14:paraId="515AA880" w14:textId="77777777">
      <w:pPr>
        <w:pStyle w:val="NormalWeb"/>
        <w:spacing w:after="240"/>
        <w:rPr>
          <w:rFonts w:ascii="Book Antiqua" w:hAnsi="Book Antiqua" w:cs="Segoe UI"/>
          <w:sz w:val="26"/>
          <w:szCs w:val="26"/>
        </w:rPr>
      </w:pPr>
      <w:r>
        <w:rPr>
          <w:rFonts w:ascii="Book Antiqua" w:hAnsi="Book Antiqua" w:cs="Segoe UI"/>
          <w:sz w:val="26"/>
          <w:szCs w:val="26"/>
        </w:rPr>
        <w:t xml:space="preserve">SDG&amp;E further notes, regarding SDGE-21-08, that only three missed PSPS notifications were </w:t>
      </w:r>
      <w:r w:rsidRPr="00A318A0">
        <w:rPr>
          <w:rFonts w:ascii="Book Antiqua" w:hAnsi="Book Antiqua" w:cs="Segoe UI"/>
          <w:sz w:val="26"/>
          <w:szCs w:val="26"/>
        </w:rPr>
        <w:t>related to an inoperable SCADA switch</w:t>
      </w:r>
      <w:r>
        <w:rPr>
          <w:rFonts w:ascii="Book Antiqua" w:hAnsi="Book Antiqua" w:cs="Segoe UI"/>
          <w:sz w:val="26"/>
          <w:szCs w:val="26"/>
        </w:rPr>
        <w:t>, and it is “</w:t>
      </w:r>
      <w:r w:rsidRPr="003E487E">
        <w:rPr>
          <w:rFonts w:ascii="Book Antiqua" w:hAnsi="Book Antiqua" w:cs="Segoe UI"/>
          <w:sz w:val="26"/>
          <w:szCs w:val="26"/>
        </w:rPr>
        <w:t>already taking the steps identified</w:t>
      </w:r>
      <w:r>
        <w:rPr>
          <w:rFonts w:ascii="Book Antiqua" w:hAnsi="Book Antiqua" w:cs="Segoe UI"/>
          <w:sz w:val="26"/>
          <w:szCs w:val="26"/>
        </w:rPr>
        <w:t xml:space="preserve">” </w:t>
      </w:r>
      <w:r w:rsidRPr="003E487E">
        <w:rPr>
          <w:rFonts w:ascii="Book Antiqua" w:hAnsi="Book Antiqua" w:cs="Segoe UI"/>
          <w:sz w:val="26"/>
          <w:szCs w:val="26"/>
        </w:rPr>
        <w:t>in</w:t>
      </w:r>
      <w:r>
        <w:rPr>
          <w:rFonts w:ascii="Book Antiqua" w:hAnsi="Book Antiqua" w:cs="Segoe UI"/>
          <w:sz w:val="26"/>
          <w:szCs w:val="26"/>
        </w:rPr>
        <w:t xml:space="preserve"> SDGE-21-08. SDG&amp;E adds that it</w:t>
      </w:r>
      <w:r w:rsidRPr="00333E3A">
        <w:rPr>
          <w:rFonts w:ascii="Book Antiqua" w:hAnsi="Book Antiqua" w:cs="Segoe UI"/>
          <w:sz w:val="26"/>
          <w:szCs w:val="26"/>
        </w:rPr>
        <w:t xml:space="preserve"> </w:t>
      </w:r>
      <w:r>
        <w:rPr>
          <w:rFonts w:ascii="Book Antiqua" w:hAnsi="Book Antiqua" w:cs="Segoe UI"/>
          <w:sz w:val="26"/>
          <w:szCs w:val="26"/>
        </w:rPr>
        <w:t>“</w:t>
      </w:r>
      <w:r w:rsidRPr="00333E3A">
        <w:rPr>
          <w:rFonts w:ascii="Book Antiqua" w:hAnsi="Book Antiqua" w:cs="Segoe UI"/>
          <w:sz w:val="26"/>
          <w:szCs w:val="26"/>
        </w:rPr>
        <w:t>has existing procedures and has developed</w:t>
      </w:r>
      <w:r>
        <w:rPr>
          <w:rFonts w:ascii="Book Antiqua" w:hAnsi="Book Antiqua" w:cs="Segoe UI"/>
          <w:sz w:val="26"/>
          <w:szCs w:val="26"/>
        </w:rPr>
        <w:t xml:space="preserve"> </w:t>
      </w:r>
      <w:r w:rsidRPr="00333E3A">
        <w:rPr>
          <w:rFonts w:ascii="Book Antiqua" w:hAnsi="Book Antiqua" w:cs="Segoe UI"/>
          <w:sz w:val="26"/>
          <w:szCs w:val="26"/>
        </w:rPr>
        <w:t>enhancements to these procedures to ensure that SCADA devices remain fully functional</w:t>
      </w:r>
      <w:r>
        <w:rPr>
          <w:rFonts w:ascii="Book Antiqua" w:hAnsi="Book Antiqua" w:cs="Segoe UI"/>
          <w:sz w:val="26"/>
          <w:szCs w:val="26"/>
        </w:rPr>
        <w:t xml:space="preserve"> t</w:t>
      </w:r>
      <w:r w:rsidRPr="00333E3A">
        <w:rPr>
          <w:rFonts w:ascii="Book Antiqua" w:hAnsi="Book Antiqua" w:cs="Segoe UI"/>
          <w:sz w:val="26"/>
          <w:szCs w:val="26"/>
        </w:rPr>
        <w:t>hroughout the year</w:t>
      </w:r>
      <w:r>
        <w:rPr>
          <w:rFonts w:ascii="Book Antiqua" w:hAnsi="Book Antiqua" w:cs="Segoe UI"/>
          <w:sz w:val="26"/>
          <w:szCs w:val="26"/>
        </w:rPr>
        <w:t>.” T</w:t>
      </w:r>
      <w:r w:rsidRPr="00A76851">
        <w:rPr>
          <w:rFonts w:ascii="Book Antiqua" w:hAnsi="Book Antiqua" w:cs="Segoe UI"/>
          <w:sz w:val="26"/>
          <w:szCs w:val="26"/>
        </w:rPr>
        <w:t>he WSD acknowledges that SDG&amp;E is already engaging with this issue proactively</w:t>
      </w:r>
      <w:r>
        <w:rPr>
          <w:rFonts w:ascii="Book Antiqua" w:hAnsi="Book Antiqua" w:cs="Segoe UI"/>
          <w:sz w:val="26"/>
          <w:szCs w:val="26"/>
        </w:rPr>
        <w:t xml:space="preserve"> and expects more information on its SCADA switch procedures and steps it has taken to ensure SCADA switch functionality in the Progress Report due on November 1, 2021. </w:t>
      </w:r>
    </w:p>
    <w:p w:rsidR="00CA4696" w:rsidP="00CA4696" w:rsidRDefault="00CA4696" w14:paraId="1DFF215A" w14:textId="77777777">
      <w:pPr>
        <w:pStyle w:val="NormalWeb"/>
        <w:spacing w:after="240"/>
        <w:rPr>
          <w:rFonts w:ascii="Book Antiqua" w:hAnsi="Book Antiqua" w:cs="Segoe UI"/>
          <w:sz w:val="26"/>
          <w:szCs w:val="26"/>
        </w:rPr>
      </w:pPr>
      <w:r>
        <w:rPr>
          <w:rFonts w:ascii="Book Antiqua" w:hAnsi="Book Antiqua" w:cs="Segoe UI"/>
          <w:sz w:val="26"/>
          <w:szCs w:val="26"/>
        </w:rPr>
        <w:t>SDG&amp;E responds to the new threshold criteria for a change order by providing an alternative set of criteria for consideration. In particular, SDG&amp;E believes that change in the cost of an initiative is less relevant than a change in its scope, and suggests replacing the change criterion “a</w:t>
      </w:r>
      <w:r w:rsidRPr="004648AB">
        <w:rPr>
          <w:rFonts w:ascii="Book Antiqua" w:hAnsi="Book Antiqua" w:cs="Segoe UI"/>
          <w:sz w:val="26"/>
          <w:szCs w:val="26"/>
        </w:rPr>
        <w:t xml:space="preserve"> change that would result in an increase, decrease, or reallocation of more than $5 million constituting a greater than 10% change in spend allocation</w:t>
      </w:r>
      <w:r>
        <w:rPr>
          <w:rFonts w:ascii="Book Antiqua" w:hAnsi="Book Antiqua" w:cs="Segoe UI"/>
          <w:sz w:val="26"/>
          <w:szCs w:val="26"/>
        </w:rPr>
        <w:t>” to a change where “</w:t>
      </w:r>
      <w:r w:rsidRPr="00072A72">
        <w:rPr>
          <w:rFonts w:ascii="Book Antiqua" w:hAnsi="Book Antiqua" w:cs="Segoe UI"/>
          <w:sz w:val="26"/>
          <w:szCs w:val="26"/>
        </w:rPr>
        <w:t>the scope of a mitigation was</w:t>
      </w:r>
      <w:r>
        <w:rPr>
          <w:rFonts w:ascii="Book Antiqua" w:hAnsi="Book Antiqua" w:cs="Segoe UI"/>
          <w:sz w:val="26"/>
          <w:szCs w:val="26"/>
        </w:rPr>
        <w:t xml:space="preserve"> </w:t>
      </w:r>
      <w:r w:rsidRPr="00072A72">
        <w:rPr>
          <w:rFonts w:ascii="Book Antiqua" w:hAnsi="Book Antiqua" w:cs="Segoe UI"/>
          <w:sz w:val="26"/>
          <w:szCs w:val="26"/>
        </w:rPr>
        <w:t>purposely increased or decreased greater than 25%</w:t>
      </w:r>
      <w:r>
        <w:rPr>
          <w:rFonts w:ascii="Book Antiqua" w:hAnsi="Book Antiqua" w:cs="Segoe UI"/>
          <w:sz w:val="26"/>
          <w:szCs w:val="26"/>
        </w:rPr>
        <w:t xml:space="preserve">.” SDG&amp;E points out that an initiative could change in cost due to “execution variance” without significantly affecting the initiative’s scope. Further, SDG&amp;E points out that an increase in cost that doesn’t affect scope would be evaluated in the </w:t>
      </w:r>
      <w:r>
        <w:rPr>
          <w:rFonts w:ascii="Book Antiqua" w:hAnsi="Book Antiqua" w:cs="Segoe UI"/>
          <w:sz w:val="26"/>
          <w:szCs w:val="26"/>
        </w:rPr>
        <w:lastRenderedPageBreak/>
        <w:t>utilities’ GRC or other application and shouldn’t be “litigated in a WMP proceeding</w:t>
      </w:r>
      <w:r w:rsidRPr="00850E93">
        <w:rPr>
          <w:rFonts w:ascii="Book Antiqua" w:hAnsi="Book Antiqua" w:cs="Segoe UI"/>
          <w:sz w:val="26"/>
          <w:szCs w:val="26"/>
        </w:rPr>
        <w:t xml:space="preserve">.” The WSD declines to make any changes at this time; however, after the issuance of all utility Action Statements, we will take all change order-related suggestions into consideration. </w:t>
      </w:r>
    </w:p>
    <w:p w:rsidR="00CA4696" w:rsidP="00CA4696" w:rsidRDefault="00CA4696" w14:paraId="5FAF2DEB" w14:textId="77777777">
      <w:pPr>
        <w:pStyle w:val="NormalWeb"/>
        <w:spacing w:after="240"/>
        <w:rPr>
          <w:rFonts w:ascii="Book Antiqua" w:hAnsi="Book Antiqua" w:cs="Segoe UI"/>
          <w:sz w:val="26"/>
          <w:szCs w:val="26"/>
        </w:rPr>
      </w:pPr>
      <w:r>
        <w:rPr>
          <w:rFonts w:ascii="Book Antiqua" w:hAnsi="Book Antiqua" w:cs="Segoe UI"/>
          <w:sz w:val="26"/>
          <w:szCs w:val="26"/>
        </w:rPr>
        <w:t>In response to issues surfaced by the WSD in Section 5.3 “</w:t>
      </w:r>
      <w:r w:rsidRPr="00864378">
        <w:rPr>
          <w:rFonts w:ascii="Book Antiqua" w:hAnsi="Book Antiqua" w:cs="Segoe UI"/>
          <w:sz w:val="26"/>
          <w:szCs w:val="26"/>
        </w:rPr>
        <w:t>Grid Design and System Hardening</w:t>
      </w:r>
      <w:r>
        <w:rPr>
          <w:rFonts w:ascii="Book Antiqua" w:hAnsi="Book Antiqua" w:cs="Segoe UI"/>
          <w:sz w:val="26"/>
          <w:szCs w:val="26"/>
        </w:rPr>
        <w:t xml:space="preserve">,” in particular regarding the possibility of SDG&amp;E performing hardening activities in already-hardened areas, SDG&amp;E points out that re-hardening may be necessary in some cases. For example, SDG&amp;E may find it needs to replace bare conductors with covered conductors </w:t>
      </w:r>
      <w:r w:rsidRPr="00204329">
        <w:rPr>
          <w:rFonts w:ascii="Book Antiqua" w:hAnsi="Book Antiqua" w:cs="Segoe UI"/>
          <w:sz w:val="26"/>
          <w:szCs w:val="26"/>
        </w:rPr>
        <w:t>on circuit segments that were recently hardened as part of traditional bare wire hardening efforts</w:t>
      </w:r>
      <w:r>
        <w:rPr>
          <w:rFonts w:ascii="Book Antiqua" w:hAnsi="Book Antiqua" w:cs="Segoe UI"/>
          <w:sz w:val="26"/>
          <w:szCs w:val="26"/>
        </w:rPr>
        <w:t xml:space="preserve"> as “</w:t>
      </w:r>
      <w:r w:rsidRPr="00CC046F">
        <w:rPr>
          <w:rFonts w:ascii="Book Antiqua" w:hAnsi="Book Antiqua" w:cs="Segoe UI"/>
          <w:sz w:val="26"/>
          <w:szCs w:val="26"/>
        </w:rPr>
        <w:t>a necessary component of its scoping strategy.”</w:t>
      </w:r>
      <w:r>
        <w:rPr>
          <w:rFonts w:ascii="Book Antiqua" w:hAnsi="Book Antiqua" w:cs="Segoe UI"/>
          <w:sz w:val="26"/>
          <w:szCs w:val="26"/>
        </w:rPr>
        <w:t xml:space="preserve"> The WSD acknowledges this potential necessity and in response has modified its language in the remedy for the relevant issue, adding the qualifier “when possible”: </w:t>
      </w:r>
    </w:p>
    <w:p w:rsidRPr="00720D80" w:rsidR="00CA4696" w:rsidP="00CA4696" w:rsidRDefault="00CA4696" w14:paraId="5E81815D" w14:textId="77777777">
      <w:pPr>
        <w:pStyle w:val="NormalWeb"/>
        <w:spacing w:after="240"/>
        <w:ind w:left="720"/>
        <w:rPr>
          <w:rFonts w:ascii="Book Antiqua" w:hAnsi="Book Antiqua" w:cs="Segoe UI"/>
          <w:i/>
          <w:iCs/>
          <w:sz w:val="26"/>
          <w:szCs w:val="26"/>
        </w:rPr>
      </w:pPr>
      <w:r w:rsidRPr="00720D80">
        <w:rPr>
          <w:rFonts w:ascii="Book Antiqua" w:hAnsi="Book Antiqua" w:cs="Segoe UI"/>
          <w:i/>
          <w:iCs/>
          <w:sz w:val="26"/>
          <w:szCs w:val="26"/>
        </w:rPr>
        <w:t>SDG&amp;E must demonstrate how it is reducing</w:t>
      </w:r>
      <w:r>
        <w:rPr>
          <w:rFonts w:ascii="Book Antiqua" w:hAnsi="Book Antiqua" w:cs="Segoe UI"/>
          <w:i/>
          <w:iCs/>
          <w:sz w:val="26"/>
          <w:szCs w:val="26"/>
        </w:rPr>
        <w:t xml:space="preserve">, </w:t>
      </w:r>
      <w:r w:rsidRPr="00720D80">
        <w:rPr>
          <w:rFonts w:ascii="Book Antiqua" w:hAnsi="Book Antiqua" w:cs="Segoe UI"/>
          <w:b/>
          <w:bCs/>
          <w:i/>
          <w:iCs/>
          <w:sz w:val="26"/>
          <w:szCs w:val="26"/>
        </w:rPr>
        <w:t>when possible</w:t>
      </w:r>
      <w:r>
        <w:rPr>
          <w:rFonts w:ascii="Book Antiqua" w:hAnsi="Book Antiqua" w:cs="Segoe UI"/>
          <w:i/>
          <w:iCs/>
          <w:sz w:val="26"/>
          <w:szCs w:val="26"/>
        </w:rPr>
        <w:t>,</w:t>
      </w:r>
      <w:r w:rsidRPr="00720D80">
        <w:rPr>
          <w:rFonts w:ascii="Book Antiqua" w:hAnsi="Book Antiqua" w:cs="Segoe UI"/>
          <w:i/>
          <w:iCs/>
          <w:sz w:val="26"/>
          <w:szCs w:val="26"/>
        </w:rPr>
        <w:t xml:space="preserve"> double-hardening efforts by showing, for example, how it is de-prioritizing or excluding already-hardened circuit segments from future covered conductor replacement projects</w:t>
      </w:r>
      <w:r w:rsidRPr="00A520EE">
        <w:rPr>
          <w:rFonts w:ascii="Book Antiqua" w:hAnsi="Book Antiqua" w:cs="Segoe UI"/>
          <w:i/>
          <w:iCs/>
          <w:sz w:val="26"/>
          <w:szCs w:val="26"/>
        </w:rPr>
        <w:t>.</w:t>
      </w:r>
    </w:p>
    <w:p w:rsidR="00CA4696" w:rsidP="00CA4696" w:rsidRDefault="00CA4696" w14:paraId="294CA354" w14:textId="77777777">
      <w:pPr>
        <w:pStyle w:val="NormalWeb"/>
        <w:spacing w:after="240"/>
        <w:rPr>
          <w:rFonts w:ascii="Book Antiqua" w:hAnsi="Book Antiqua" w:cs="Segoe UI"/>
          <w:sz w:val="26"/>
          <w:szCs w:val="26"/>
        </w:rPr>
      </w:pPr>
      <w:r w:rsidRPr="00720D80">
        <w:rPr>
          <w:rFonts w:ascii="Book Antiqua" w:hAnsi="Book Antiqua" w:cs="Segoe UI"/>
          <w:sz w:val="26"/>
          <w:szCs w:val="26"/>
        </w:rPr>
        <w:t>However, WSD still wants to emphasize that recent hardening efforts made by SDG&amp;E should affect how SDG&amp;E is prioritizing its most at-risk circuits,</w:t>
      </w:r>
      <w:r>
        <w:rPr>
          <w:rFonts w:ascii="Book Antiqua" w:hAnsi="Book Antiqua" w:cs="Segoe UI"/>
          <w:sz w:val="26"/>
          <w:szCs w:val="26"/>
        </w:rPr>
        <w:t xml:space="preserve"> as recent hardening efforts should have mitigated some wildfire risk and decreased the need to immediately reharden the same circuits.</w:t>
      </w:r>
      <w:r w:rsidRPr="00720D80">
        <w:rPr>
          <w:rFonts w:ascii="Book Antiqua" w:hAnsi="Book Antiqua" w:cs="Segoe UI"/>
          <w:sz w:val="26"/>
          <w:szCs w:val="26"/>
        </w:rPr>
        <w:t xml:space="preserve"> </w:t>
      </w:r>
    </w:p>
    <w:p w:rsidR="00CA4696" w:rsidP="00CA4696" w:rsidRDefault="00CA4696" w14:paraId="7C229F7C" w14:textId="77777777">
      <w:pPr>
        <w:pStyle w:val="NormalWeb"/>
        <w:spacing w:after="240"/>
        <w:rPr>
          <w:rFonts w:ascii="Book Antiqua" w:hAnsi="Book Antiqua" w:cs="Segoe UI"/>
          <w:sz w:val="26"/>
          <w:szCs w:val="26"/>
        </w:rPr>
      </w:pPr>
      <w:r>
        <w:rPr>
          <w:rFonts w:ascii="Book Antiqua" w:hAnsi="Book Antiqua" w:cs="Segoe UI"/>
          <w:sz w:val="26"/>
          <w:szCs w:val="26"/>
        </w:rPr>
        <w:t>SDG&amp;E also responds to another issue surfaced by the WSD in Section 5.3: the lack of detail on its initiative selection process, in particular where it results in costly undergrounding projects where other mitigation measures might be more cost-effective and serve more residents and locations. SDG&amp;E responds that its strategy for undergrounding “</w:t>
      </w:r>
      <w:r w:rsidRPr="00E63B5E">
        <w:rPr>
          <w:rFonts w:ascii="Book Antiqua" w:hAnsi="Book Antiqua" w:cs="Segoe UI"/>
          <w:sz w:val="26"/>
          <w:szCs w:val="26"/>
        </w:rPr>
        <w:t>considers both the risk reduction potential and objectives as</w:t>
      </w:r>
      <w:r>
        <w:rPr>
          <w:rFonts w:ascii="Book Antiqua" w:hAnsi="Book Antiqua" w:cs="Segoe UI"/>
          <w:sz w:val="26"/>
          <w:szCs w:val="26"/>
        </w:rPr>
        <w:t xml:space="preserve"> </w:t>
      </w:r>
      <w:r w:rsidRPr="00E63B5E">
        <w:rPr>
          <w:rFonts w:ascii="Book Antiqua" w:hAnsi="Book Antiqua" w:cs="Segoe UI"/>
          <w:sz w:val="26"/>
          <w:szCs w:val="26"/>
        </w:rPr>
        <w:t>well as the RSE values</w:t>
      </w:r>
      <w:r>
        <w:rPr>
          <w:rFonts w:ascii="Book Antiqua" w:hAnsi="Book Antiqua" w:cs="Segoe UI"/>
          <w:sz w:val="26"/>
          <w:szCs w:val="26"/>
        </w:rPr>
        <w:t>.” The WSD expects to</w:t>
      </w:r>
      <w:r w:rsidRPr="007C7B6E">
        <w:rPr>
          <w:rFonts w:ascii="Book Antiqua" w:hAnsi="Book Antiqua" w:cs="Segoe UI"/>
          <w:sz w:val="26"/>
          <w:szCs w:val="26"/>
        </w:rPr>
        <w:t xml:space="preserve"> get</w:t>
      </w:r>
      <w:r>
        <w:rPr>
          <w:rFonts w:ascii="Book Antiqua" w:hAnsi="Book Antiqua" w:cs="Segoe UI"/>
          <w:sz w:val="26"/>
          <w:szCs w:val="26"/>
        </w:rPr>
        <w:t xml:space="preserve"> more details on its initiative selection process</w:t>
      </w:r>
      <w:r w:rsidRPr="007C7B6E">
        <w:rPr>
          <w:rFonts w:ascii="Book Antiqua" w:hAnsi="Book Antiqua" w:cs="Segoe UI"/>
          <w:sz w:val="26"/>
          <w:szCs w:val="26"/>
        </w:rPr>
        <w:t xml:space="preserve"> in </w:t>
      </w:r>
      <w:r>
        <w:rPr>
          <w:rFonts w:ascii="Book Antiqua" w:hAnsi="Book Antiqua" w:cs="Segoe UI"/>
          <w:sz w:val="26"/>
          <w:szCs w:val="26"/>
        </w:rPr>
        <w:t>the 2022 WMP Update, as SDG&amp;E needs to fully demonstrate the steps and inputs taken to reach decisions for initiative selection</w:t>
      </w:r>
      <w:r w:rsidRPr="007C7B6E">
        <w:rPr>
          <w:rFonts w:ascii="Book Antiqua" w:hAnsi="Book Antiqua" w:cs="Segoe UI"/>
          <w:sz w:val="26"/>
          <w:szCs w:val="26"/>
        </w:rPr>
        <w:t>.</w:t>
      </w:r>
      <w:r>
        <w:rPr>
          <w:rFonts w:ascii="Book Antiqua" w:hAnsi="Book Antiqua" w:cs="Segoe UI"/>
          <w:sz w:val="26"/>
          <w:szCs w:val="26"/>
        </w:rPr>
        <w:t xml:space="preserve"> </w:t>
      </w:r>
    </w:p>
    <w:p w:rsidRPr="00DA68C7" w:rsidR="00CA4696" w:rsidP="00CA4696" w:rsidRDefault="00CA4696" w14:paraId="574D4D4F" w14:textId="77777777">
      <w:pPr>
        <w:pStyle w:val="NormalWeb"/>
        <w:spacing w:after="240"/>
        <w:rPr>
          <w:rFonts w:ascii="Book Antiqua" w:hAnsi="Book Antiqua" w:cs="Segoe UI"/>
          <w:sz w:val="26"/>
          <w:szCs w:val="26"/>
        </w:rPr>
      </w:pPr>
      <w:r w:rsidRPr="00DA68C7">
        <w:rPr>
          <w:rFonts w:ascii="Book Antiqua" w:hAnsi="Book Antiqua" w:eastAsia="Book Antiqua" w:cs="Book Antiqua"/>
          <w:sz w:val="26"/>
          <w:szCs w:val="26"/>
        </w:rPr>
        <w:t>PCF agrees with the WSD’s determinations on key areas for improvement but recommends the WSD reject SDG&amp;E’s 2021 WMP Update and instead direct the utility to remedy the identified issues prior to approving its 2021 WMP Update. The WSD acknowledges but rejects this suggestion. The WSD’s position is that the utility’s WMP Update has met the requirements for approval.</w:t>
      </w:r>
    </w:p>
    <w:p w:rsidR="00CA4696" w:rsidP="00CA4696" w:rsidRDefault="00CA4696" w14:paraId="4B9BB3E1" w14:textId="77777777">
      <w:pPr>
        <w:pStyle w:val="NormalWeb"/>
        <w:spacing w:after="240"/>
        <w:rPr>
          <w:color w:val="000000" w:themeColor="text1"/>
        </w:rPr>
      </w:pPr>
      <w:r w:rsidRPr="20F87361">
        <w:rPr>
          <w:rFonts w:ascii="Book Antiqua" w:hAnsi="Book Antiqua" w:eastAsia="Book Antiqua" w:cs="Book Antiqua"/>
          <w:color w:val="000000" w:themeColor="text1"/>
          <w:sz w:val="26"/>
          <w:szCs w:val="26"/>
        </w:rPr>
        <w:t>PCF supports</w:t>
      </w:r>
      <w:r>
        <w:rPr>
          <w:rFonts w:ascii="Book Antiqua" w:hAnsi="Book Antiqua" w:eastAsia="Book Antiqua" w:cs="Book Antiqua"/>
          <w:color w:val="000000" w:themeColor="text1"/>
          <w:sz w:val="26"/>
          <w:szCs w:val="26"/>
        </w:rPr>
        <w:t xml:space="preserve"> the WSD’s</w:t>
      </w:r>
      <w:r w:rsidRPr="20F87361">
        <w:rPr>
          <w:rFonts w:ascii="Book Antiqua" w:hAnsi="Book Antiqua" w:eastAsia="Book Antiqua" w:cs="Book Antiqua"/>
          <w:color w:val="000000" w:themeColor="text1"/>
          <w:sz w:val="26"/>
          <w:szCs w:val="26"/>
        </w:rPr>
        <w:t xml:space="preserve"> required remedies with regard to transparency in accounting for ignition sources in risk modeling and mitigation selection (SDGE-</w:t>
      </w:r>
      <w:r>
        <w:rPr>
          <w:rFonts w:ascii="Book Antiqua" w:hAnsi="Book Antiqua" w:eastAsia="Book Antiqua" w:cs="Book Antiqua"/>
          <w:color w:val="000000" w:themeColor="text1"/>
          <w:sz w:val="26"/>
          <w:szCs w:val="26"/>
        </w:rPr>
        <w:lastRenderedPageBreak/>
        <w:t>21-0</w:t>
      </w:r>
      <w:r w:rsidRPr="20F87361">
        <w:rPr>
          <w:rFonts w:ascii="Book Antiqua" w:hAnsi="Book Antiqua" w:eastAsia="Book Antiqua" w:cs="Book Antiqua"/>
          <w:color w:val="000000" w:themeColor="text1"/>
          <w:sz w:val="26"/>
          <w:szCs w:val="26"/>
        </w:rPr>
        <w:t>1); covered conductor effectiveness and prioritization (SDGE-</w:t>
      </w:r>
      <w:r>
        <w:rPr>
          <w:rFonts w:ascii="Book Antiqua" w:hAnsi="Book Antiqua" w:eastAsia="Book Antiqua" w:cs="Book Antiqua"/>
          <w:color w:val="000000" w:themeColor="text1"/>
          <w:sz w:val="26"/>
          <w:szCs w:val="26"/>
        </w:rPr>
        <w:t>21-0</w:t>
      </w:r>
      <w:r w:rsidRPr="20F87361">
        <w:rPr>
          <w:rFonts w:ascii="Book Antiqua" w:hAnsi="Book Antiqua" w:eastAsia="Book Antiqua" w:cs="Book Antiqua"/>
          <w:color w:val="000000" w:themeColor="text1"/>
          <w:sz w:val="26"/>
          <w:szCs w:val="26"/>
        </w:rPr>
        <w:t>3 and SDGE-</w:t>
      </w:r>
      <w:r>
        <w:rPr>
          <w:rFonts w:ascii="Book Antiqua" w:hAnsi="Book Antiqua" w:eastAsia="Book Antiqua" w:cs="Book Antiqua"/>
          <w:color w:val="000000" w:themeColor="text1"/>
          <w:sz w:val="26"/>
          <w:szCs w:val="26"/>
        </w:rPr>
        <w:t>21-</w:t>
      </w:r>
      <w:r w:rsidRPr="20F87361">
        <w:rPr>
          <w:rFonts w:ascii="Book Antiqua" w:hAnsi="Book Antiqua" w:eastAsia="Book Antiqua" w:cs="Book Antiqua"/>
          <w:color w:val="000000" w:themeColor="text1"/>
          <w:sz w:val="26"/>
          <w:szCs w:val="26"/>
        </w:rPr>
        <w:t xml:space="preserve">10); and quantitative analysis in identifying “at-risk” </w:t>
      </w:r>
      <w:r w:rsidRPr="00720D80">
        <w:rPr>
          <w:rFonts w:ascii="Book Antiqua" w:hAnsi="Book Antiqua" w:eastAsia="Book Antiqua" w:cs="Book Antiqua"/>
          <w:color w:val="000000" w:themeColor="text1"/>
          <w:sz w:val="26"/>
          <w:szCs w:val="26"/>
        </w:rPr>
        <w:t>tree</w:t>
      </w:r>
      <w:r w:rsidRPr="20F87361">
        <w:rPr>
          <w:rFonts w:ascii="Book Antiqua" w:hAnsi="Book Antiqua" w:eastAsia="Book Antiqua" w:cs="Book Antiqua"/>
          <w:color w:val="000000" w:themeColor="text1"/>
          <w:sz w:val="26"/>
          <w:szCs w:val="26"/>
        </w:rPr>
        <w:t xml:space="preserve"> species (SDGE-</w:t>
      </w:r>
      <w:r>
        <w:rPr>
          <w:rFonts w:ascii="Book Antiqua" w:hAnsi="Book Antiqua" w:eastAsia="Book Antiqua" w:cs="Book Antiqua"/>
          <w:color w:val="000000" w:themeColor="text1"/>
          <w:sz w:val="26"/>
          <w:szCs w:val="26"/>
        </w:rPr>
        <w:t>21-0</w:t>
      </w:r>
      <w:r w:rsidRPr="20F87361">
        <w:rPr>
          <w:rFonts w:ascii="Book Antiqua" w:hAnsi="Book Antiqua" w:eastAsia="Book Antiqua" w:cs="Book Antiqua"/>
          <w:color w:val="000000" w:themeColor="text1"/>
          <w:sz w:val="26"/>
          <w:szCs w:val="26"/>
        </w:rPr>
        <w:t xml:space="preserve">6). PCF recommends </w:t>
      </w:r>
      <w:r w:rsidRPr="00720D80">
        <w:rPr>
          <w:rFonts w:ascii="Book Antiqua" w:hAnsi="Book Antiqua" w:eastAsia="Book Antiqua" w:cs="Book Antiqua"/>
          <w:color w:val="000000" w:themeColor="text1"/>
          <w:sz w:val="26"/>
          <w:szCs w:val="26"/>
        </w:rPr>
        <w:t>the WSD</w:t>
      </w:r>
      <w:r w:rsidRPr="20F87361">
        <w:rPr>
          <w:rFonts w:ascii="Book Antiqua" w:hAnsi="Book Antiqua" w:eastAsia="Book Antiqua" w:cs="Book Antiqua"/>
          <w:color w:val="000000" w:themeColor="text1"/>
          <w:sz w:val="26"/>
          <w:szCs w:val="26"/>
        </w:rPr>
        <w:t xml:space="preserve"> revise SDGE-</w:t>
      </w:r>
      <w:r>
        <w:rPr>
          <w:rFonts w:ascii="Book Antiqua" w:hAnsi="Book Antiqua" w:eastAsia="Book Antiqua" w:cs="Book Antiqua"/>
          <w:color w:val="000000" w:themeColor="text1"/>
          <w:sz w:val="26"/>
          <w:szCs w:val="26"/>
        </w:rPr>
        <w:t>21-0</w:t>
      </w:r>
      <w:r w:rsidRPr="20F87361">
        <w:rPr>
          <w:rFonts w:ascii="Book Antiqua" w:hAnsi="Book Antiqua" w:eastAsia="Book Antiqua" w:cs="Book Antiqua"/>
          <w:color w:val="000000" w:themeColor="text1"/>
          <w:sz w:val="26"/>
          <w:szCs w:val="26"/>
        </w:rPr>
        <w:t>6 to require SDG&amp;E to report on its progress in its November 1, 2021</w:t>
      </w:r>
      <w:r>
        <w:rPr>
          <w:rFonts w:ascii="Book Antiqua" w:hAnsi="Book Antiqua" w:eastAsia="Book Antiqua" w:cs="Book Antiqua"/>
          <w:color w:val="000000" w:themeColor="text1"/>
          <w:sz w:val="26"/>
          <w:szCs w:val="26"/>
        </w:rPr>
        <w:t>,</w:t>
      </w:r>
      <w:r w:rsidRPr="20F87361">
        <w:rPr>
          <w:rFonts w:ascii="Book Antiqua" w:hAnsi="Book Antiqua" w:eastAsia="Book Antiqua" w:cs="Book Antiqua"/>
          <w:color w:val="000000" w:themeColor="text1"/>
          <w:sz w:val="26"/>
          <w:szCs w:val="26"/>
        </w:rPr>
        <w:t xml:space="preserve"> Progress Report, rather than in its 2022 WMP Update, in order for stakeholders and </w:t>
      </w:r>
      <w:r w:rsidRPr="008B05C0">
        <w:rPr>
          <w:rFonts w:ascii="Book Antiqua" w:hAnsi="Book Antiqua" w:eastAsia="Book Antiqua" w:cs="Book Antiqua"/>
          <w:color w:val="000000" w:themeColor="text1"/>
          <w:sz w:val="26"/>
          <w:szCs w:val="26"/>
        </w:rPr>
        <w:t>the WSD</w:t>
      </w:r>
      <w:r w:rsidRPr="20F87361">
        <w:rPr>
          <w:rFonts w:ascii="Book Antiqua" w:hAnsi="Book Antiqua" w:eastAsia="Book Antiqua" w:cs="Book Antiqua"/>
          <w:color w:val="000000" w:themeColor="text1"/>
          <w:sz w:val="26"/>
          <w:szCs w:val="26"/>
        </w:rPr>
        <w:t xml:space="preserve"> to monitor whether SDG&amp;E is moving swiftly enough to comply with the remedies</w:t>
      </w:r>
      <w:r w:rsidRPr="00DA68C7">
        <w:rPr>
          <w:rFonts w:ascii="Book Antiqua" w:hAnsi="Book Antiqua" w:eastAsia="Book Antiqua" w:cs="Book Antiqua"/>
          <w:color w:val="000000" w:themeColor="text1"/>
          <w:sz w:val="26"/>
          <w:szCs w:val="26"/>
        </w:rPr>
        <w:t>. The WSD appreciates PCF’s proactive engagement to address remedies; however, SDG&amp;E is already expected to report on all key areas for improvement, including SDGE-21-06, in its November 1, 2021, Progress Report (see Section 6.3).</w:t>
      </w:r>
    </w:p>
    <w:p w:rsidR="00CA4696" w:rsidP="00CA4696" w:rsidRDefault="00CA4696" w14:paraId="2F5092F6" w14:textId="77777777">
      <w:pPr>
        <w:pStyle w:val="NormalWeb"/>
        <w:spacing w:after="240"/>
        <w:rPr>
          <w:rFonts w:ascii="Book Antiqua" w:hAnsi="Book Antiqua" w:cs="Segoe UI"/>
          <w:sz w:val="26"/>
          <w:szCs w:val="26"/>
        </w:rPr>
      </w:pPr>
      <w:r>
        <w:rPr>
          <w:rFonts w:ascii="Book Antiqua" w:hAnsi="Book Antiqua" w:cs="Segoe UI"/>
          <w:sz w:val="26"/>
          <w:szCs w:val="26"/>
        </w:rPr>
        <w:t xml:space="preserve">GPI </w:t>
      </w:r>
      <w:r w:rsidRPr="00E51CE1">
        <w:rPr>
          <w:rFonts w:ascii="Book Antiqua" w:hAnsi="Book Antiqua" w:cs="Segoe UI"/>
          <w:sz w:val="26"/>
          <w:szCs w:val="26"/>
        </w:rPr>
        <w:t>indicate</w:t>
      </w:r>
      <w:r>
        <w:rPr>
          <w:rFonts w:ascii="Book Antiqua" w:hAnsi="Book Antiqua" w:cs="Segoe UI"/>
          <w:sz w:val="26"/>
          <w:szCs w:val="26"/>
        </w:rPr>
        <w:t>s</w:t>
      </w:r>
      <w:r w:rsidRPr="00E51CE1">
        <w:rPr>
          <w:rFonts w:ascii="Book Antiqua" w:hAnsi="Book Antiqua" w:cs="Segoe UI"/>
          <w:sz w:val="26"/>
          <w:szCs w:val="26"/>
        </w:rPr>
        <w:t xml:space="preserve"> support for many of the WSD’s comments on its WMP Update.</w:t>
      </w:r>
    </w:p>
    <w:p w:rsidR="00CA4696" w:rsidP="00CA4696" w:rsidRDefault="00CA4696" w14:paraId="4122A123" w14:textId="77777777">
      <w:pPr>
        <w:pStyle w:val="NormalWeb"/>
        <w:spacing w:after="240"/>
        <w:rPr>
          <w:rFonts w:ascii="Book Antiqua" w:hAnsi="Book Antiqua" w:cs="Segoe UI"/>
          <w:sz w:val="26"/>
          <w:szCs w:val="26"/>
        </w:rPr>
      </w:pPr>
      <w:r>
        <w:rPr>
          <w:rFonts w:ascii="Book Antiqua" w:hAnsi="Book Antiqua" w:cs="Segoe UI"/>
          <w:sz w:val="26"/>
          <w:szCs w:val="26"/>
        </w:rPr>
        <w:t xml:space="preserve">GPI points out that the suggestion to ask utilities to employ verification of risk models came not only from MGRA, but also from GPI, and in response the WSD has included GPI as a second source for this suggestion in Section </w:t>
      </w:r>
      <w:r w:rsidRPr="00155D7B">
        <w:rPr>
          <w:rFonts w:ascii="Book Antiqua" w:hAnsi="Book Antiqua" w:cs="Segoe UI"/>
          <w:sz w:val="26"/>
          <w:szCs w:val="26"/>
        </w:rPr>
        <w:t>3</w:t>
      </w:r>
      <w:r>
        <w:rPr>
          <w:rFonts w:ascii="Book Antiqua" w:hAnsi="Book Antiqua" w:cs="Segoe UI"/>
          <w:sz w:val="26"/>
          <w:szCs w:val="26"/>
        </w:rPr>
        <w:t xml:space="preserve"> “</w:t>
      </w:r>
      <w:r w:rsidRPr="00155D7B">
        <w:rPr>
          <w:rFonts w:ascii="Book Antiqua" w:hAnsi="Book Antiqua" w:cs="Segoe UI"/>
          <w:sz w:val="26"/>
          <w:szCs w:val="26"/>
        </w:rPr>
        <w:t>Public and Stakeholder Comment</w:t>
      </w:r>
      <w:r>
        <w:rPr>
          <w:rFonts w:ascii="Book Antiqua" w:hAnsi="Book Antiqua" w:cs="Segoe UI"/>
          <w:sz w:val="26"/>
          <w:szCs w:val="26"/>
        </w:rPr>
        <w:t>,” as requested.</w:t>
      </w:r>
      <w:r w:rsidRPr="00B27BD5">
        <w:t xml:space="preserve"> </w:t>
      </w:r>
    </w:p>
    <w:p w:rsidRPr="00DA68C7" w:rsidR="00CA4696" w:rsidP="00CA4696" w:rsidRDefault="00CA4696" w14:paraId="688C9746" w14:textId="77777777">
      <w:pPr>
        <w:pStyle w:val="NormalWeb"/>
        <w:spacing w:after="240"/>
        <w:rPr>
          <w:rFonts w:ascii="Book Antiqua" w:hAnsi="Book Antiqua" w:cs="Segoe UI"/>
          <w:sz w:val="26"/>
          <w:szCs w:val="26"/>
        </w:rPr>
      </w:pPr>
      <w:r>
        <w:rPr>
          <w:rFonts w:ascii="Book Antiqua" w:hAnsi="Book Antiqua" w:cs="Segoe UI"/>
          <w:sz w:val="26"/>
          <w:szCs w:val="26"/>
        </w:rPr>
        <w:t xml:space="preserve">In addition to the remedies provided by SDGE-21-02 and other remedies related to improving risk modeling, GPI suggests that the WSD require </w:t>
      </w:r>
      <w:r w:rsidRPr="00DD266D">
        <w:rPr>
          <w:rFonts w:ascii="Book Antiqua" w:hAnsi="Book Antiqua" w:cs="Segoe UI"/>
          <w:sz w:val="26"/>
          <w:szCs w:val="26"/>
        </w:rPr>
        <w:t xml:space="preserve">all utilities to prepare </w:t>
      </w:r>
      <w:r>
        <w:rPr>
          <w:rFonts w:ascii="Book Antiqua" w:hAnsi="Book Antiqua" w:cs="Segoe UI"/>
          <w:sz w:val="26"/>
          <w:szCs w:val="26"/>
        </w:rPr>
        <w:t>“</w:t>
      </w:r>
      <w:r w:rsidRPr="00DD266D">
        <w:rPr>
          <w:rFonts w:ascii="Book Antiqua" w:hAnsi="Book Antiqua" w:cs="Segoe UI"/>
          <w:sz w:val="26"/>
          <w:szCs w:val="26"/>
        </w:rPr>
        <w:t>a transparent and comprehensive model vetting analysis and report similar to that prepared by E3 for PG&amp;E’s risk model</w:t>
      </w:r>
      <w:r>
        <w:rPr>
          <w:rFonts w:ascii="Book Antiqua" w:hAnsi="Book Antiqua" w:cs="Segoe UI"/>
          <w:sz w:val="26"/>
          <w:szCs w:val="26"/>
        </w:rPr>
        <w:t>” as a building block toward creating</w:t>
      </w:r>
      <w:r w:rsidRPr="000D4AC2">
        <w:rPr>
          <w:rFonts w:ascii="Book Antiqua" w:hAnsi="Book Antiqua" w:cs="Segoe UI"/>
          <w:sz w:val="26"/>
          <w:szCs w:val="26"/>
        </w:rPr>
        <w:t xml:space="preserve"> a standardized risk model</w:t>
      </w:r>
      <w:r w:rsidRPr="00DA68C7">
        <w:rPr>
          <w:rFonts w:ascii="Book Antiqua" w:hAnsi="Book Antiqua" w:cs="Segoe UI"/>
          <w:sz w:val="26"/>
          <w:szCs w:val="26"/>
        </w:rPr>
        <w:t>. Details about the risk modeling working group called for by SDGE-21-02 will be provided at a future date.</w:t>
      </w:r>
    </w:p>
    <w:p w:rsidRPr="00DA68C7" w:rsidR="00CA4696" w:rsidP="00CA4696" w:rsidRDefault="00CA4696" w14:paraId="74945748" w14:textId="77777777">
      <w:pPr>
        <w:pStyle w:val="NormalWeb"/>
        <w:spacing w:after="240"/>
        <w:rPr>
          <w:rFonts w:ascii="Book Antiqua" w:hAnsi="Book Antiqua" w:cs="Segoe UI"/>
          <w:sz w:val="26"/>
          <w:szCs w:val="26"/>
        </w:rPr>
      </w:pPr>
      <w:r w:rsidRPr="00DA68C7">
        <w:rPr>
          <w:rFonts w:ascii="Book Antiqua" w:hAnsi="Book Antiqua" w:cs="Segoe UI"/>
          <w:sz w:val="26"/>
          <w:szCs w:val="26"/>
        </w:rPr>
        <w:t xml:space="preserve">Regarding inspection program reporting, GPI supports the WSD’s requirement that SDG&amp;E present each inspection program as a line item, and not aggregate the programs under the “Other” category, and suggests that “Inspections-other” in the non-spatial inspection data table be changed in the WMP Guidelines to include all inspection types (e.g., drone, LiDAR) as separate subcategories. GPI also suggests that SDGE-21-05 regarding “incomplete identification of vegetation species and record keeping” be extended to all utilities. </w:t>
      </w:r>
    </w:p>
    <w:p w:rsidRPr="00DA68C7" w:rsidR="00CA4696" w:rsidP="00CA4696" w:rsidRDefault="00CA4696" w14:paraId="79E552D9" w14:textId="77777777">
      <w:pPr>
        <w:pStyle w:val="NormalWeb"/>
        <w:spacing w:after="240"/>
        <w:rPr>
          <w:rFonts w:ascii="Book Antiqua" w:hAnsi="Book Antiqua" w:cs="Segoe UI"/>
          <w:sz w:val="26"/>
          <w:szCs w:val="26"/>
        </w:rPr>
      </w:pPr>
      <w:r w:rsidRPr="00DA68C7">
        <w:rPr>
          <w:rFonts w:ascii="Book Antiqua" w:hAnsi="Book Antiqua" w:cs="Segoe UI"/>
          <w:sz w:val="26"/>
          <w:szCs w:val="26"/>
        </w:rPr>
        <w:t xml:space="preserve">Additionally, GPI suggests extending RSE verification expectations to all utilities. Specifically, GPI asks that the WSD incorporate RSE verification expectations in the WMP Guidelines. </w:t>
      </w:r>
    </w:p>
    <w:p w:rsidRPr="00C468E4" w:rsidR="00CA4696" w:rsidP="00CA4696" w:rsidRDefault="00CA4696" w14:paraId="3DD700B5" w14:textId="6DA84C09">
      <w:pPr>
        <w:pStyle w:val="Standard"/>
      </w:pPr>
      <w:r w:rsidRPr="00DA68C7">
        <w:rPr>
          <w:rFonts w:cs="Segoe UI"/>
          <w:szCs w:val="26"/>
        </w:rPr>
        <w:t>The WSD appreciates GPI’s suggestions.</w:t>
      </w:r>
    </w:p>
    <w:p w:rsidRPr="00C468E4" w:rsidR="00705C88" w:rsidP="00BA3550" w:rsidRDefault="00705C88" w14:paraId="67319621" w14:textId="2FC27D48">
      <w:pPr>
        <w:pStyle w:val="Dummy"/>
        <w:rPr>
          <w:rFonts w:ascii="Book Antiqua" w:hAnsi="Book Antiqua"/>
        </w:rPr>
      </w:pPr>
      <w:bookmarkStart w:name="_Toc76656591" w:id="25"/>
      <w:r w:rsidRPr="00C468E4">
        <w:rPr>
          <w:rFonts w:ascii="Book Antiqua" w:hAnsi="Book Antiqua"/>
        </w:rPr>
        <w:lastRenderedPageBreak/>
        <w:t>Findings</w:t>
      </w:r>
      <w:bookmarkEnd w:id="25"/>
    </w:p>
    <w:p w:rsidRPr="003A72F4" w:rsidR="009A5706" w:rsidP="008E7B52" w:rsidRDefault="009A5706" w14:paraId="3E42E091" w14:textId="592120FC">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C468E4">
        <w:rPr>
          <w:rStyle w:val="normaltextrun"/>
          <w:rFonts w:ascii="Book Antiqua" w:hAnsi="Book Antiqua" w:eastAsiaTheme="majorEastAsia"/>
          <w:sz w:val="26"/>
          <w:szCs w:val="26"/>
        </w:rPr>
        <w:t>AB 1054 and Commission Resolution WSD-001 require </w:t>
      </w:r>
      <w:r w:rsidRPr="00C468E4" w:rsidR="00E40B4D">
        <w:rPr>
          <w:rStyle w:val="normaltextrun"/>
          <w:rFonts w:ascii="Book Antiqua" w:hAnsi="Book Antiqua" w:eastAsiaTheme="majorEastAsia"/>
          <w:sz w:val="26"/>
          <w:szCs w:val="26"/>
        </w:rPr>
        <w:t>SDG&amp;E</w:t>
      </w:r>
      <w:r w:rsidRPr="00C468E4" w:rsidR="00B85E85">
        <w:rPr>
          <w:rStyle w:val="normaltextrun"/>
          <w:rFonts w:ascii="Book Antiqua" w:hAnsi="Book Antiqua" w:eastAsiaTheme="majorEastAsia"/>
          <w:sz w:val="26"/>
          <w:szCs w:val="26"/>
        </w:rPr>
        <w:t xml:space="preserve"> </w:t>
      </w:r>
      <w:r w:rsidRPr="00C468E4">
        <w:rPr>
          <w:rStyle w:val="normaltextrun"/>
          <w:rFonts w:ascii="Book Antiqua" w:hAnsi="Book Antiqua" w:eastAsiaTheme="majorEastAsia"/>
          <w:sz w:val="26"/>
          <w:szCs w:val="26"/>
        </w:rPr>
        <w:t xml:space="preserve">to </w:t>
      </w:r>
      <w:r w:rsidRPr="00C468E4" w:rsidR="00AF3FE3">
        <w:rPr>
          <w:rStyle w:val="normaltextrun"/>
          <w:rFonts w:ascii="Book Antiqua" w:hAnsi="Book Antiqua" w:eastAsiaTheme="majorEastAsia"/>
          <w:sz w:val="26"/>
          <w:szCs w:val="26"/>
        </w:rPr>
        <w:t>submit</w:t>
      </w:r>
      <w:r w:rsidRPr="00C468E4">
        <w:rPr>
          <w:rStyle w:val="normaltextrun"/>
          <w:rFonts w:ascii="Book Antiqua" w:hAnsi="Book Antiqua" w:eastAsiaTheme="majorEastAsia"/>
          <w:sz w:val="26"/>
          <w:szCs w:val="26"/>
        </w:rPr>
        <w:t xml:space="preserve"> a WMP</w:t>
      </w:r>
      <w:r w:rsidRPr="00C468E4" w:rsidR="00CC2CC2">
        <w:rPr>
          <w:rStyle w:val="normaltextrun"/>
          <w:rFonts w:ascii="Book Antiqua" w:hAnsi="Book Antiqua" w:eastAsiaTheme="majorEastAsia"/>
          <w:sz w:val="26"/>
          <w:szCs w:val="26"/>
        </w:rPr>
        <w:t xml:space="preserve"> Update</w:t>
      </w:r>
      <w:r w:rsidRPr="00C468E4">
        <w:rPr>
          <w:rStyle w:val="normaltextrun"/>
          <w:rFonts w:ascii="Book Antiqua" w:hAnsi="Book Antiqua" w:eastAsiaTheme="majorEastAsia"/>
          <w:sz w:val="26"/>
          <w:szCs w:val="26"/>
        </w:rPr>
        <w:t xml:space="preserve"> for </w:t>
      </w:r>
      <w:r w:rsidRPr="00C468E4" w:rsidR="00C066AC">
        <w:rPr>
          <w:rStyle w:val="normaltextrun"/>
          <w:rFonts w:ascii="Book Antiqua" w:hAnsi="Book Antiqua" w:eastAsiaTheme="majorEastAsia"/>
          <w:sz w:val="26"/>
          <w:szCs w:val="26"/>
        </w:rPr>
        <w:t>2022</w:t>
      </w:r>
      <w:r w:rsidRPr="00C468E4">
        <w:rPr>
          <w:rStyle w:val="normaltextrun"/>
          <w:rFonts w:ascii="Book Antiqua" w:hAnsi="Book Antiqua" w:eastAsiaTheme="majorEastAsia"/>
          <w:sz w:val="26"/>
          <w:szCs w:val="26"/>
        </w:rPr>
        <w:t xml:space="preserve"> that conforms with Pub. Util. Code </w:t>
      </w:r>
      <w:r w:rsidRPr="00C468E4" w:rsidR="00CA4735">
        <w:rPr>
          <w:rStyle w:val="normaltextrun"/>
          <w:rFonts w:ascii="Book Antiqua" w:hAnsi="Book Antiqua" w:eastAsiaTheme="majorEastAsia"/>
          <w:sz w:val="26"/>
          <w:szCs w:val="26"/>
        </w:rPr>
        <w:t>Section</w:t>
      </w:r>
      <w:r w:rsidRPr="00C468E4">
        <w:rPr>
          <w:rStyle w:val="normaltextrun"/>
          <w:rFonts w:ascii="Book Antiqua" w:hAnsi="Book Antiqua" w:eastAsiaTheme="majorEastAsia"/>
          <w:sz w:val="26"/>
          <w:szCs w:val="26"/>
        </w:rPr>
        <w:t xml:space="preserve"> 8386(c) and guidance </w:t>
      </w:r>
      <w:r w:rsidRPr="00C468E4" w:rsidR="009F2DF2">
        <w:rPr>
          <w:rStyle w:val="normaltextrun"/>
          <w:rFonts w:ascii="Book Antiqua" w:hAnsi="Book Antiqua" w:eastAsiaTheme="majorEastAsia"/>
          <w:sz w:val="26"/>
          <w:szCs w:val="26"/>
        </w:rPr>
        <w:t>adopted in Resolution WSD-011</w:t>
      </w:r>
      <w:r w:rsidRPr="00C468E4">
        <w:rPr>
          <w:rStyle w:val="normaltextrun"/>
          <w:rFonts w:ascii="Book Antiqua" w:hAnsi="Book Antiqua" w:eastAsiaTheme="majorEastAsia"/>
          <w:sz w:val="26"/>
          <w:szCs w:val="26"/>
        </w:rPr>
        <w:t>.   </w:t>
      </w:r>
    </w:p>
    <w:p w:rsidRPr="004546D4" w:rsidR="00E97356" w:rsidP="008E7B52" w:rsidRDefault="00422DB4" w14:paraId="729A8C82" w14:textId="0E68C09B">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3844D7">
        <w:rPr>
          <w:rStyle w:val="normaltextrun"/>
          <w:rFonts w:ascii="Book Antiqua" w:hAnsi="Book Antiqua" w:eastAsiaTheme="majorEastAsia"/>
          <w:sz w:val="26"/>
          <w:szCs w:val="26"/>
        </w:rPr>
        <w:t xml:space="preserve">The </w:t>
      </w:r>
      <w:r w:rsidRPr="003844D7" w:rsidR="00CC2CC2">
        <w:rPr>
          <w:rStyle w:val="normaltextrun"/>
          <w:rFonts w:ascii="Book Antiqua" w:hAnsi="Book Antiqua" w:eastAsiaTheme="majorEastAsia"/>
          <w:sz w:val="26"/>
          <w:szCs w:val="26"/>
        </w:rPr>
        <w:t xml:space="preserve">2021 </w:t>
      </w:r>
      <w:r w:rsidRPr="003844D7" w:rsidR="00E97356">
        <w:rPr>
          <w:rStyle w:val="normaltextrun"/>
          <w:rFonts w:ascii="Book Antiqua" w:hAnsi="Book Antiqua" w:eastAsiaTheme="majorEastAsia"/>
          <w:sz w:val="26"/>
          <w:szCs w:val="26"/>
        </w:rPr>
        <w:t>WMP</w:t>
      </w:r>
      <w:r w:rsidRPr="004546D4" w:rsidR="00CC2CC2">
        <w:rPr>
          <w:rStyle w:val="normaltextrun"/>
          <w:rFonts w:ascii="Book Antiqua" w:hAnsi="Book Antiqua" w:eastAsiaTheme="majorEastAsia"/>
          <w:sz w:val="26"/>
          <w:szCs w:val="26"/>
        </w:rPr>
        <w:t xml:space="preserve"> Update</w:t>
      </w:r>
      <w:r w:rsidRPr="004546D4" w:rsidR="00E97356">
        <w:rPr>
          <w:rStyle w:val="normaltextrun"/>
          <w:rFonts w:ascii="Book Antiqua" w:hAnsi="Book Antiqua" w:eastAsiaTheme="majorEastAsia"/>
          <w:sz w:val="26"/>
          <w:szCs w:val="26"/>
        </w:rPr>
        <w:t xml:space="preserve"> </w:t>
      </w:r>
      <w:r w:rsidRPr="004546D4" w:rsidR="00CC2CC2">
        <w:rPr>
          <w:rStyle w:val="normaltextrun"/>
          <w:rFonts w:ascii="Book Antiqua" w:hAnsi="Book Antiqua" w:eastAsiaTheme="majorEastAsia"/>
          <w:sz w:val="26"/>
          <w:szCs w:val="26"/>
        </w:rPr>
        <w:t xml:space="preserve">was </w:t>
      </w:r>
      <w:r w:rsidRPr="00ED0D7F" w:rsidR="00E97356">
        <w:rPr>
          <w:rStyle w:val="normaltextrun"/>
          <w:rFonts w:ascii="Book Antiqua" w:hAnsi="Book Antiqua" w:eastAsiaTheme="majorEastAsia"/>
          <w:sz w:val="26"/>
          <w:szCs w:val="26"/>
        </w:rPr>
        <w:t>reviewed and acted upon with due consideration given to comments received from governmental agencies</w:t>
      </w:r>
      <w:r w:rsidRPr="00C66A96" w:rsidR="00227D84">
        <w:rPr>
          <w:rStyle w:val="normaltextrun"/>
          <w:rFonts w:ascii="Book Antiqua" w:hAnsi="Book Antiqua" w:eastAsiaTheme="majorEastAsia"/>
          <w:sz w:val="26"/>
          <w:szCs w:val="26"/>
        </w:rPr>
        <w:t xml:space="preserve"> </w:t>
      </w:r>
      <w:r w:rsidRPr="003844D7" w:rsidR="000643E5">
        <w:rPr>
          <w:rStyle w:val="normaltextrun"/>
          <w:rFonts w:ascii="Book Antiqua" w:hAnsi="Book Antiqua" w:eastAsiaTheme="majorEastAsia"/>
          <w:sz w:val="26"/>
          <w:szCs w:val="26"/>
        </w:rPr>
        <w:t>(</w:t>
      </w:r>
      <w:r w:rsidRPr="003844D7" w:rsidR="00227D84">
        <w:rPr>
          <w:rStyle w:val="normaltextrun"/>
          <w:rFonts w:ascii="Book Antiqua" w:hAnsi="Book Antiqua" w:eastAsiaTheme="majorEastAsia"/>
          <w:sz w:val="26"/>
          <w:szCs w:val="26"/>
        </w:rPr>
        <w:t xml:space="preserve">including </w:t>
      </w:r>
      <w:r w:rsidRPr="00785227" w:rsidR="00227D84">
        <w:rPr>
          <w:rFonts w:ascii="Book Antiqua" w:hAnsi="Book Antiqua" w:eastAsia="Book Antiqua" w:cs="Book Antiqua"/>
          <w:sz w:val="26"/>
          <w:szCs w:val="26"/>
        </w:rPr>
        <w:t>CAL FIRE</w:t>
      </w:r>
      <w:r w:rsidRPr="00785227" w:rsidR="000643E5">
        <w:rPr>
          <w:rFonts w:ascii="Book Antiqua" w:hAnsi="Book Antiqua" w:eastAsia="Book Antiqua" w:cs="Book Antiqua"/>
          <w:sz w:val="26"/>
          <w:szCs w:val="26"/>
        </w:rPr>
        <w:t>)</w:t>
      </w:r>
      <w:r w:rsidRPr="003844D7" w:rsidR="00E97356">
        <w:rPr>
          <w:rStyle w:val="normaltextrun"/>
          <w:rFonts w:ascii="Book Antiqua" w:hAnsi="Book Antiqua" w:eastAsiaTheme="majorEastAsia"/>
          <w:sz w:val="26"/>
          <w:szCs w:val="26"/>
        </w:rPr>
        <w:t>,</w:t>
      </w:r>
      <w:r w:rsidRPr="003844D7" w:rsidR="000F30DB">
        <w:rPr>
          <w:rStyle w:val="normaltextrun"/>
          <w:rFonts w:ascii="Book Antiqua" w:hAnsi="Book Antiqua" w:eastAsiaTheme="majorEastAsia"/>
          <w:sz w:val="26"/>
          <w:szCs w:val="26"/>
        </w:rPr>
        <w:t xml:space="preserve"> the WSAB</w:t>
      </w:r>
      <w:r w:rsidRPr="003844D7" w:rsidR="009F2DF2">
        <w:rPr>
          <w:rStyle w:val="normaltextrun"/>
          <w:rFonts w:ascii="Book Antiqua" w:hAnsi="Book Antiqua" w:eastAsiaTheme="majorEastAsia"/>
          <w:sz w:val="26"/>
          <w:szCs w:val="26"/>
        </w:rPr>
        <w:t>,</w:t>
      </w:r>
      <w:r w:rsidRPr="004546D4" w:rsidR="00E97356">
        <w:rPr>
          <w:rStyle w:val="normaltextrun"/>
          <w:rFonts w:ascii="Book Antiqua" w:hAnsi="Book Antiqua" w:eastAsiaTheme="majorEastAsia"/>
          <w:sz w:val="26"/>
          <w:szCs w:val="26"/>
        </w:rPr>
        <w:t xml:space="preserve"> members of the public, and all other relevant stakeholders. </w:t>
      </w:r>
    </w:p>
    <w:p w:rsidRPr="003844D7" w:rsidR="000C39D6" w:rsidP="008E7B52" w:rsidRDefault="00422DB4" w14:paraId="173D40B9" w14:textId="6472EAF8">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3844D7">
        <w:rPr>
          <w:rStyle w:val="normaltextrun"/>
          <w:rFonts w:ascii="Book Antiqua" w:hAnsi="Book Antiqua" w:eastAsiaTheme="majorEastAsia"/>
          <w:sz w:val="26"/>
          <w:szCs w:val="26"/>
        </w:rPr>
        <w:t xml:space="preserve">The </w:t>
      </w:r>
      <w:r w:rsidRPr="003844D7" w:rsidR="00CC2CC2">
        <w:rPr>
          <w:rStyle w:val="normaltextrun"/>
          <w:rFonts w:ascii="Book Antiqua" w:hAnsi="Book Antiqua" w:eastAsiaTheme="majorEastAsia"/>
          <w:sz w:val="26"/>
          <w:szCs w:val="26"/>
        </w:rPr>
        <w:t xml:space="preserve">2021 </w:t>
      </w:r>
      <w:r w:rsidRPr="003844D7" w:rsidR="000C39D6">
        <w:rPr>
          <w:rStyle w:val="normaltextrun"/>
          <w:rFonts w:ascii="Book Antiqua" w:hAnsi="Book Antiqua" w:eastAsiaTheme="majorEastAsia"/>
          <w:sz w:val="26"/>
          <w:szCs w:val="26"/>
        </w:rPr>
        <w:t>WMP</w:t>
      </w:r>
      <w:r w:rsidRPr="003844D7" w:rsidR="00CC2CC2">
        <w:rPr>
          <w:rStyle w:val="normaltextrun"/>
          <w:rFonts w:ascii="Book Antiqua" w:hAnsi="Book Antiqua" w:eastAsiaTheme="majorEastAsia"/>
          <w:sz w:val="26"/>
          <w:szCs w:val="26"/>
        </w:rPr>
        <w:t xml:space="preserve"> Update</w:t>
      </w:r>
      <w:r w:rsidRPr="003844D7" w:rsidR="000C39D6">
        <w:rPr>
          <w:rStyle w:val="normaltextrun"/>
          <w:rFonts w:ascii="Book Antiqua" w:hAnsi="Book Antiqua" w:eastAsiaTheme="majorEastAsia"/>
          <w:sz w:val="26"/>
          <w:szCs w:val="26"/>
        </w:rPr>
        <w:t xml:space="preserve"> </w:t>
      </w:r>
      <w:r w:rsidRPr="003844D7" w:rsidR="00CC2CC2">
        <w:rPr>
          <w:rStyle w:val="normaltextrun"/>
          <w:rFonts w:ascii="Book Antiqua" w:hAnsi="Book Antiqua" w:eastAsiaTheme="majorEastAsia"/>
          <w:sz w:val="26"/>
          <w:szCs w:val="26"/>
        </w:rPr>
        <w:t xml:space="preserve">was </w:t>
      </w:r>
      <w:r w:rsidRPr="003844D7" w:rsidR="000C39D6">
        <w:rPr>
          <w:rStyle w:val="normaltextrun"/>
          <w:rFonts w:ascii="Book Antiqua" w:hAnsi="Book Antiqua" w:eastAsiaTheme="majorEastAsia"/>
          <w:sz w:val="26"/>
          <w:szCs w:val="26"/>
        </w:rPr>
        <w:t>reviewed and acted upon in compliance with all relevant requirements of state law. </w:t>
      </w:r>
    </w:p>
    <w:p w:rsidRPr="00C468E4" w:rsidR="0009574E" w:rsidP="008E7B52" w:rsidRDefault="00DD097F" w14:paraId="011AA1B2" w14:textId="4A640012">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00C468E4">
        <w:rPr>
          <w:rStyle w:val="normaltextrun"/>
          <w:rFonts w:ascii="Book Antiqua" w:hAnsi="Book Antiqua" w:eastAsiaTheme="majorEastAsia"/>
          <w:sz w:val="26"/>
          <w:szCs w:val="26"/>
        </w:rPr>
        <w:t>SDG&amp;E’s</w:t>
      </w:r>
      <w:r w:rsidRPr="00C468E4" w:rsidR="00B85E85">
        <w:rPr>
          <w:rStyle w:val="normaltextrun"/>
          <w:rFonts w:ascii="Book Antiqua" w:hAnsi="Book Antiqua" w:eastAsiaTheme="majorEastAsia"/>
          <w:sz w:val="26"/>
          <w:szCs w:val="26"/>
        </w:rPr>
        <w:t xml:space="preserve"> </w:t>
      </w:r>
      <w:r w:rsidRPr="00C468E4" w:rsidR="00CC2CC2">
        <w:rPr>
          <w:rStyle w:val="normaltextrun"/>
          <w:rFonts w:ascii="Book Antiqua" w:hAnsi="Book Antiqua" w:eastAsiaTheme="majorEastAsia"/>
          <w:sz w:val="26"/>
          <w:szCs w:val="26"/>
        </w:rPr>
        <w:t xml:space="preserve">2021 </w:t>
      </w:r>
      <w:r w:rsidRPr="00C468E4" w:rsidR="0009574E">
        <w:rPr>
          <w:rStyle w:val="normaltextrun"/>
          <w:rFonts w:ascii="Book Antiqua" w:hAnsi="Book Antiqua" w:eastAsiaTheme="majorEastAsia"/>
          <w:sz w:val="26"/>
          <w:szCs w:val="26"/>
        </w:rPr>
        <w:t>WMP</w:t>
      </w:r>
      <w:r w:rsidRPr="00C468E4" w:rsidR="00CC2CC2">
        <w:rPr>
          <w:rStyle w:val="normaltextrun"/>
          <w:rFonts w:ascii="Book Antiqua" w:hAnsi="Book Antiqua" w:eastAsiaTheme="majorEastAsia"/>
          <w:sz w:val="26"/>
          <w:szCs w:val="26"/>
        </w:rPr>
        <w:t xml:space="preserve"> Update</w:t>
      </w:r>
      <w:r w:rsidRPr="00C468E4" w:rsidR="0009574E">
        <w:rPr>
          <w:rStyle w:val="normaltextrun"/>
          <w:rFonts w:ascii="Book Antiqua" w:hAnsi="Book Antiqua" w:eastAsiaTheme="majorEastAsia"/>
          <w:sz w:val="26"/>
          <w:szCs w:val="26"/>
        </w:rPr>
        <w:t xml:space="preserve"> contains all the elements required </w:t>
      </w:r>
      <w:r w:rsidRPr="00C468E4" w:rsidR="009F2DF2">
        <w:rPr>
          <w:rStyle w:val="normaltextrun"/>
          <w:rFonts w:ascii="Book Antiqua" w:hAnsi="Book Antiqua" w:eastAsiaTheme="majorEastAsia"/>
          <w:sz w:val="26"/>
          <w:szCs w:val="26"/>
        </w:rPr>
        <w:t>by</w:t>
      </w:r>
      <w:r w:rsidRPr="00C468E4" w:rsidR="0009574E">
        <w:rPr>
          <w:rStyle w:val="normaltextrun"/>
          <w:rFonts w:ascii="Book Antiqua" w:hAnsi="Book Antiqua" w:eastAsiaTheme="majorEastAsia"/>
          <w:sz w:val="26"/>
          <w:szCs w:val="26"/>
        </w:rPr>
        <w:t xml:space="preserve"> Pub. Util. Code </w:t>
      </w:r>
      <w:r w:rsidRPr="00C468E4" w:rsidR="00C365BD">
        <w:rPr>
          <w:rStyle w:val="normaltextrun"/>
          <w:rFonts w:ascii="Book Antiqua" w:hAnsi="Book Antiqua" w:eastAsiaTheme="majorEastAsia"/>
          <w:sz w:val="26"/>
          <w:szCs w:val="26"/>
        </w:rPr>
        <w:t>Section</w:t>
      </w:r>
      <w:r w:rsidRPr="00C468E4" w:rsidR="0009574E">
        <w:rPr>
          <w:rStyle w:val="normaltextrun"/>
          <w:rFonts w:ascii="Book Antiqua" w:hAnsi="Book Antiqua" w:eastAsiaTheme="majorEastAsia"/>
          <w:sz w:val="26"/>
          <w:szCs w:val="26"/>
        </w:rPr>
        <w:t xml:space="preserve"> 8386(c)</w:t>
      </w:r>
      <w:r w:rsidRPr="00C468E4" w:rsidR="007C5E1E">
        <w:rPr>
          <w:rStyle w:val="normaltextrun"/>
          <w:rFonts w:ascii="Book Antiqua" w:hAnsi="Book Antiqua" w:eastAsiaTheme="majorEastAsia"/>
          <w:sz w:val="26"/>
          <w:szCs w:val="26"/>
        </w:rPr>
        <w:t xml:space="preserve"> and </w:t>
      </w:r>
      <w:r w:rsidRPr="00C468E4">
        <w:rPr>
          <w:rStyle w:val="normaltextrun"/>
          <w:rFonts w:ascii="Book Antiqua" w:hAnsi="Book Antiqua" w:eastAsiaTheme="majorEastAsia"/>
          <w:sz w:val="26"/>
          <w:szCs w:val="26"/>
        </w:rPr>
        <w:t>SDG&amp;E</w:t>
      </w:r>
      <w:r w:rsidRPr="00C468E4" w:rsidR="007C5E1E">
        <w:rPr>
          <w:rStyle w:val="normaltextrun"/>
          <w:rFonts w:ascii="Book Antiqua" w:hAnsi="Book Antiqua" w:eastAsiaTheme="majorEastAsia"/>
          <w:sz w:val="26"/>
          <w:szCs w:val="26"/>
        </w:rPr>
        <w:t xml:space="preserve"> has satisfied the requirements of Pub. Util. Code </w:t>
      </w:r>
      <w:r w:rsidRPr="00C468E4" w:rsidR="00C365BD">
        <w:rPr>
          <w:rStyle w:val="normaltextrun"/>
          <w:rFonts w:ascii="Book Antiqua" w:hAnsi="Book Antiqua" w:eastAsiaTheme="majorEastAsia"/>
          <w:sz w:val="26"/>
          <w:szCs w:val="26"/>
        </w:rPr>
        <w:t>Section</w:t>
      </w:r>
      <w:r w:rsidRPr="00C468E4" w:rsidR="007C5E1E">
        <w:rPr>
          <w:rStyle w:val="normaltextrun"/>
          <w:rFonts w:ascii="Book Antiqua" w:hAnsi="Book Antiqua" w:eastAsiaTheme="majorEastAsia"/>
          <w:sz w:val="26"/>
          <w:szCs w:val="26"/>
        </w:rPr>
        <w:t xml:space="preserve"> 8386(c) and the 2021 WMP Guidelines.</w:t>
      </w:r>
    </w:p>
    <w:p w:rsidRPr="00C468E4" w:rsidR="00C365BD" w:rsidP="005E70F3" w:rsidRDefault="00C365BD" w14:paraId="0DA90C68"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C468E4" w:rsidR="005F5ABD" w:rsidP="00BA3550" w:rsidRDefault="00BA3550" w14:paraId="5A52EA48" w14:textId="39C22721">
      <w:pPr>
        <w:pStyle w:val="Dummy"/>
        <w:rPr>
          <w:rFonts w:ascii="Book Antiqua" w:hAnsi="Book Antiqua"/>
        </w:rPr>
      </w:pPr>
      <w:bookmarkStart w:name="_Toc76656592" w:id="26"/>
      <w:r w:rsidRPr="00C468E4">
        <w:rPr>
          <w:rFonts w:ascii="Book Antiqua" w:hAnsi="Book Antiqua"/>
        </w:rPr>
        <w:t>THEREFORE, IT IS ORDERED THAT:</w:t>
      </w:r>
      <w:bookmarkEnd w:id="26"/>
    </w:p>
    <w:p w:rsidRPr="004546D4" w:rsidR="0045611D" w:rsidP="0045611D" w:rsidRDefault="000820B7" w14:paraId="6C49CF56" w14:textId="72A6BC39">
      <w:pPr>
        <w:pStyle w:val="paragraph"/>
        <w:numPr>
          <w:ilvl w:val="0"/>
          <w:numId w:val="20"/>
        </w:numPr>
        <w:spacing w:before="0" w:beforeAutospacing="0" w:after="0" w:afterAutospacing="0"/>
        <w:textAlignment w:val="baseline"/>
        <w:rPr>
          <w:rFonts w:ascii="Book Antiqua" w:hAnsi="Book Antiqua"/>
          <w:sz w:val="26"/>
          <w:szCs w:val="26"/>
        </w:rPr>
      </w:pPr>
      <w:r w:rsidRPr="004546D4">
        <w:rPr>
          <w:rFonts w:ascii="Book Antiqua" w:hAnsi="Book Antiqua"/>
          <w:sz w:val="26"/>
          <w:szCs w:val="26"/>
        </w:rPr>
        <w:t xml:space="preserve">Wildfire Safety Division’s Action Statement </w:t>
      </w:r>
      <w:r w:rsidRPr="004546D4" w:rsidR="00D1250C">
        <w:rPr>
          <w:rFonts w:ascii="Book Antiqua" w:hAnsi="Book Antiqua"/>
          <w:sz w:val="26"/>
          <w:szCs w:val="26"/>
        </w:rPr>
        <w:t xml:space="preserve">approving </w:t>
      </w:r>
      <w:r w:rsidRPr="004546D4" w:rsidR="00433B92">
        <w:rPr>
          <w:rFonts w:ascii="Book Antiqua" w:hAnsi="Book Antiqua"/>
          <w:sz w:val="26"/>
          <w:szCs w:val="26"/>
        </w:rPr>
        <w:t>San Diego Gas &amp; Electric Company</w:t>
      </w:r>
      <w:r w:rsidRPr="004546D4" w:rsidR="009F2DF2">
        <w:rPr>
          <w:rFonts w:ascii="Book Antiqua" w:hAnsi="Book Antiqua"/>
          <w:sz w:val="26"/>
          <w:szCs w:val="26"/>
        </w:rPr>
        <w:t>’s 2021 Wildfire Mitigation Plan</w:t>
      </w:r>
      <w:r w:rsidRPr="004546D4" w:rsidR="002734BA">
        <w:rPr>
          <w:rFonts w:ascii="Book Antiqua" w:hAnsi="Book Antiqua"/>
          <w:sz w:val="26"/>
          <w:szCs w:val="26"/>
        </w:rPr>
        <w:t xml:space="preserve"> Update</w:t>
      </w:r>
      <w:r w:rsidRPr="004546D4" w:rsidR="009F2DF2">
        <w:rPr>
          <w:rFonts w:ascii="Book Antiqua" w:hAnsi="Book Antiqua"/>
          <w:sz w:val="26"/>
          <w:szCs w:val="26"/>
        </w:rPr>
        <w:t xml:space="preserve"> </w:t>
      </w:r>
      <w:r w:rsidRPr="004546D4" w:rsidR="00B50CF5">
        <w:rPr>
          <w:rFonts w:ascii="Book Antiqua" w:hAnsi="Book Antiqua"/>
          <w:sz w:val="26"/>
          <w:szCs w:val="26"/>
        </w:rPr>
        <w:t>is ratified</w:t>
      </w:r>
      <w:r w:rsidRPr="004546D4" w:rsidR="00E93C5B">
        <w:rPr>
          <w:rFonts w:ascii="Book Antiqua" w:hAnsi="Book Antiqua"/>
          <w:sz w:val="26"/>
          <w:szCs w:val="26"/>
        </w:rPr>
        <w:t>.</w:t>
      </w:r>
    </w:p>
    <w:p w:rsidRPr="004546D4" w:rsidR="0045611D" w:rsidP="0045611D" w:rsidRDefault="001068AB" w14:paraId="1AD3C93D" w14:textId="12D02285">
      <w:pPr>
        <w:pStyle w:val="paragraph"/>
        <w:numPr>
          <w:ilvl w:val="0"/>
          <w:numId w:val="20"/>
        </w:numPr>
        <w:spacing w:before="0" w:beforeAutospacing="0" w:after="0" w:afterAutospacing="0"/>
        <w:textAlignment w:val="baseline"/>
        <w:rPr>
          <w:rStyle w:val="normaltextrun"/>
          <w:rFonts w:ascii="Book Antiqua" w:hAnsi="Book Antiqua"/>
          <w:sz w:val="26"/>
          <w:szCs w:val="26"/>
        </w:rPr>
      </w:pPr>
      <w:r w:rsidRPr="004546D4">
        <w:rPr>
          <w:rFonts w:ascii="Book Antiqua" w:hAnsi="Book Antiqua"/>
          <w:sz w:val="26"/>
          <w:szCs w:val="26"/>
        </w:rPr>
        <w:t>San Diego Gas &amp; Electric Company</w:t>
      </w:r>
      <w:r w:rsidRPr="004546D4" w:rsidR="0045611D">
        <w:rPr>
          <w:rStyle w:val="normaltextrun"/>
          <w:rFonts w:ascii="Book Antiqua" w:hAnsi="Book Antiqua" w:eastAsiaTheme="majorEastAsia"/>
          <w:sz w:val="26"/>
          <w:szCs w:val="26"/>
        </w:rPr>
        <w:t> </w:t>
      </w:r>
      <w:r w:rsidRPr="00785227" w:rsidR="0045611D">
        <w:rPr>
          <w:rStyle w:val="normaltextrun"/>
          <w:rFonts w:ascii="Book Antiqua" w:hAnsi="Book Antiqua" w:eastAsiaTheme="majorEastAsia"/>
          <w:sz w:val="26"/>
          <w:szCs w:val="26"/>
        </w:rPr>
        <w:t>shall meet all commitments in its 2021 WMP Update</w:t>
      </w:r>
    </w:p>
    <w:p w:rsidR="00E94FF0" w:rsidP="009A5337" w:rsidRDefault="00E94FF0" w14:paraId="0423184B" w14:textId="6B08BEE2">
      <w:pPr>
        <w:pStyle w:val="ListParagraph"/>
        <w:numPr>
          <w:ilvl w:val="0"/>
          <w:numId w:val="20"/>
        </w:numPr>
        <w:spacing w:after="0"/>
        <w:textAlignment w:val="baseline"/>
        <w:rPr>
          <w:rFonts w:ascii="Book Antiqua" w:hAnsi="Book Antiqua"/>
          <w:szCs w:val="26"/>
        </w:rPr>
      </w:pPr>
      <w:r w:rsidRPr="00C66A96">
        <w:rPr>
          <w:rFonts w:ascii="Book Antiqua" w:hAnsi="Book Antiqua"/>
          <w:szCs w:val="26"/>
        </w:rPr>
        <w:t>San Diego Gas &amp; Electric Company</w:t>
      </w:r>
      <w:r w:rsidRPr="004546D4">
        <w:rPr>
          <w:rStyle w:val="normaltextrun"/>
          <w:rFonts w:ascii="Book Antiqua" w:hAnsi="Book Antiqua" w:eastAsiaTheme="majorEastAsia"/>
          <w:szCs w:val="26"/>
        </w:rPr>
        <w:t> </w:t>
      </w:r>
      <w:r w:rsidR="006F33E0">
        <w:rPr>
          <w:rStyle w:val="normaltextrun"/>
          <w:rFonts w:ascii="Book Antiqua" w:hAnsi="Book Antiqua" w:eastAsiaTheme="majorEastAsia"/>
          <w:szCs w:val="26"/>
        </w:rPr>
        <w:t xml:space="preserve">shall </w:t>
      </w:r>
      <w:r w:rsidRPr="004546D4">
        <w:rPr>
          <w:rFonts w:ascii="Book Antiqua" w:hAnsi="Book Antiqua"/>
          <w:szCs w:val="26"/>
        </w:rPr>
        <w:t>provide a Progress Report by 5:00 p.m. November 1, 2021</w:t>
      </w:r>
      <w:r w:rsidR="0099676A">
        <w:rPr>
          <w:rStyle w:val="normaltextrun"/>
          <w:rFonts w:ascii="Book Antiqua" w:hAnsi="Book Antiqua" w:eastAsiaTheme="majorEastAsia"/>
          <w:szCs w:val="26"/>
        </w:rPr>
        <w:t>, or otherwise directed by the Office of Energy Infrastructure Safety</w:t>
      </w:r>
      <w:r w:rsidRPr="004546D4">
        <w:rPr>
          <w:rFonts w:ascii="Book Antiqua" w:hAnsi="Book Antiqua"/>
          <w:szCs w:val="26"/>
        </w:rPr>
        <w:t>.</w:t>
      </w:r>
    </w:p>
    <w:p w:rsidRPr="004546D4" w:rsidR="00BB1E61" w:rsidP="009A5337" w:rsidRDefault="00BB1E61" w14:paraId="498FCE6D" w14:textId="09197A45">
      <w:pPr>
        <w:pStyle w:val="ListParagraph"/>
        <w:numPr>
          <w:ilvl w:val="0"/>
          <w:numId w:val="20"/>
        </w:numPr>
        <w:spacing w:after="0"/>
        <w:textAlignment w:val="baseline"/>
        <w:rPr>
          <w:rFonts w:ascii="Book Antiqua" w:hAnsi="Book Antiqua"/>
          <w:szCs w:val="26"/>
        </w:rPr>
      </w:pPr>
      <w:r>
        <w:rPr>
          <w:rFonts w:ascii="Book Antiqua" w:hAnsi="Book Antiqua"/>
          <w:szCs w:val="26"/>
        </w:rPr>
        <w:t>San Diego Gas &amp; Electric Company shall submit any reports previously required to be submitted to Wildfire Safety Division, including Quarterly Data Reports, to the Office of Energy Infrastructure Safety according to forthcoming guidance.</w:t>
      </w:r>
    </w:p>
    <w:p w:rsidRPr="00C468E4" w:rsidR="0041604B" w:rsidP="008E7B52" w:rsidRDefault="00BC2B73" w14:paraId="744C3A3F" w14:textId="1C7C00CB">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Fonts w:ascii="Book Antiqua" w:hAnsi="Book Antiqua"/>
          <w:sz w:val="26"/>
          <w:szCs w:val="26"/>
        </w:rPr>
        <w:t>San Diego Gas &amp; Electric Company</w:t>
      </w:r>
      <w:r w:rsidRPr="00C468E4">
        <w:rPr>
          <w:rStyle w:val="normaltextrun"/>
          <w:rFonts w:ascii="Book Antiqua" w:hAnsi="Book Antiqua" w:eastAsiaTheme="majorEastAsia"/>
          <w:sz w:val="26"/>
          <w:szCs w:val="26"/>
        </w:rPr>
        <w:t xml:space="preserve"> </w:t>
      </w:r>
      <w:r w:rsidRPr="00C468E4" w:rsidR="0041604B">
        <w:rPr>
          <w:rStyle w:val="normaltextrun"/>
          <w:rFonts w:ascii="Book Antiqua" w:hAnsi="Book Antiqua" w:eastAsiaTheme="majorEastAsia"/>
          <w:sz w:val="26"/>
          <w:szCs w:val="26"/>
        </w:rPr>
        <w:t>shall submit an update to its Wildfire Mitigation Plan in </w:t>
      </w:r>
      <w:r w:rsidRPr="00C468E4">
        <w:rPr>
          <w:rStyle w:val="normaltextrun"/>
          <w:rFonts w:ascii="Book Antiqua" w:hAnsi="Book Antiqua" w:eastAsiaTheme="majorEastAsia"/>
          <w:sz w:val="26"/>
          <w:szCs w:val="26"/>
        </w:rPr>
        <w:t>2022</w:t>
      </w:r>
      <w:r w:rsidRPr="00C468E4" w:rsidR="0041604B">
        <w:rPr>
          <w:rStyle w:val="normaltextrun"/>
          <w:rFonts w:ascii="Book Antiqua" w:hAnsi="Book Antiqua" w:eastAsiaTheme="majorEastAsia"/>
          <w:sz w:val="26"/>
          <w:szCs w:val="26"/>
        </w:rPr>
        <w:t xml:space="preserve"> according to the forthcoming guidance and schedule issued by the </w:t>
      </w:r>
      <w:r w:rsidRPr="00C468E4" w:rsidR="0031664C">
        <w:rPr>
          <w:rStyle w:val="normaltextrun"/>
          <w:rFonts w:ascii="Book Antiqua" w:hAnsi="Book Antiqua" w:eastAsiaTheme="majorEastAsia"/>
          <w:sz w:val="26"/>
          <w:szCs w:val="26"/>
        </w:rPr>
        <w:t>Office of Energy Infrastructure Safety.</w:t>
      </w:r>
      <w:r w:rsidRPr="00C468E4" w:rsidR="0041604B">
        <w:rPr>
          <w:rStyle w:val="normaltextrun"/>
          <w:rFonts w:ascii="Book Antiqua" w:hAnsi="Book Antiqua" w:eastAsiaTheme="majorEastAsia"/>
          <w:sz w:val="26"/>
          <w:szCs w:val="26"/>
        </w:rPr>
        <w:t>  </w:t>
      </w:r>
    </w:p>
    <w:p w:rsidRPr="00C468E4" w:rsidR="00AD5CF1" w:rsidP="008E7B52" w:rsidRDefault="00BC2B73" w14:paraId="42F7B09F" w14:textId="5C373540">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Fonts w:ascii="Book Antiqua" w:hAnsi="Book Antiqua"/>
          <w:sz w:val="26"/>
          <w:szCs w:val="26"/>
        </w:rPr>
        <w:t>San Diego Gas &amp; Electric Company</w:t>
      </w:r>
      <w:r w:rsidRPr="00C468E4">
        <w:rPr>
          <w:rStyle w:val="normaltextrun"/>
          <w:rFonts w:ascii="Book Antiqua" w:hAnsi="Book Antiqua" w:eastAsiaTheme="majorEastAsia"/>
          <w:sz w:val="26"/>
          <w:szCs w:val="26"/>
        </w:rPr>
        <w:t xml:space="preserve"> </w:t>
      </w:r>
      <w:r w:rsidRPr="00C468E4" w:rsidR="00AD5CF1">
        <w:rPr>
          <w:rStyle w:val="normaltextrun"/>
          <w:rFonts w:ascii="Book Antiqua" w:hAnsi="Book Antiqua" w:eastAsiaTheme="majorEastAsia"/>
          <w:sz w:val="26"/>
          <w:szCs w:val="26"/>
        </w:rPr>
        <w:t xml:space="preserve">shall submit a new comprehensive </w:t>
      </w:r>
      <w:r w:rsidRPr="00C468E4" w:rsidR="00E94A35">
        <w:rPr>
          <w:rStyle w:val="normaltextrun"/>
          <w:rFonts w:ascii="Book Antiqua" w:hAnsi="Book Antiqua" w:eastAsiaTheme="majorEastAsia"/>
          <w:sz w:val="26"/>
          <w:szCs w:val="26"/>
        </w:rPr>
        <w:t>three</w:t>
      </w:r>
      <w:r w:rsidRPr="00C468E4" w:rsidR="00AD5CF1">
        <w:rPr>
          <w:rStyle w:val="normaltextrun"/>
          <w:rFonts w:ascii="Book Antiqua" w:hAnsi="Book Antiqua" w:eastAsiaTheme="majorEastAsia"/>
          <w:sz w:val="26"/>
          <w:szCs w:val="26"/>
        </w:rPr>
        <w:t xml:space="preserve">-year Wildfire Mitigation Plan in </w:t>
      </w:r>
      <w:r w:rsidRPr="00C468E4">
        <w:rPr>
          <w:rStyle w:val="normaltextrun"/>
          <w:rFonts w:ascii="Book Antiqua" w:hAnsi="Book Antiqua" w:eastAsiaTheme="majorEastAsia"/>
          <w:sz w:val="26"/>
          <w:szCs w:val="26"/>
        </w:rPr>
        <w:t>2023</w:t>
      </w:r>
      <w:r w:rsidRPr="00C468E4" w:rsidR="00CF52AC">
        <w:rPr>
          <w:rStyle w:val="normaltextrun"/>
          <w:rFonts w:ascii="Book Antiqua" w:hAnsi="Book Antiqua" w:eastAsiaTheme="majorEastAsia"/>
          <w:sz w:val="26"/>
          <w:szCs w:val="26"/>
        </w:rPr>
        <w:t xml:space="preserve">, or as otherwise directed by </w:t>
      </w:r>
      <w:r w:rsidRPr="0022336E" w:rsidR="00072035">
        <w:rPr>
          <w:rStyle w:val="normaltextrun"/>
          <w:rFonts w:ascii="Book Antiqua" w:hAnsi="Book Antiqua" w:eastAsiaTheme="majorEastAsia"/>
          <w:sz w:val="26"/>
          <w:szCs w:val="26"/>
        </w:rPr>
        <w:t>the</w:t>
      </w:r>
      <w:r w:rsidR="00072035">
        <w:rPr>
          <w:rStyle w:val="normaltextrun"/>
          <w:rFonts w:ascii="Book Antiqua" w:hAnsi="Book Antiqua" w:eastAsiaTheme="majorEastAsia"/>
          <w:sz w:val="26"/>
          <w:szCs w:val="26"/>
        </w:rPr>
        <w:t xml:space="preserve"> </w:t>
      </w:r>
      <w:r w:rsidRPr="00C468E4" w:rsidR="00CF52AC">
        <w:rPr>
          <w:rStyle w:val="normaltextrun"/>
          <w:rFonts w:ascii="Book Antiqua" w:hAnsi="Book Antiqua" w:eastAsiaTheme="majorEastAsia"/>
          <w:sz w:val="26"/>
          <w:szCs w:val="26"/>
        </w:rPr>
        <w:t>Office of Energy Infrastructure Safety.</w:t>
      </w:r>
      <w:r w:rsidRPr="00C468E4" w:rsidR="00AD5CF1">
        <w:rPr>
          <w:rStyle w:val="normaltextrun"/>
          <w:rFonts w:ascii="Book Antiqua" w:hAnsi="Book Antiqua" w:eastAsiaTheme="majorEastAsia"/>
          <w:sz w:val="26"/>
          <w:szCs w:val="26"/>
        </w:rPr>
        <w:t> </w:t>
      </w:r>
    </w:p>
    <w:p w:rsidRPr="00C468E4" w:rsidR="0089351B" w:rsidP="008E7B52" w:rsidRDefault="00BC2B73" w14:paraId="07DB8DBC" w14:textId="2D3387A8">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Fonts w:ascii="Book Antiqua" w:hAnsi="Book Antiqua"/>
          <w:sz w:val="26"/>
          <w:szCs w:val="26"/>
        </w:rPr>
        <w:t>San Diego Gas &amp; Electric Company</w:t>
      </w:r>
      <w:r w:rsidRPr="00C468E4" w:rsidR="0089351B">
        <w:rPr>
          <w:rFonts w:ascii="Book Antiqua" w:hAnsi="Book Antiqua"/>
          <w:sz w:val="26"/>
          <w:szCs w:val="26"/>
        </w:rPr>
        <w:t xml:space="preserve"> must adhere to all requirements set forth in the Wildfire Safety Division’s Action Statement.</w:t>
      </w:r>
    </w:p>
    <w:p w:rsidRPr="00C468E4" w:rsidR="007D7204" w:rsidP="008E7B52" w:rsidRDefault="007D7204" w14:paraId="5C28F26D" w14:textId="2CE815C5">
      <w:pPr>
        <w:pStyle w:val="paragraph"/>
        <w:numPr>
          <w:ilvl w:val="0"/>
          <w:numId w:val="20"/>
        </w:numPr>
        <w:spacing w:before="0" w:beforeAutospacing="0" w:after="0" w:afterAutospacing="0"/>
        <w:textAlignment w:val="baseline"/>
        <w:rPr>
          <w:rStyle w:val="normaltextrun"/>
          <w:rFonts w:ascii="Book Antiqua" w:hAnsi="Book Antiqua" w:eastAsiaTheme="majorEastAsia"/>
          <w:sz w:val="26"/>
          <w:szCs w:val="26"/>
        </w:rPr>
      </w:pPr>
      <w:r w:rsidRPr="00C468E4">
        <w:rPr>
          <w:rStyle w:val="normaltextrun"/>
          <w:rFonts w:ascii="Book Antiqua" w:hAnsi="Book Antiqua" w:eastAsiaTheme="majorEastAsia"/>
          <w:sz w:val="26"/>
          <w:szCs w:val="26"/>
        </w:rPr>
        <w:t>Nothing in this Resolution should be construed as approval of the costs associated with </w:t>
      </w:r>
      <w:r w:rsidRPr="00C468E4" w:rsidR="00BC2B73">
        <w:rPr>
          <w:rFonts w:ascii="Book Antiqua" w:hAnsi="Book Antiqua"/>
          <w:sz w:val="26"/>
          <w:szCs w:val="26"/>
        </w:rPr>
        <w:t>San Diego Gas &amp; Electric Company</w:t>
      </w:r>
      <w:r w:rsidRPr="00C468E4">
        <w:rPr>
          <w:rStyle w:val="normaltextrun"/>
          <w:rFonts w:ascii="Book Antiqua" w:hAnsi="Book Antiqua" w:eastAsiaTheme="majorEastAsia"/>
          <w:sz w:val="26"/>
          <w:szCs w:val="26"/>
        </w:rPr>
        <w:t>’s Wildfire Mitigation Plan mitigation efforts.  </w:t>
      </w:r>
    </w:p>
    <w:p w:rsidRPr="003A72F4" w:rsidR="006B1235" w:rsidP="007E3C46" w:rsidRDefault="00A72794" w14:paraId="1A2BE114" w14:textId="09901D4B">
      <w:pPr>
        <w:pStyle w:val="CommentText"/>
        <w:numPr>
          <w:ilvl w:val="0"/>
          <w:numId w:val="20"/>
        </w:numPr>
        <w:textAlignment w:val="baseline"/>
        <w:rPr>
          <w:rStyle w:val="normaltextrun"/>
          <w:rFonts w:eastAsiaTheme="majorEastAsia"/>
          <w:sz w:val="26"/>
          <w:szCs w:val="26"/>
        </w:rPr>
      </w:pPr>
      <w:r w:rsidRPr="00A72794">
        <w:rPr>
          <w:sz w:val="26"/>
          <w:szCs w:val="26"/>
        </w:rPr>
        <w:t>In accordance with Public Utilities Code Section 8386.4,</w:t>
      </w:r>
      <w:r>
        <w:rPr>
          <w:sz w:val="26"/>
          <w:szCs w:val="26"/>
        </w:rPr>
        <w:t xml:space="preserve"> </w:t>
      </w:r>
      <w:r w:rsidRPr="00C468E4" w:rsidR="00BC2B73">
        <w:rPr>
          <w:sz w:val="26"/>
          <w:szCs w:val="26"/>
        </w:rPr>
        <w:t>San Diego Gas &amp; Electric Company</w:t>
      </w:r>
      <w:r w:rsidRPr="00C468E4" w:rsidR="00577DAE">
        <w:rPr>
          <w:rStyle w:val="normaltextrun"/>
          <w:rFonts w:eastAsiaTheme="majorEastAsia"/>
          <w:sz w:val="26"/>
          <w:szCs w:val="26"/>
        </w:rPr>
        <w:t xml:space="preserve"> may track the costs associated with its Wildfire Mitigation </w:t>
      </w:r>
      <w:r w:rsidRPr="00C468E4" w:rsidR="00577DAE">
        <w:rPr>
          <w:rStyle w:val="normaltextrun"/>
          <w:rFonts w:eastAsiaTheme="majorEastAsia"/>
          <w:sz w:val="26"/>
          <w:szCs w:val="26"/>
        </w:rPr>
        <w:lastRenderedPageBreak/>
        <w:t>Plan in a memorandum account by category of costs and shall be prepared for Commission review and audit of the accounts at any time.</w:t>
      </w:r>
      <w:r w:rsidRPr="00C468E4" w:rsidR="00A6197C">
        <w:rPr>
          <w:rStyle w:val="normaltextrun"/>
          <w:rFonts w:eastAsiaTheme="majorEastAsia"/>
          <w:sz w:val="26"/>
          <w:szCs w:val="26"/>
        </w:rPr>
        <w:t xml:space="preserve"> </w:t>
      </w:r>
    </w:p>
    <w:p w:rsidRPr="00C468E4" w:rsidR="00A21C84" w:rsidP="007E3C46" w:rsidRDefault="00A21C84" w14:paraId="3B44B7E3" w14:textId="0FF3E1D8">
      <w:pPr>
        <w:pStyle w:val="CommentText"/>
        <w:numPr>
          <w:ilvl w:val="0"/>
          <w:numId w:val="20"/>
        </w:numPr>
        <w:textAlignment w:val="baseline"/>
        <w:rPr>
          <w:rStyle w:val="normaltextrun"/>
          <w:rFonts w:eastAsiaTheme="majorEastAsia"/>
          <w:sz w:val="26"/>
          <w:szCs w:val="26"/>
        </w:rPr>
      </w:pPr>
      <w:r w:rsidRPr="00C468E4">
        <w:rPr>
          <w:rStyle w:val="normaltextrun"/>
          <w:rFonts w:eastAsiaTheme="majorEastAsia"/>
          <w:sz w:val="26"/>
          <w:szCs w:val="26"/>
        </w:rPr>
        <w:t>Nothing in this Resolution should be construed as a defense to any enforcement action for a violation of a Commission decision, order, or rule. </w:t>
      </w:r>
    </w:p>
    <w:p w:rsidRPr="003A72F4" w:rsidR="00A21C84" w:rsidP="0047692E" w:rsidRDefault="00A21C84" w14:paraId="6803397B" w14:textId="77777777">
      <w:pPr>
        <w:pStyle w:val="paragraph"/>
        <w:spacing w:before="0" w:beforeAutospacing="0" w:after="0" w:afterAutospacing="0"/>
        <w:textAlignment w:val="baseline"/>
        <w:rPr>
          <w:rStyle w:val="normaltextrun"/>
          <w:rFonts w:ascii="Book Antiqua" w:hAnsi="Book Antiqua" w:eastAsiaTheme="majorEastAsia"/>
          <w:szCs w:val="26"/>
        </w:rPr>
      </w:pPr>
    </w:p>
    <w:p w:rsidRPr="00C468E4" w:rsidR="005F5ABD" w:rsidP="005F5ABD" w:rsidRDefault="005F5ABD" w14:paraId="627CA97B" w14:textId="77777777">
      <w:pPr>
        <w:pStyle w:val="Standard"/>
      </w:pPr>
      <w:r w:rsidRPr="00C468E4">
        <w:t>This Resolution is effective today.</w:t>
      </w:r>
    </w:p>
    <w:p w:rsidR="005F5ABD" w:rsidP="005F5ABD" w:rsidRDefault="005F5ABD" w14:paraId="0F71ACBB" w14:textId="4DFF2735">
      <w:pPr>
        <w:pStyle w:val="Standard"/>
        <w:rPr>
          <w:snapToGrid w:val="0"/>
        </w:rPr>
      </w:pPr>
      <w:r w:rsidRPr="00C468E4">
        <w:rPr>
          <w:snapToGrid w:val="0"/>
        </w:rPr>
        <w:t>I certify that the foregoing resolution was duly introduced, passed</w:t>
      </w:r>
      <w:r w:rsidRPr="00C468E4" w:rsidR="00774287">
        <w:rPr>
          <w:snapToGrid w:val="0"/>
        </w:rPr>
        <w:t>,</w:t>
      </w:r>
      <w:r w:rsidRPr="00C468E4">
        <w:rPr>
          <w:snapToGrid w:val="0"/>
        </w:rPr>
        <w:t xml:space="preserve"> and adopted at a conference of the Public Utilities Commission of the State of California held on </w:t>
      </w:r>
      <w:r w:rsidRPr="007F4CFF" w:rsidR="007F4CFF">
        <w:rPr>
          <w:snapToGrid w:val="0"/>
        </w:rPr>
        <w:t>July 15, 2021,</w:t>
      </w:r>
      <w:r w:rsidRPr="00C468E4">
        <w:rPr>
          <w:snapToGrid w:val="0"/>
          <w:color w:val="FF0000"/>
        </w:rPr>
        <w:t xml:space="preserve"> </w:t>
      </w:r>
      <w:r w:rsidRPr="00C468E4">
        <w:rPr>
          <w:snapToGrid w:val="0"/>
        </w:rPr>
        <w:t>the following Commissioners voting favorably thereon:</w:t>
      </w:r>
    </w:p>
    <w:p w:rsidR="007F4CFF" w:rsidP="005F5ABD" w:rsidRDefault="007F4CFF" w14:paraId="50900275" w14:textId="3FBB130D">
      <w:pPr>
        <w:pStyle w:val="Standard"/>
        <w:rPr>
          <w:snapToGrid w:val="0"/>
        </w:rPr>
      </w:pPr>
    </w:p>
    <w:p w:rsidR="00A6384A" w:rsidP="00A6384A" w:rsidRDefault="00A6384A" w14:paraId="34BD3600" w14:textId="77777777">
      <w:pPr>
        <w:tabs>
          <w:tab w:val="left" w:pos="720"/>
          <w:tab w:val="left" w:pos="1152"/>
          <w:tab w:val="left" w:pos="1728"/>
          <w:tab w:val="left" w:pos="3168"/>
          <w:tab w:val="left" w:pos="5040"/>
        </w:tabs>
        <w:ind w:right="144"/>
        <w:jc w:val="both"/>
        <w:rPr>
          <w:rFonts w:ascii="Palatino Linotype" w:hAnsi="Palatino Linotype"/>
          <w:szCs w:val="26"/>
        </w:rPr>
      </w:pPr>
      <w:r w:rsidRPr="008101AE">
        <w:rPr>
          <w:rFonts w:ascii="Palatino Linotype" w:hAnsi="Palatino Linotype"/>
          <w:i/>
          <w:iCs/>
          <w:szCs w:val="26"/>
        </w:rPr>
        <w:t xml:space="preserve">                                                                                         </w:t>
      </w:r>
      <w:r>
        <w:rPr>
          <w:rFonts w:ascii="Palatino Linotype" w:hAnsi="Palatino Linotype"/>
          <w:i/>
          <w:iCs/>
          <w:szCs w:val="26"/>
          <w:u w:val="single"/>
        </w:rPr>
        <w:t xml:space="preserve"> </w:t>
      </w:r>
      <w:r w:rsidRPr="004F74BE">
        <w:rPr>
          <w:rFonts w:ascii="Palatino Linotype" w:hAnsi="Palatino Linotype"/>
          <w:i/>
          <w:iCs/>
          <w:szCs w:val="26"/>
          <w:u w:val="single"/>
        </w:rPr>
        <w:t>/s/ Rachel Peterso</w:t>
      </w:r>
      <w:r>
        <w:rPr>
          <w:rFonts w:ascii="Palatino Linotype" w:hAnsi="Palatino Linotype"/>
          <w:i/>
          <w:iCs/>
          <w:szCs w:val="26"/>
          <w:u w:val="single"/>
        </w:rPr>
        <w:t>n</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RACHEL PETERSON</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Executive Director</w:t>
      </w:r>
    </w:p>
    <w:p w:rsidR="00A6384A" w:rsidP="00A6384A" w:rsidRDefault="00A6384A" w14:paraId="59CD6CD3"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p>
    <w:p w:rsidR="00A6384A" w:rsidP="00A6384A" w:rsidRDefault="00A6384A" w14:paraId="38D4B7CA" w14:textId="77777777">
      <w:pPr>
        <w:pStyle w:val="Default"/>
        <w:ind w:left="5040" w:firstLine="720"/>
        <w:rPr>
          <w:rFonts w:ascii="Palatino Linotype" w:hAnsi="Palatino Linotype"/>
          <w:szCs w:val="26"/>
        </w:rPr>
      </w:pPr>
      <w:r>
        <w:rPr>
          <w:rFonts w:ascii="Palatino Linotype" w:hAnsi="Palatino Linotype"/>
          <w:szCs w:val="26"/>
        </w:rPr>
        <w:t>MARYBEL BATJER</w:t>
      </w:r>
    </w:p>
    <w:p w:rsidR="00A6384A" w:rsidP="00A6384A" w:rsidRDefault="00A6384A" w14:paraId="539B91C1"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w:t>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President</w:t>
      </w:r>
    </w:p>
    <w:p w:rsidR="00A6384A" w:rsidP="00A6384A" w:rsidRDefault="00A6384A" w14:paraId="12337CFF" w14:textId="77777777">
      <w:pPr>
        <w:pStyle w:val="Default"/>
        <w:rPr>
          <w:rFonts w:ascii="Palatino Linotype" w:hAnsi="Palatino Linotype"/>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MARTHA GUZMAN ACEVES </w:t>
      </w:r>
    </w:p>
    <w:p w:rsidR="00A6384A" w:rsidP="00A6384A" w:rsidRDefault="00A6384A" w14:paraId="5C4EFAFB" w14:textId="77777777">
      <w:pPr>
        <w:pStyle w:val="Default"/>
        <w:ind w:left="5760"/>
        <w:rPr>
          <w:rFonts w:ascii="Palatino Linotype" w:hAnsi="Palatino Linotype"/>
          <w:szCs w:val="26"/>
        </w:rPr>
      </w:pPr>
      <w:r>
        <w:rPr>
          <w:rFonts w:ascii="Palatino Linotype" w:hAnsi="Palatino Linotype"/>
          <w:szCs w:val="26"/>
        </w:rPr>
        <w:t>CLIFFORD RECHTSCHAFFEN</w:t>
      </w:r>
    </w:p>
    <w:p w:rsidR="00A6384A" w:rsidP="00A6384A" w:rsidRDefault="00A6384A" w14:paraId="5CFF5FCD" w14:textId="77777777">
      <w:pPr>
        <w:pStyle w:val="Default"/>
        <w:ind w:left="5760"/>
        <w:rPr>
          <w:rFonts w:ascii="Palatino Linotype" w:hAnsi="Palatino Linotype"/>
          <w:szCs w:val="26"/>
        </w:rPr>
      </w:pPr>
      <w:r>
        <w:rPr>
          <w:rFonts w:ascii="Palatino Linotype" w:hAnsi="Palatino Linotype"/>
          <w:szCs w:val="26"/>
        </w:rPr>
        <w:t>GENEVIEVE SHIROMA</w:t>
      </w:r>
    </w:p>
    <w:p w:rsidR="00A6384A" w:rsidP="00A6384A" w:rsidRDefault="00A6384A" w14:paraId="4C0B1589" w14:textId="77777777">
      <w:pPr>
        <w:pStyle w:val="Default"/>
        <w:ind w:left="5760"/>
        <w:rPr>
          <w:rFonts w:ascii="Palatino Linotype" w:hAnsi="Palatino Linotype"/>
          <w:szCs w:val="26"/>
        </w:rPr>
      </w:pPr>
      <w:r>
        <w:rPr>
          <w:rFonts w:ascii="Palatino Linotype" w:hAnsi="Palatino Linotype"/>
          <w:szCs w:val="26"/>
        </w:rPr>
        <w:t>DARCIE HOUCK</w:t>
      </w:r>
    </w:p>
    <w:p w:rsidR="00A6384A" w:rsidP="00A6384A" w:rsidRDefault="00A6384A" w14:paraId="60460F58" w14:textId="77777777">
      <w:pPr>
        <w:pStyle w:val="Default"/>
        <w:rPr>
          <w:rFonts w:ascii="Palatino Linotype" w:hAnsi="Palatino Linotype"/>
          <w:sz w:val="26"/>
          <w:szCs w:val="26"/>
        </w:rPr>
      </w:pP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r>
      <w:r>
        <w:rPr>
          <w:rFonts w:ascii="Palatino Linotype" w:hAnsi="Palatino Linotype"/>
          <w:szCs w:val="26"/>
        </w:rPr>
        <w:tab/>
        <w:t xml:space="preserve">       </w:t>
      </w:r>
      <w:r>
        <w:rPr>
          <w:rFonts w:ascii="Palatino Linotype" w:hAnsi="Palatino Linotype"/>
          <w:szCs w:val="26"/>
        </w:rPr>
        <w:tab/>
      </w:r>
      <w:r>
        <w:rPr>
          <w:rFonts w:ascii="Palatino Linotype" w:hAnsi="Palatino Linotype"/>
          <w:szCs w:val="26"/>
        </w:rPr>
        <w:tab/>
        <w:t>Commissioners</w:t>
      </w:r>
    </w:p>
    <w:p w:rsidR="00A6384A" w:rsidP="00785227" w:rsidRDefault="00A6384A" w14:paraId="55E016C5" w14:textId="77777777">
      <w:pPr>
        <w:pStyle w:val="Standard"/>
        <w:spacing w:after="0"/>
        <w:jc w:val="center"/>
        <w:rPr>
          <w:b/>
        </w:rPr>
      </w:pPr>
    </w:p>
    <w:p w:rsidR="00A6384A" w:rsidP="00785227" w:rsidRDefault="00A6384A" w14:paraId="0CDB18A9" w14:textId="77777777">
      <w:pPr>
        <w:pStyle w:val="Standard"/>
        <w:spacing w:after="0"/>
        <w:jc w:val="center"/>
        <w:rPr>
          <w:b/>
        </w:rPr>
      </w:pPr>
    </w:p>
    <w:p w:rsidR="00A6384A" w:rsidP="00785227" w:rsidRDefault="00A6384A" w14:paraId="5EE7F3F0" w14:textId="77777777">
      <w:pPr>
        <w:pStyle w:val="Standard"/>
        <w:spacing w:after="0"/>
        <w:jc w:val="center"/>
        <w:rPr>
          <w:b/>
        </w:rPr>
      </w:pPr>
    </w:p>
    <w:p w:rsidR="00A6384A" w:rsidP="00785227" w:rsidRDefault="00A6384A" w14:paraId="4E98E512" w14:textId="77777777">
      <w:pPr>
        <w:pStyle w:val="Standard"/>
        <w:spacing w:after="0"/>
        <w:jc w:val="center"/>
        <w:rPr>
          <w:b/>
        </w:rPr>
      </w:pPr>
    </w:p>
    <w:p w:rsidR="00A6384A" w:rsidP="00785227" w:rsidRDefault="00A6384A" w14:paraId="319D38CA" w14:textId="77777777">
      <w:pPr>
        <w:pStyle w:val="Standard"/>
        <w:spacing w:after="0"/>
        <w:jc w:val="center"/>
        <w:rPr>
          <w:b/>
        </w:rPr>
      </w:pPr>
    </w:p>
    <w:p w:rsidR="00A6384A" w:rsidP="00785227" w:rsidRDefault="00A6384A" w14:paraId="2DB2A7EF" w14:textId="77777777">
      <w:pPr>
        <w:pStyle w:val="Standard"/>
        <w:spacing w:after="0"/>
        <w:jc w:val="center"/>
        <w:rPr>
          <w:b/>
        </w:rPr>
      </w:pPr>
    </w:p>
    <w:p w:rsidR="00A6384A" w:rsidP="00785227" w:rsidRDefault="00A6384A" w14:paraId="1324BD81" w14:textId="77777777">
      <w:pPr>
        <w:pStyle w:val="Standard"/>
        <w:spacing w:after="0"/>
        <w:jc w:val="center"/>
        <w:rPr>
          <w:b/>
        </w:rPr>
      </w:pPr>
    </w:p>
    <w:p w:rsidR="00A6384A" w:rsidP="00785227" w:rsidRDefault="00A6384A" w14:paraId="62455D27" w14:textId="77777777">
      <w:pPr>
        <w:pStyle w:val="Standard"/>
        <w:spacing w:after="0"/>
        <w:jc w:val="center"/>
        <w:rPr>
          <w:b/>
        </w:rPr>
      </w:pPr>
    </w:p>
    <w:p w:rsidR="00A6384A" w:rsidP="00785227" w:rsidRDefault="00A6384A" w14:paraId="7CB29BBC" w14:textId="77777777">
      <w:pPr>
        <w:pStyle w:val="Standard"/>
        <w:spacing w:after="0"/>
        <w:jc w:val="center"/>
        <w:rPr>
          <w:b/>
        </w:rPr>
      </w:pPr>
    </w:p>
    <w:p w:rsidR="00A6384A" w:rsidP="00785227" w:rsidRDefault="00A6384A" w14:paraId="7DC68093" w14:textId="77777777">
      <w:pPr>
        <w:pStyle w:val="Standard"/>
        <w:spacing w:after="0"/>
        <w:jc w:val="center"/>
        <w:rPr>
          <w:b/>
        </w:rPr>
      </w:pPr>
    </w:p>
    <w:p w:rsidR="00A6384A" w:rsidP="00785227" w:rsidRDefault="00A6384A" w14:paraId="74C3F3C3" w14:textId="77777777">
      <w:pPr>
        <w:pStyle w:val="Standard"/>
        <w:spacing w:after="0"/>
        <w:jc w:val="center"/>
        <w:rPr>
          <w:b/>
        </w:rPr>
      </w:pPr>
    </w:p>
    <w:p w:rsidR="00A6384A" w:rsidP="00785227" w:rsidRDefault="00A6384A" w14:paraId="6335D681" w14:textId="77777777">
      <w:pPr>
        <w:pStyle w:val="Standard"/>
        <w:spacing w:after="0"/>
        <w:jc w:val="center"/>
        <w:rPr>
          <w:b/>
        </w:rPr>
      </w:pPr>
    </w:p>
    <w:p w:rsidR="00A6384A" w:rsidP="00785227" w:rsidRDefault="00A6384A" w14:paraId="0B0F25A5" w14:textId="77777777">
      <w:pPr>
        <w:pStyle w:val="Standard"/>
        <w:spacing w:after="0"/>
        <w:jc w:val="center"/>
        <w:rPr>
          <w:b/>
        </w:rPr>
      </w:pPr>
    </w:p>
    <w:p w:rsidR="00A6384A" w:rsidP="00785227" w:rsidRDefault="00A6384A" w14:paraId="7CFBED58" w14:textId="77777777">
      <w:pPr>
        <w:pStyle w:val="Standard"/>
        <w:spacing w:after="0"/>
        <w:jc w:val="center"/>
        <w:rPr>
          <w:b/>
        </w:rPr>
      </w:pPr>
    </w:p>
    <w:p w:rsidR="00A6384A" w:rsidP="00785227" w:rsidRDefault="00A6384A" w14:paraId="475227C4" w14:textId="77777777">
      <w:pPr>
        <w:pStyle w:val="Standard"/>
        <w:spacing w:after="0"/>
        <w:jc w:val="center"/>
        <w:rPr>
          <w:b/>
        </w:rPr>
      </w:pPr>
    </w:p>
    <w:p w:rsidR="00A6384A" w:rsidP="00785227" w:rsidRDefault="00A6384A" w14:paraId="7DA2661A" w14:textId="77777777">
      <w:pPr>
        <w:pStyle w:val="Standard"/>
        <w:spacing w:after="0"/>
        <w:jc w:val="center"/>
        <w:rPr>
          <w:b/>
        </w:rPr>
      </w:pPr>
    </w:p>
    <w:p w:rsidR="00A6384A" w:rsidP="00785227" w:rsidRDefault="00A6384A" w14:paraId="18364089" w14:textId="77777777">
      <w:pPr>
        <w:pStyle w:val="Standard"/>
        <w:spacing w:after="0"/>
        <w:jc w:val="center"/>
        <w:rPr>
          <w:b/>
        </w:rPr>
      </w:pPr>
    </w:p>
    <w:p w:rsidRPr="00C468E4" w:rsidR="00004EDD" w:rsidP="00785227" w:rsidRDefault="00004EDD" w14:paraId="02716B87" w14:textId="5A3401CF">
      <w:pPr>
        <w:pStyle w:val="Standard"/>
        <w:spacing w:after="0"/>
        <w:jc w:val="center"/>
        <w:rPr>
          <w:b/>
        </w:rPr>
      </w:pPr>
      <w:r w:rsidRPr="00C468E4">
        <w:rPr>
          <w:b/>
        </w:rPr>
        <w:lastRenderedPageBreak/>
        <w:t>Appendix A – Action Statement</w:t>
      </w:r>
    </w:p>
    <w:p w:rsidRPr="00C468E4" w:rsidR="00004EDD" w:rsidP="00004EDD" w:rsidRDefault="00004EDD" w14:paraId="61D0E21D" w14:textId="26D06424">
      <w:pPr>
        <w:pStyle w:val="Standard"/>
        <w:spacing w:after="0"/>
      </w:pPr>
    </w:p>
    <w:p w:rsidRPr="00C468E4" w:rsidR="00004EDD" w:rsidP="00004EDD" w:rsidRDefault="00004EDD" w14:paraId="239E92B2" w14:textId="475FA841">
      <w:pPr>
        <w:pStyle w:val="Standard"/>
        <w:spacing w:after="0"/>
      </w:pPr>
      <w:r w:rsidRPr="00C468E4">
        <w:t>See attached.</w:t>
      </w:r>
    </w:p>
    <w:p w:rsidRPr="00C468E4" w:rsidR="00004EDD" w:rsidP="00004EDD" w:rsidRDefault="00004EDD" w14:paraId="249297A5" w14:textId="77777777">
      <w:pPr>
        <w:pStyle w:val="Standard"/>
        <w:spacing w:after="0"/>
      </w:pPr>
    </w:p>
    <w:p w:rsidR="0010401C" w:rsidRDefault="00794BB3" w14:paraId="2847BC79" w14:textId="77777777">
      <w:pPr>
        <w:spacing w:after="160" w:line="259" w:lineRule="auto"/>
        <w:sectPr w:rsidR="0010401C" w:rsidSect="003B4C1D">
          <w:headerReference w:type="default" r:id="rId18"/>
          <w:footerReference w:type="default" r:id="rId19"/>
          <w:pgSz w:w="12240" w:h="15840"/>
          <w:pgMar w:top="1440" w:right="1440" w:bottom="1440" w:left="1440" w:header="720" w:footer="720" w:gutter="0"/>
          <w:pgNumType w:start="1"/>
          <w:cols w:space="720"/>
          <w:docGrid w:linePitch="354"/>
        </w:sectPr>
      </w:pPr>
      <w:r w:rsidRPr="00C468E4">
        <w:br w:type="page"/>
      </w:r>
    </w:p>
    <w:p w:rsidRPr="00C468E4" w:rsidR="00004EDD" w:rsidP="003A18A0" w:rsidRDefault="0010401C" w14:paraId="5436CBDF" w14:textId="5BAA562B">
      <w:pPr>
        <w:pStyle w:val="Standard"/>
        <w:tabs>
          <w:tab w:val="left" w:pos="2783"/>
        </w:tabs>
        <w:spacing w:after="0"/>
        <w:rPr>
          <w:b/>
        </w:rPr>
      </w:pPr>
      <w:r>
        <w:lastRenderedPageBreak/>
        <w:tab/>
      </w:r>
      <w:r w:rsidRPr="00C468E4" w:rsidR="00004EDD">
        <w:rPr>
          <w:b/>
        </w:rPr>
        <w:t>Appendix B – Public Utilities Code Section 8386</w:t>
      </w:r>
    </w:p>
    <w:p w:rsidRPr="00C468E4" w:rsidR="00304DC4" w:rsidP="2D0233EA" w:rsidRDefault="00304DC4" w14:paraId="451E25E8" w14:textId="3BC69B55"/>
    <w:p w:rsidRPr="00C468E4" w:rsidR="00945838" w:rsidP="00945838" w:rsidRDefault="00945838" w14:paraId="1649531F" w14:textId="2C47252B">
      <w:pPr>
        <w:rPr>
          <w:b/>
        </w:rPr>
      </w:pPr>
      <w:r w:rsidRPr="00C468E4">
        <w:rPr>
          <w:b/>
        </w:rPr>
        <w:t>Public Utilities Code Section 8386</w:t>
      </w:r>
      <w:r w:rsidRPr="00C468E4" w:rsidR="004A779A">
        <w:rPr>
          <w:rStyle w:val="FootnoteReference"/>
          <w:b/>
        </w:rPr>
        <w:footnoteReference w:id="48"/>
      </w:r>
    </w:p>
    <w:p w:rsidRPr="00C468E4" w:rsidR="00945838" w:rsidP="00945838" w:rsidRDefault="00945838" w14:paraId="160690AD" w14:textId="77777777">
      <w:r w:rsidRPr="00C468E4">
        <w:t>From Public Utilities Code (PUC) Division 4.1. Provisions Applicable to Privately Owned and Publicly Owned Public Utilities [8301 - 8390].</w:t>
      </w:r>
    </w:p>
    <w:p w:rsidRPr="00C468E4" w:rsidR="00515769" w:rsidP="00945838" w:rsidRDefault="00515769" w14:paraId="4A7F58A4" w14:textId="77777777"/>
    <w:p w:rsidRPr="00C468E4" w:rsidR="00945838" w:rsidP="00945838" w:rsidRDefault="00945838" w14:paraId="14E8EA1B" w14:textId="207A5F89">
      <w:r w:rsidRPr="00C468E4">
        <w:t>C</w:t>
      </w:r>
      <w:r w:rsidRPr="00C468E4" w:rsidR="00515769">
        <w:t>hapter</w:t>
      </w:r>
      <w:r w:rsidRPr="00C468E4">
        <w:t xml:space="preserve"> 6. Wildfire Mitigation [8385 - 8389] </w:t>
      </w:r>
    </w:p>
    <w:p w:rsidRPr="00C468E4" w:rsidR="004E508E" w:rsidP="00945838" w:rsidRDefault="004E508E" w14:paraId="387D3BBE" w14:textId="77777777"/>
    <w:p w:rsidRPr="00C468E4" w:rsidR="00945838" w:rsidP="00945838" w:rsidRDefault="00945838" w14:paraId="4669DC8F" w14:textId="1EBA4361">
      <w:r w:rsidRPr="00C468E4">
        <w:t xml:space="preserve">8386.  </w:t>
      </w:r>
    </w:p>
    <w:p w:rsidRPr="00C468E4" w:rsidR="00241364" w:rsidP="00945838" w:rsidRDefault="00241364" w14:paraId="348D9575" w14:textId="77777777"/>
    <w:p w:rsidRPr="00C468E4" w:rsidR="00945838" w:rsidP="00945838" w:rsidRDefault="00945838" w14:paraId="663F301D" w14:textId="5E1A5DCE">
      <w:r w:rsidRPr="00C468E4">
        <w:t>(a) Each electrical corporation shall construct, maintain, and operate its electrical lines and equipment in a manner that will minimize the risk of catastrophic wildfire posed by those electrical lines and equipment.</w:t>
      </w:r>
    </w:p>
    <w:p w:rsidRPr="00C468E4" w:rsidR="00241364" w:rsidP="00945838" w:rsidRDefault="00241364" w14:paraId="240E9297" w14:textId="77777777"/>
    <w:p w:rsidRPr="00C468E4" w:rsidR="00945838" w:rsidP="00945838" w:rsidRDefault="00945838" w14:paraId="2125C465" w14:textId="6AB7B102">
      <w:r w:rsidRPr="00C468E4">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C468E4" w:rsidR="00945838" w:rsidP="00945838" w:rsidRDefault="00945838" w14:paraId="40EC13D5" w14:textId="77777777"/>
    <w:p w:rsidRPr="00C468E4" w:rsidR="00945838" w:rsidP="00945838" w:rsidRDefault="00945838" w14:paraId="3BC1B49C" w14:textId="77777777">
      <w:r w:rsidRPr="00C468E4">
        <w:t>(c) The wildfire mitigation plan shall include all of the following:</w:t>
      </w:r>
    </w:p>
    <w:p w:rsidRPr="00C468E4" w:rsidR="00945838" w:rsidP="00945838" w:rsidRDefault="00945838" w14:paraId="113AA389" w14:textId="77777777"/>
    <w:p w:rsidRPr="00C468E4" w:rsidR="00945838" w:rsidP="00FB4CD8" w:rsidRDefault="00945838" w14:paraId="11A0709A" w14:textId="77777777">
      <w:pPr>
        <w:ind w:left="720"/>
      </w:pPr>
      <w:r w:rsidRPr="00C468E4">
        <w:t>(1) An accounting of the responsibilities of persons responsible for executing the plan.</w:t>
      </w:r>
    </w:p>
    <w:p w:rsidRPr="00C468E4" w:rsidR="00945838" w:rsidP="00FB4CD8" w:rsidRDefault="00945838" w14:paraId="530C6F67" w14:textId="77777777">
      <w:pPr>
        <w:ind w:left="720"/>
      </w:pPr>
    </w:p>
    <w:p w:rsidRPr="00C468E4" w:rsidR="00945838" w:rsidP="00FB4CD8" w:rsidRDefault="00945838" w14:paraId="1F1AA9BF" w14:textId="77777777">
      <w:pPr>
        <w:ind w:firstLine="720"/>
      </w:pPr>
      <w:r w:rsidRPr="00C468E4">
        <w:t>(2) The objectives of the plan.</w:t>
      </w:r>
    </w:p>
    <w:p w:rsidRPr="00C468E4" w:rsidR="00945838" w:rsidP="00FB4CD8" w:rsidRDefault="00945838" w14:paraId="5CEECA5E" w14:textId="77777777">
      <w:pPr>
        <w:ind w:left="720"/>
      </w:pPr>
    </w:p>
    <w:p w:rsidRPr="00C468E4" w:rsidR="00945838" w:rsidP="00FB4CD8" w:rsidRDefault="00945838" w14:paraId="4FD66B03" w14:textId="77777777">
      <w:pPr>
        <w:ind w:left="720"/>
      </w:pPr>
      <w:r w:rsidRPr="00C468E4">
        <w:t>(3) A description of the preventive strategies and programs to be adopted by the electrical corporation to minimize the risk of its electrical lines and equipment causing catastrophic wildfires, including consideration of dynamic climate change risks.</w:t>
      </w:r>
    </w:p>
    <w:p w:rsidRPr="00C468E4" w:rsidR="00945838" w:rsidP="00FB4CD8" w:rsidRDefault="00945838" w14:paraId="3C43DD00" w14:textId="77777777">
      <w:pPr>
        <w:ind w:left="720"/>
      </w:pPr>
      <w:r w:rsidRPr="00C468E4">
        <w:lastRenderedPageBreak/>
        <w:t>(4) A description of the metrics the electrical corporation plans to use to evaluate the plan’s performance and the assumptions that underlie the use of those metrics.</w:t>
      </w:r>
    </w:p>
    <w:p w:rsidRPr="00C468E4" w:rsidR="00945838" w:rsidP="00945838" w:rsidRDefault="00945838" w14:paraId="12822158" w14:textId="77777777"/>
    <w:p w:rsidRPr="00C468E4" w:rsidR="00945838" w:rsidP="00FB4CD8" w:rsidRDefault="00945838" w14:paraId="2545E65E" w14:textId="77777777">
      <w:pPr>
        <w:ind w:left="720"/>
      </w:pPr>
      <w:r w:rsidRPr="00C468E4">
        <w:t>(5) A discussion of how the application of previously identified metrics to previous plan performances has informed the plan.</w:t>
      </w:r>
    </w:p>
    <w:p w:rsidRPr="00C468E4" w:rsidR="00945838" w:rsidP="00FB4CD8" w:rsidRDefault="00945838" w14:paraId="05A35CDF" w14:textId="77777777">
      <w:pPr>
        <w:ind w:left="720"/>
      </w:pPr>
    </w:p>
    <w:p w:rsidRPr="00C468E4" w:rsidR="00945838" w:rsidP="00FB4CD8" w:rsidRDefault="00945838" w14:paraId="672E9DBE" w14:textId="77777777">
      <w:pPr>
        <w:ind w:left="720"/>
      </w:pPr>
      <w:r w:rsidRPr="00C468E4">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C468E4" w:rsidR="00945838" w:rsidP="00945838" w:rsidRDefault="00945838" w14:paraId="02666DD9" w14:textId="77777777"/>
    <w:p w:rsidRPr="00C468E4" w:rsidR="00945838" w:rsidP="00FB4CD8" w:rsidRDefault="00945838" w14:paraId="2E90DFEC" w14:textId="77777777">
      <w:pPr>
        <w:ind w:left="720" w:firstLine="720"/>
      </w:pPr>
      <w:r w:rsidRPr="00C468E4">
        <w:t>(A) Critical first responders.</w:t>
      </w:r>
    </w:p>
    <w:p w:rsidRPr="00C468E4" w:rsidR="00945838" w:rsidP="00945838" w:rsidRDefault="00945838" w14:paraId="06EB1C29" w14:textId="77777777"/>
    <w:p w:rsidRPr="00C468E4" w:rsidR="00945838" w:rsidP="00FB4CD8" w:rsidRDefault="00945838" w14:paraId="04A3F696" w14:textId="77777777">
      <w:pPr>
        <w:ind w:left="720" w:firstLine="720"/>
      </w:pPr>
      <w:r w:rsidRPr="00C468E4">
        <w:t>(B) Health and communication infrastructure.</w:t>
      </w:r>
    </w:p>
    <w:p w:rsidRPr="00C468E4" w:rsidR="00945838" w:rsidP="00945838" w:rsidRDefault="00945838" w14:paraId="213799FB" w14:textId="77777777"/>
    <w:p w:rsidRPr="00C468E4" w:rsidR="00945838" w:rsidP="00FB4CD8" w:rsidRDefault="00945838" w14:paraId="6D1B0294" w14:textId="77777777">
      <w:pPr>
        <w:ind w:left="1440"/>
      </w:pPr>
      <w:r w:rsidRPr="00C468E4">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C468E4" w:rsidR="00945838" w:rsidP="00945838" w:rsidRDefault="00945838" w14:paraId="403EE426" w14:textId="77777777"/>
    <w:p w:rsidRPr="00C468E4" w:rsidR="00945838" w:rsidP="00FB4CD8" w:rsidRDefault="00945838" w14:paraId="47C34D5C" w14:textId="77777777">
      <w:pPr>
        <w:ind w:left="2160"/>
      </w:pPr>
      <w:r w:rsidRPr="00C468E4">
        <w:t>(i) The customer relies on life-support equipment that operates on electricity to sustain life.</w:t>
      </w:r>
    </w:p>
    <w:p w:rsidRPr="00C468E4" w:rsidR="00945838" w:rsidP="00945838" w:rsidRDefault="00945838" w14:paraId="2A7BAE2C" w14:textId="77777777"/>
    <w:p w:rsidRPr="00C468E4" w:rsidR="00945838" w:rsidP="00FB4CD8" w:rsidRDefault="00945838" w14:paraId="65D5891A" w14:textId="77777777">
      <w:pPr>
        <w:ind w:left="2160"/>
      </w:pPr>
      <w:r w:rsidRPr="00C468E4">
        <w:t>(ii) The customer demonstrates financial need, including through enrollment in the California Alternate Rates for Energy program created pursuant to Section 739.1.</w:t>
      </w:r>
    </w:p>
    <w:p w:rsidRPr="00C468E4" w:rsidR="00945838" w:rsidP="00945838" w:rsidRDefault="00945838" w14:paraId="4BF99059" w14:textId="77777777"/>
    <w:p w:rsidRPr="00C468E4" w:rsidR="00945838" w:rsidP="00FB4CD8" w:rsidRDefault="00945838" w14:paraId="4023815F" w14:textId="77777777">
      <w:pPr>
        <w:ind w:left="2160"/>
      </w:pPr>
      <w:r w:rsidRPr="00C468E4">
        <w:t>(iii) The customer is not eligible for backup electrical resources provided through medical services, medical insurance, or community resources.</w:t>
      </w:r>
    </w:p>
    <w:p w:rsidRPr="00C468E4" w:rsidR="00945838" w:rsidP="00945838" w:rsidRDefault="00945838" w14:paraId="2D26E797" w14:textId="77777777"/>
    <w:p w:rsidRPr="00C468E4" w:rsidR="00945838" w:rsidP="00FB4CD8" w:rsidRDefault="00945838" w14:paraId="488F49AC" w14:textId="77777777">
      <w:pPr>
        <w:ind w:left="1440"/>
      </w:pPr>
      <w:r w:rsidRPr="00C468E4">
        <w:t>(D) Subparagraph (C) shall not be construed as preventing an electrical corporation from deploying backup electrical resources or providing financial assistance for backup electrical resources under any other authority.</w:t>
      </w:r>
    </w:p>
    <w:p w:rsidRPr="00C468E4" w:rsidR="00945838" w:rsidP="00FB4CD8" w:rsidRDefault="00945838" w14:paraId="6B6F1C85" w14:textId="77777777">
      <w:pPr>
        <w:ind w:left="720"/>
      </w:pPr>
      <w:r w:rsidRPr="00C468E4">
        <w:lastRenderedPageBreak/>
        <w:t>(7)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infrastructure with premises within the footprint of potential deenergization for a given event.</w:t>
      </w:r>
    </w:p>
    <w:p w:rsidRPr="00C468E4" w:rsidR="00945838" w:rsidP="00945838" w:rsidRDefault="00945838" w14:paraId="20A61C3F" w14:textId="77777777"/>
    <w:p w:rsidRPr="00C468E4" w:rsidR="00945838" w:rsidP="00FB4CD8" w:rsidRDefault="00945838" w14:paraId="1F964F2A" w14:textId="77777777">
      <w:pPr>
        <w:ind w:left="720"/>
      </w:pPr>
      <w:r w:rsidRPr="00C468E4">
        <w:t>(8) Plans for vegetation management.</w:t>
      </w:r>
    </w:p>
    <w:p w:rsidRPr="00C468E4" w:rsidR="00945838" w:rsidP="00FB4CD8" w:rsidRDefault="00945838" w14:paraId="6467D386" w14:textId="77777777">
      <w:pPr>
        <w:ind w:left="720"/>
      </w:pPr>
    </w:p>
    <w:p w:rsidRPr="00C468E4" w:rsidR="00945838" w:rsidP="00FB4CD8" w:rsidRDefault="00945838" w14:paraId="7E2AB0A4" w14:textId="77777777">
      <w:pPr>
        <w:ind w:left="720"/>
      </w:pPr>
      <w:r w:rsidRPr="00C468E4">
        <w:t>(9) Plans for inspections of the electrical corporation’s electrical infrastructure.</w:t>
      </w:r>
    </w:p>
    <w:p w:rsidRPr="00C468E4" w:rsidR="00945838" w:rsidP="00FB4CD8" w:rsidRDefault="00945838" w14:paraId="46C7722C" w14:textId="77777777">
      <w:pPr>
        <w:ind w:left="720"/>
      </w:pPr>
    </w:p>
    <w:p w:rsidRPr="00C468E4" w:rsidR="00945838" w:rsidP="00FB4CD8" w:rsidRDefault="00945838" w14:paraId="6C73DFB8" w14:textId="77777777">
      <w:pPr>
        <w:ind w:left="720"/>
      </w:pPr>
      <w:r w:rsidRPr="00C468E4">
        <w:t>(10) Protocols for the deenergization of the electrical corporation’s transmission infrastructure, for instances when the deenergization may impact customers who, or entities that, are dependent upon the infrastructure.</w:t>
      </w:r>
    </w:p>
    <w:p w:rsidRPr="00C468E4" w:rsidR="00945838" w:rsidP="00FB4CD8" w:rsidRDefault="00945838" w14:paraId="345A789A" w14:textId="77777777">
      <w:pPr>
        <w:ind w:left="720"/>
      </w:pPr>
    </w:p>
    <w:p w:rsidRPr="00C468E4" w:rsidR="00945838" w:rsidP="00FB4CD8" w:rsidRDefault="00945838" w14:paraId="0DD16F02" w14:textId="77777777">
      <w:pPr>
        <w:ind w:left="720"/>
      </w:pPr>
      <w:r w:rsidRPr="00C468E4">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C468E4" w:rsidR="00945838" w:rsidP="00945838" w:rsidRDefault="00945838" w14:paraId="369C6902" w14:textId="77777777"/>
    <w:p w:rsidRPr="00C468E4" w:rsidR="00945838" w:rsidP="00FB4CD8" w:rsidRDefault="00945838" w14:paraId="29753DEE" w14:textId="77777777">
      <w:pPr>
        <w:ind w:left="1440"/>
      </w:pPr>
      <w:r w:rsidRPr="00C468E4">
        <w:t>(A) Risks and risk drivers associated with design, construction, operations, and maintenance of the electrical corporation’s equipment and facilities.</w:t>
      </w:r>
    </w:p>
    <w:p w:rsidRPr="00C468E4" w:rsidR="00945838" w:rsidP="00FB4CD8" w:rsidRDefault="00945838" w14:paraId="11D5A2E3" w14:textId="77777777">
      <w:pPr>
        <w:ind w:left="1440"/>
      </w:pPr>
    </w:p>
    <w:p w:rsidRPr="00C468E4" w:rsidR="00945838" w:rsidP="00FB4CD8" w:rsidRDefault="00945838" w14:paraId="4BD6A69F" w14:textId="77777777">
      <w:pPr>
        <w:ind w:left="1440"/>
      </w:pPr>
      <w:r w:rsidRPr="00C468E4">
        <w:t>(B) Particular risks and risk drivers associated with topographic and climatological risk factors throughout the different parts of the electrical corporation’s service territory.</w:t>
      </w:r>
    </w:p>
    <w:p w:rsidRPr="00C468E4" w:rsidR="00945838" w:rsidP="00945838" w:rsidRDefault="00945838" w14:paraId="04C2F888" w14:textId="77777777"/>
    <w:p w:rsidRPr="00C468E4" w:rsidR="00945838" w:rsidP="00FB4CD8" w:rsidRDefault="00945838" w14:paraId="46C539EB" w14:textId="77777777">
      <w:pPr>
        <w:ind w:left="720"/>
      </w:pPr>
      <w:r w:rsidRPr="00C468E4">
        <w:t>(12) A description of how the plan accounts for the wildfire risk identified in the electrical corporation’s Risk Assessment Mitigation Phase filing.</w:t>
      </w:r>
    </w:p>
    <w:p w:rsidRPr="00C468E4" w:rsidR="00945838" w:rsidP="00FB4CD8" w:rsidRDefault="00945838" w14:paraId="174BD546" w14:textId="77777777">
      <w:pPr>
        <w:ind w:left="720"/>
      </w:pPr>
    </w:p>
    <w:p w:rsidRPr="00C468E4" w:rsidR="00945838" w:rsidP="00FB4CD8" w:rsidRDefault="00945838" w14:paraId="53419D4B" w14:textId="77777777">
      <w:pPr>
        <w:ind w:left="720"/>
      </w:pPr>
      <w:r w:rsidRPr="00C468E4">
        <w:t xml:space="preserve">(13)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w:t>
      </w:r>
      <w:r w:rsidRPr="00C468E4">
        <w:lastRenderedPageBreak/>
        <w:t>engineering, system design, standards, equipment, and facilities, such as undergrounding, insulating of distribution wires, and replacing poles.</w:t>
      </w:r>
    </w:p>
    <w:p w:rsidRPr="00C468E4" w:rsidR="00945838" w:rsidP="00FB4CD8" w:rsidRDefault="00945838" w14:paraId="173C2F4C" w14:textId="77777777">
      <w:pPr>
        <w:ind w:left="720"/>
      </w:pPr>
    </w:p>
    <w:p w:rsidRPr="00C468E4" w:rsidR="00945838" w:rsidP="00FB4CD8" w:rsidRDefault="00945838" w14:paraId="7AEF4368" w14:textId="77777777">
      <w:pPr>
        <w:ind w:left="720"/>
      </w:pPr>
      <w:r w:rsidRPr="00C468E4">
        <w:t>(14) A description of where and how the electrical corporation considered undergrounding electrical distribution lines within those areas of its service territory identified to have the highest wildfire risk in a commission fire threat map.</w:t>
      </w:r>
    </w:p>
    <w:p w:rsidRPr="00C468E4" w:rsidR="00945838" w:rsidP="00FB4CD8" w:rsidRDefault="00945838" w14:paraId="47F9F3F4" w14:textId="77777777">
      <w:pPr>
        <w:ind w:left="720"/>
      </w:pPr>
    </w:p>
    <w:p w:rsidRPr="00C468E4" w:rsidR="00945838" w:rsidP="00FB4CD8" w:rsidRDefault="00945838" w14:paraId="5B10A531" w14:textId="77777777">
      <w:pPr>
        <w:ind w:left="720"/>
      </w:pPr>
      <w:r w:rsidRPr="00C468E4">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C468E4" w:rsidR="00945838" w:rsidP="00FB4CD8" w:rsidRDefault="00945838" w14:paraId="289E2291" w14:textId="77777777">
      <w:pPr>
        <w:ind w:left="720"/>
      </w:pPr>
    </w:p>
    <w:p w:rsidRPr="00C468E4" w:rsidR="00945838" w:rsidP="00FB4CD8" w:rsidRDefault="00945838" w14:paraId="55A0DF61" w14:textId="77777777">
      <w:pPr>
        <w:ind w:left="720"/>
      </w:pPr>
      <w:r w:rsidRPr="00C468E4">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C468E4" w:rsidR="00945838" w:rsidP="00FB4CD8" w:rsidRDefault="00945838" w14:paraId="17A669C0" w14:textId="77777777">
      <w:pPr>
        <w:ind w:left="720"/>
      </w:pPr>
    </w:p>
    <w:p w:rsidRPr="00C468E4" w:rsidR="00945838" w:rsidP="00FB4CD8" w:rsidRDefault="00945838" w14:paraId="6633B899" w14:textId="7BE3F1FF">
      <w:pPr>
        <w:ind w:left="720"/>
      </w:pPr>
      <w:r w:rsidRPr="00C468E4">
        <w:t xml:space="preserve">(17) A methodology for identifying and presenting </w:t>
      </w:r>
      <w:r w:rsidRPr="00C468E4" w:rsidR="008F4D10">
        <w:t>enterprise-wide</w:t>
      </w:r>
      <w:r w:rsidRPr="00C468E4">
        <w:t xml:space="preserve"> safety risk and wildfire-related risk that is consistent with the methodology used by other electrical corporations unless the commission determines otherwise.</w:t>
      </w:r>
    </w:p>
    <w:p w:rsidRPr="00C468E4" w:rsidR="00945838" w:rsidP="00FB4CD8" w:rsidRDefault="00945838" w14:paraId="693DBB38" w14:textId="77777777">
      <w:pPr>
        <w:ind w:left="720"/>
      </w:pPr>
    </w:p>
    <w:p w:rsidRPr="00C468E4" w:rsidR="00945838" w:rsidP="00FB4CD8" w:rsidRDefault="00945838" w14:paraId="004433EE" w14:textId="77777777">
      <w:pPr>
        <w:ind w:left="720"/>
      </w:pPr>
      <w:r w:rsidRPr="00C468E4">
        <w:t>(18) A description of how the plan is consistent with the electrical corporation’s disaster and emergency preparedness plan prepared pursuant to Section 768.6, including both of the following:</w:t>
      </w:r>
    </w:p>
    <w:p w:rsidRPr="00C468E4" w:rsidR="00945838" w:rsidP="00945838" w:rsidRDefault="00945838" w14:paraId="5388EA1B" w14:textId="77777777"/>
    <w:p w:rsidRPr="00C468E4" w:rsidR="00945838" w:rsidP="00FB4CD8" w:rsidRDefault="00945838" w14:paraId="4689F3F0" w14:textId="77777777">
      <w:pPr>
        <w:ind w:left="1440"/>
      </w:pPr>
      <w:r w:rsidRPr="00C468E4">
        <w:t>(A) Plans to prepare for, and to restore service after, a wildfire, including workforce mobilization and prepositioning equipment and employees.</w:t>
      </w:r>
    </w:p>
    <w:p w:rsidRPr="00C468E4" w:rsidR="00945838" w:rsidP="00FB4CD8" w:rsidRDefault="00945838" w14:paraId="35601627" w14:textId="77777777">
      <w:pPr>
        <w:ind w:left="1440"/>
      </w:pPr>
    </w:p>
    <w:p w:rsidRPr="00C468E4" w:rsidR="00945838" w:rsidP="00FB4CD8" w:rsidRDefault="00945838" w14:paraId="423EB973" w14:textId="77777777">
      <w:pPr>
        <w:ind w:left="1440"/>
      </w:pPr>
      <w:r w:rsidRPr="00C468E4">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C468E4" w:rsidR="00945838" w:rsidP="00945838" w:rsidRDefault="00945838" w14:paraId="7B5D3E1A" w14:textId="77777777"/>
    <w:p w:rsidRPr="00C468E4" w:rsidR="00945838" w:rsidP="00FB4CD8" w:rsidRDefault="00945838" w14:paraId="432456AB" w14:textId="77777777">
      <w:pPr>
        <w:ind w:left="720"/>
      </w:pPr>
      <w:r w:rsidRPr="00C468E4">
        <w:lastRenderedPageBreak/>
        <w:t>(19) A statement of how the electrical corporation will restore service after a wildfire.</w:t>
      </w:r>
    </w:p>
    <w:p w:rsidRPr="00C468E4" w:rsidR="00945838" w:rsidP="00FB4CD8" w:rsidRDefault="00945838" w14:paraId="641DB543" w14:textId="77777777">
      <w:pPr>
        <w:ind w:left="720"/>
      </w:pPr>
    </w:p>
    <w:p w:rsidRPr="00C468E4" w:rsidR="00945838" w:rsidP="00FB4CD8" w:rsidRDefault="00945838" w14:paraId="62BFAEB1" w14:textId="77777777">
      <w:pPr>
        <w:ind w:left="720"/>
      </w:pPr>
      <w:r w:rsidRPr="00C468E4">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C468E4" w:rsidR="00945838" w:rsidP="00FB4CD8" w:rsidRDefault="00945838" w14:paraId="6E9DB6F5" w14:textId="77777777">
      <w:pPr>
        <w:ind w:left="720"/>
      </w:pPr>
    </w:p>
    <w:p w:rsidRPr="00C468E4" w:rsidR="00945838" w:rsidP="00FB4CD8" w:rsidRDefault="00945838" w14:paraId="3380BC1B" w14:textId="77777777">
      <w:pPr>
        <w:ind w:left="720"/>
      </w:pPr>
      <w:r w:rsidRPr="00C468E4">
        <w:t>(21) A description of the processes and procedures the electrical corporation will use to do all of the following:</w:t>
      </w:r>
    </w:p>
    <w:p w:rsidRPr="00C468E4" w:rsidR="00945838" w:rsidP="00945838" w:rsidRDefault="00945838" w14:paraId="6CBD2F3F" w14:textId="77777777"/>
    <w:p w:rsidRPr="00C468E4" w:rsidR="00945838" w:rsidP="00FB4CD8" w:rsidRDefault="00945838" w14:paraId="30CA831E" w14:textId="77777777">
      <w:pPr>
        <w:ind w:left="1440"/>
      </w:pPr>
      <w:r w:rsidRPr="00C468E4">
        <w:t>(A) Monitor and audit the implementation of the plan.</w:t>
      </w:r>
    </w:p>
    <w:p w:rsidRPr="00C468E4" w:rsidR="00945838" w:rsidP="00FB4CD8" w:rsidRDefault="00945838" w14:paraId="6414D9DB" w14:textId="77777777">
      <w:pPr>
        <w:ind w:left="1440"/>
      </w:pPr>
    </w:p>
    <w:p w:rsidRPr="00C468E4" w:rsidR="00945838" w:rsidP="00FB4CD8" w:rsidRDefault="00945838" w14:paraId="0EF69D19" w14:textId="77777777">
      <w:pPr>
        <w:ind w:left="1440"/>
      </w:pPr>
      <w:r w:rsidRPr="00C468E4">
        <w:t>(B) Identify any deficiencies in the plan or the plan’s implementation and correct those deficiencies.</w:t>
      </w:r>
    </w:p>
    <w:p w:rsidRPr="00C468E4" w:rsidR="00945838" w:rsidP="00FB4CD8" w:rsidRDefault="00945838" w14:paraId="25F58932" w14:textId="77777777">
      <w:pPr>
        <w:ind w:left="1440"/>
      </w:pPr>
    </w:p>
    <w:p w:rsidRPr="00C468E4" w:rsidR="00945838" w:rsidP="00FB4CD8" w:rsidRDefault="00945838" w14:paraId="579D1715" w14:textId="77777777">
      <w:pPr>
        <w:ind w:left="1440"/>
      </w:pPr>
      <w:r w:rsidRPr="00C468E4">
        <w:t>(C) Monitor and audit the effectiveness of electrical line and equipment inspections, including inspections performed by contractors, carried out under the plan and other applicable statutes and commission rules.</w:t>
      </w:r>
    </w:p>
    <w:p w:rsidRPr="00C468E4" w:rsidR="00945838" w:rsidP="00945838" w:rsidRDefault="00945838" w14:paraId="408B6B41" w14:textId="77777777"/>
    <w:p w:rsidRPr="00C468E4" w:rsidR="00945838" w:rsidP="00FB4CD8" w:rsidRDefault="00945838" w14:paraId="3F9E624C" w14:textId="77777777">
      <w:pPr>
        <w:ind w:firstLine="720"/>
      </w:pPr>
      <w:r w:rsidRPr="00C468E4">
        <w:t>(22) Any other information that the Wildfire Safety Division may require.</w:t>
      </w:r>
    </w:p>
    <w:p w:rsidRPr="00C468E4" w:rsidR="00945838" w:rsidP="00945838" w:rsidRDefault="00945838" w14:paraId="3A2DD49A" w14:textId="77777777"/>
    <w:p w:rsidRPr="00C468E4" w:rsidR="00945838" w:rsidP="00945838" w:rsidRDefault="00945838" w14:paraId="0B41ED5E" w14:textId="77777777">
      <w:r w:rsidRPr="00C468E4">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C468E4" w:rsidR="00267AE6" w:rsidP="00945838" w:rsidRDefault="00267AE6" w14:paraId="3A1219A0" w14:textId="77777777"/>
    <w:p w:rsidR="00E56837" w:rsidP="00945838" w:rsidRDefault="00945838" w14:paraId="1F533531" w14:textId="77777777">
      <w:pPr>
        <w:sectPr w:rsidR="00E56837" w:rsidSect="003B4C1D">
          <w:footerReference w:type="default" r:id="rId20"/>
          <w:pgSz w:w="12240" w:h="15840"/>
          <w:pgMar w:top="1440" w:right="1440" w:bottom="1440" w:left="1440" w:header="720" w:footer="720" w:gutter="0"/>
          <w:pgNumType w:start="1"/>
          <w:cols w:space="720"/>
          <w:docGrid w:linePitch="354"/>
        </w:sectPr>
      </w:pPr>
      <w:r w:rsidRPr="00C468E4">
        <w:t xml:space="preserve">(Amended by Stats. 2020, Ch. 370, Sec. 256. </w:t>
      </w:r>
      <w:r w:rsidRPr="00C468E4" w:rsidR="006F3116">
        <w:t>[</w:t>
      </w:r>
      <w:r w:rsidRPr="00C468E4">
        <w:t>SB 1371</w:t>
      </w:r>
      <w:r w:rsidRPr="00C468E4" w:rsidR="006F3116">
        <w:t>]</w:t>
      </w:r>
      <w:r w:rsidRPr="00C468E4">
        <w:t xml:space="preserve"> Effective January 1, 2021.)</w:t>
      </w:r>
    </w:p>
    <w:p w:rsidR="003A18A0" w:rsidRDefault="003A18A0" w14:paraId="339518FF" w14:textId="77777777"/>
    <w:p w:rsidR="003A18A0" w:rsidRDefault="003A18A0" w14:paraId="09587E94" w14:textId="77777777"/>
    <w:p w:rsidR="003A18A0" w:rsidRDefault="003A18A0" w14:paraId="501C190B" w14:textId="77777777"/>
    <w:p w:rsidR="003A18A0" w:rsidRDefault="003A18A0" w14:paraId="60BBB3D4" w14:textId="77777777"/>
    <w:p w:rsidR="00C12319" w:rsidRDefault="008C4349" w14:paraId="55F9143E" w14:textId="60F98DA4">
      <w:r>
        <w:t xml:space="preserve">Attachment 1: </w:t>
      </w:r>
    </w:p>
    <w:p w:rsidR="00C12319" w:rsidRDefault="0087418A" w14:paraId="4F8A6836" w14:textId="77777777">
      <w:hyperlink w:history="1" r:id="rId21">
        <w:r w:rsidRPr="00CB1292" w:rsidR="008C4349">
          <w:rPr>
            <w:rStyle w:val="Hyperlink"/>
            <w:color w:val="2F5496" w:themeColor="accent1" w:themeShade="BF"/>
          </w:rPr>
          <w:t>WSD-019 Action Statement SDGE_2021WMP</w:t>
        </w:r>
      </w:hyperlink>
    </w:p>
    <w:sectPr w:rsidR="00C12319" w:rsidSect="003B4C1D">
      <w:pgSz w:w="12240" w:h="15840"/>
      <w:pgMar w:top="1440" w:right="1440" w:bottom="1440" w:left="1440" w:header="720" w:footer="720" w:gutter="0"/>
      <w:pgNumType w:start="1"/>
      <w:cols w:space="720"/>
      <w:docGrid w:linePitch="354"/>
    </w:sectPr>
    <w:p>
      <w:r>
        <w:t xml:space="preserve"/>
      </w:r>
    </w:p>
    <w:p>
      <w:r>
        <w:t xml:space="preserve">Attachment 1: </w:t>
      </w:r>
    </w:p>
    <w:p>
      <w:hyperlink w:history="true" r:id="Rcd7726e4269c49d8">
        <w:r w:rsidRPr="00CB1292">
          <w:rPr>
            <w:rStyle w:val="Hyperlink"/>
            <w:color w:val="2E74B5" w:themeColor="accent1" w:themeShade="BF"/>
            <w:u w:val="single"/>
          </w:rPr>
          <w:t>SDGE 2021 WMP Action Statement.pdf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57FC" w14:textId="77777777" w:rsidR="0087418A" w:rsidRDefault="0087418A" w:rsidP="0098138E">
      <w:r>
        <w:separator/>
      </w:r>
    </w:p>
  </w:endnote>
  <w:endnote w:type="continuationSeparator" w:id="0">
    <w:p w14:paraId="337FBF61" w14:textId="77777777" w:rsidR="0087418A" w:rsidRDefault="0087418A" w:rsidP="0098138E">
      <w:r>
        <w:continuationSeparator/>
      </w:r>
    </w:p>
  </w:endnote>
  <w:endnote w:type="continuationNotice" w:id="1">
    <w:p w14:paraId="43B74DF0" w14:textId="77777777" w:rsidR="0087418A" w:rsidRDefault="00874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BFC0" w14:textId="77777777" w:rsidR="0023454B" w:rsidRDefault="00234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8C25" w14:textId="460CC739" w:rsidR="00E56837" w:rsidRDefault="00E56837" w:rsidP="00835935">
    <w:pPr>
      <w:pStyle w:val="Footer"/>
      <w:jc w:val="center"/>
    </w:pPr>
    <w:r>
      <w:t xml:space="preserve">- </w:t>
    </w:r>
    <w:sdt>
      <w:sdtPr>
        <w:rPr>
          <w:color w:val="2B579A"/>
          <w:shd w:val="clear" w:color="auto" w:fill="E6E6E6"/>
        </w:rPr>
        <w:id w:val="-864832729"/>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37</w:t>
        </w:r>
        <w:r>
          <w:rPr>
            <w:noProof/>
            <w:color w:val="2B579A"/>
            <w:shd w:val="clear" w:color="auto" w:fill="E6E6E6"/>
          </w:rPr>
          <w:fldChar w:fldCharType="end"/>
        </w:r>
      </w:sdtContent>
    </w:sdt>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FCB3" w14:textId="5BE5F25D" w:rsidR="00E56837" w:rsidRDefault="0023454B" w:rsidP="007731BF">
    <w:pPr>
      <w:pStyle w:val="Footer"/>
    </w:pPr>
    <w:r>
      <w:t>394251509</w:t>
    </w:r>
    <w:r w:rsidR="00D67055" w:rsidRPr="00D67055">
      <w:t xml:space="preserve"> </w:t>
    </w:r>
    <w:r w:rsidR="00E56837">
      <w:tab/>
    </w:r>
    <w:r w:rsidR="00E56837" w:rsidRPr="007731BF">
      <w:t xml:space="preserve"> </w:t>
    </w:r>
    <w:r w:rsidR="00E56837">
      <w:t xml:space="preserve">- </w:t>
    </w:r>
    <w:sdt>
      <w:sdtPr>
        <w:rPr>
          <w:color w:val="2B579A"/>
          <w:shd w:val="clear" w:color="auto" w:fill="E6E6E6"/>
        </w:rPr>
        <w:id w:val="1660419500"/>
        <w:docPartObj>
          <w:docPartGallery w:val="Page Numbers (Bottom of Page)"/>
          <w:docPartUnique/>
        </w:docPartObj>
      </w:sdtPr>
      <w:sdtEndPr>
        <w:rPr>
          <w:noProof/>
          <w:color w:val="auto"/>
          <w:shd w:val="clear" w:color="auto" w:fill="auto"/>
        </w:rPr>
      </w:sdtEndPr>
      <w:sdtContent>
        <w:r w:rsidR="00E56837">
          <w:rPr>
            <w:color w:val="2B579A"/>
            <w:shd w:val="clear" w:color="auto" w:fill="E6E6E6"/>
          </w:rPr>
          <w:fldChar w:fldCharType="begin"/>
        </w:r>
        <w:r w:rsidR="00E56837">
          <w:instrText xml:space="preserve"> PAGE   \* MERGEFORMAT </w:instrText>
        </w:r>
        <w:r w:rsidR="00E56837">
          <w:rPr>
            <w:color w:val="2B579A"/>
            <w:shd w:val="clear" w:color="auto" w:fill="E6E6E6"/>
          </w:rPr>
          <w:fldChar w:fldCharType="separate"/>
        </w:r>
        <w:r w:rsidR="00E56837">
          <w:rPr>
            <w:noProof/>
          </w:rPr>
          <w:t>i</w:t>
        </w:r>
        <w:r w:rsidR="00E56837">
          <w:rPr>
            <w:noProof/>
            <w:color w:val="2B579A"/>
            <w:shd w:val="clear" w:color="auto" w:fill="E6E6E6"/>
          </w:rPr>
          <w:fldChar w:fldCharType="end"/>
        </w:r>
      </w:sdtContent>
    </w:sdt>
    <w:r w:rsidR="00E56837">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6FE" w14:textId="2DDE3803" w:rsidR="00E56837" w:rsidRDefault="00E56837" w:rsidP="00835935">
    <w:pPr>
      <w:pStyle w:val="Footer"/>
      <w:jc w:val="center"/>
    </w:pPr>
    <w:r w:rsidRPr="00253772">
      <w:t xml:space="preserve">- Appendix </w:t>
    </w:r>
    <w:r>
      <w:t>A</w:t>
    </w:r>
    <w:r w:rsidRPr="00253772">
      <w:t>-1 -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3B13" w14:textId="50D25737" w:rsidR="00E56837" w:rsidRDefault="00E56837" w:rsidP="008359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7599" w14:textId="77777777" w:rsidR="0087418A" w:rsidRDefault="0087418A" w:rsidP="00DF58E7">
      <w:r>
        <w:separator/>
      </w:r>
    </w:p>
  </w:footnote>
  <w:footnote w:type="continuationSeparator" w:id="0">
    <w:p w14:paraId="169208AB" w14:textId="77777777" w:rsidR="0087418A" w:rsidRDefault="0087418A" w:rsidP="00DF58E7">
      <w:r>
        <w:continuationSeparator/>
      </w:r>
    </w:p>
  </w:footnote>
  <w:footnote w:type="continuationNotice" w:id="1">
    <w:p w14:paraId="28A491BF" w14:textId="77777777" w:rsidR="0087418A" w:rsidRPr="00DF58E7" w:rsidRDefault="0087418A" w:rsidP="00DF58E7">
      <w:pPr>
        <w:jc w:val="right"/>
        <w:rPr>
          <w:i/>
          <w:sz w:val="22"/>
        </w:rPr>
      </w:pPr>
      <w:r w:rsidRPr="00DF58E7">
        <w:rPr>
          <w:i/>
          <w:sz w:val="22"/>
        </w:rPr>
        <w:t>Footnote continued on next page.</w:t>
      </w:r>
    </w:p>
  </w:footnote>
  <w:footnote w:id="2">
    <w:p w14:paraId="461D7F41" w14:textId="522DCE15" w:rsidR="00E56837" w:rsidRDefault="00E56837">
      <w:pPr>
        <w:pStyle w:val="FootnoteText"/>
      </w:pPr>
      <w:r>
        <w:rPr>
          <w:rStyle w:val="FootnoteReference"/>
        </w:rPr>
        <w:footnoteRef/>
      </w:r>
      <w:r>
        <w:t xml:space="preserve"> </w:t>
      </w:r>
      <w:r w:rsidRPr="00997E2A">
        <w:t>Because the WSD transition</w:t>
      </w:r>
      <w:r>
        <w:t>ed</w:t>
      </w:r>
      <w:r w:rsidRPr="00997E2A">
        <w:t xml:space="preserve"> to the Office of Energy Infrastructure Safety (Energy Safety) on July 1, 2021, any references herein to WSD actions that post-date this transition should be interpreted as actions </w:t>
      </w:r>
      <w:r w:rsidRPr="00975F59">
        <w:t xml:space="preserve">taken by Energy Safety or </w:t>
      </w:r>
      <w:r w:rsidRPr="00997E2A">
        <w:t>for which Energy Safety will take responsibility. Section 10 of th</w:t>
      </w:r>
      <w:r>
        <w:t>is</w:t>
      </w:r>
      <w:r w:rsidRPr="00997E2A">
        <w:t xml:space="preserve"> Resolution provides further detail on the transition of the WSD to Energy Safety.</w:t>
      </w:r>
    </w:p>
  </w:footnote>
  <w:footnote w:id="3">
    <w:p w14:paraId="4618E3DD" w14:textId="441BA9A0" w:rsidR="00E56837" w:rsidRDefault="00E56837">
      <w:pPr>
        <w:pStyle w:val="FootnoteText"/>
      </w:pPr>
      <w:r>
        <w:rPr>
          <w:rStyle w:val="FootnoteReference"/>
        </w:rPr>
        <w:footnoteRef/>
      </w:r>
      <w:r>
        <w:t xml:space="preserve"> SDG&amp;E WMP Update Table 3-1, p. 7 (for actual 2020 costs, planned costs for 2021 and full WMP cycle); </w:t>
      </w:r>
      <w:r w:rsidRPr="00FB392A">
        <w:t xml:space="preserve">Question 1 of data request </w:t>
      </w:r>
      <w:r w:rsidRPr="00CC1278">
        <w:t>WSD-SDGE-01</w:t>
      </w:r>
      <w:r w:rsidRPr="00FB4CD8">
        <w:t xml:space="preserve"> </w:t>
      </w:r>
      <w:r>
        <w:t>and SDG&amp;E’s 2020 WMP (for proposed 2020 costs)</w:t>
      </w:r>
    </w:p>
  </w:footnote>
  <w:footnote w:id="4">
    <w:p w14:paraId="5A0F438B" w14:textId="7B0ED01A" w:rsidR="00E56837" w:rsidRDefault="00E56837">
      <w:pPr>
        <w:pStyle w:val="FootnoteText"/>
      </w:pPr>
      <w:r>
        <w:rPr>
          <w:rStyle w:val="FootnoteReference"/>
        </w:rPr>
        <w:footnoteRef/>
      </w:r>
      <w:r>
        <w:t xml:space="preserve"> Stats of 2019, Ch. 79.</w:t>
      </w:r>
    </w:p>
  </w:footnote>
  <w:footnote w:id="5">
    <w:p w14:paraId="60236866" w14:textId="6047D3FC" w:rsidR="00E56837" w:rsidRDefault="00E56837">
      <w:pPr>
        <w:pStyle w:val="FootnoteText"/>
      </w:pPr>
      <w:r>
        <w:rPr>
          <w:rStyle w:val="FootnoteReference"/>
        </w:rPr>
        <w:footnoteRef/>
      </w:r>
      <w:r>
        <w:t xml:space="preserve"> The Commission adopted Resolution WSD-011 on November 19, 2020.</w:t>
      </w:r>
    </w:p>
  </w:footnote>
  <w:footnote w:id="6">
    <w:p w14:paraId="30167773" w14:textId="4704D27F" w:rsidR="00E56837" w:rsidRDefault="00E56837">
      <w:pPr>
        <w:pStyle w:val="FootnoteText"/>
      </w:pPr>
      <w:r>
        <w:rPr>
          <w:rStyle w:val="FootnoteReference"/>
        </w:rPr>
        <w:footnoteRef/>
      </w:r>
      <w:r>
        <w:t xml:space="preserve"> Stats of 2019, Ch 626.</w:t>
      </w:r>
    </w:p>
  </w:footnote>
  <w:footnote w:id="7">
    <w:p w14:paraId="32F9D0BB" w14:textId="25D6E4D8" w:rsidR="00E56837" w:rsidRDefault="00E56837">
      <w:pPr>
        <w:pStyle w:val="FootnoteText"/>
      </w:pPr>
      <w:r>
        <w:rPr>
          <w:rStyle w:val="FootnoteReference"/>
        </w:rPr>
        <w:footnoteRef/>
      </w:r>
      <w:r>
        <w:t xml:space="preserve"> Stats of 2019, Ch 81.</w:t>
      </w:r>
    </w:p>
  </w:footnote>
  <w:footnote w:id="8">
    <w:p w14:paraId="3C74F6AC" w14:textId="12E1C7FF" w:rsidR="00E56837" w:rsidRPr="00E97A78" w:rsidRDefault="00E56837" w:rsidP="001A1B63">
      <w:pPr>
        <w:pStyle w:val="FootnoteText"/>
      </w:pPr>
      <w:r w:rsidRPr="00E97A78">
        <w:rPr>
          <w:rStyle w:val="FootnoteReference"/>
        </w:rPr>
        <w:footnoteRef/>
      </w:r>
      <w:r w:rsidRPr="00E97A78">
        <w:t xml:space="preserve"> Decisions 19-05-036, </w:t>
      </w:r>
      <w:r w:rsidRPr="00F3455B">
        <w:t>-</w:t>
      </w:r>
      <w:r w:rsidRPr="00E97A78">
        <w:t xml:space="preserve">037, </w:t>
      </w:r>
      <w:r w:rsidRPr="00F3455B">
        <w:t>-</w:t>
      </w:r>
      <w:r w:rsidRPr="00E97A78">
        <w:t xml:space="preserve">038, </w:t>
      </w:r>
      <w:r w:rsidRPr="00F3455B">
        <w:t>-</w:t>
      </w:r>
      <w:r w:rsidRPr="00E97A78">
        <w:t xml:space="preserve">039, </w:t>
      </w:r>
      <w:r w:rsidRPr="00F3455B">
        <w:t>-</w:t>
      </w:r>
      <w:r w:rsidRPr="00E97A78">
        <w:t>040</w:t>
      </w:r>
      <w:r>
        <w:t>,</w:t>
      </w:r>
      <w:r w:rsidRPr="00E97A78">
        <w:t xml:space="preserve"> and </w:t>
      </w:r>
      <w:r w:rsidRPr="00F3455B">
        <w:t>-</w:t>
      </w:r>
      <w:r w:rsidRPr="00E97A78">
        <w:t>041 (May 30, 2019).</w:t>
      </w:r>
    </w:p>
  </w:footnote>
  <w:footnote w:id="9">
    <w:p w14:paraId="6E27EBAA" w14:textId="77777777" w:rsidR="00E56837" w:rsidRPr="00E97A78" w:rsidRDefault="00E56837" w:rsidP="001A1B63">
      <w:pPr>
        <w:pStyle w:val="FootnoteText"/>
      </w:pPr>
      <w:r w:rsidRPr="00E97A78">
        <w:rPr>
          <w:rStyle w:val="FootnoteReference"/>
        </w:rPr>
        <w:footnoteRef/>
      </w:r>
      <w:r w:rsidRPr="00E97A78">
        <w:t xml:space="preserve"> Pub. Util. Code § 8386.3 (Wildfire Safety Division), § 326.1 (Wildfire Safety Advisory Board).</w:t>
      </w:r>
    </w:p>
  </w:footnote>
  <w:footnote w:id="10">
    <w:p w14:paraId="0C88C808" w14:textId="33A59CAC" w:rsidR="00E56837" w:rsidRPr="00E97A78" w:rsidRDefault="00E56837" w:rsidP="001A1B63">
      <w:pPr>
        <w:pStyle w:val="FootnoteText"/>
      </w:pPr>
      <w:r w:rsidRPr="00E97A78">
        <w:rPr>
          <w:rStyle w:val="FootnoteReference"/>
        </w:rPr>
        <w:footnoteRef/>
      </w:r>
      <w:r w:rsidRPr="00E97A78">
        <w:t xml:space="preserve"> A ruling issued on December 19, 2019</w:t>
      </w:r>
      <w:r>
        <w:t>,</w:t>
      </w:r>
      <w:r w:rsidRPr="00E97A78">
        <w:t xml:space="preserve"> in proceeding R.18-10-007 described and attached all of the material</w:t>
      </w:r>
      <w:r>
        <w:t>s</w:t>
      </w:r>
      <w:r w:rsidRPr="00E97A78">
        <w:t xml:space="preserve"> electrical corporations were required to use in submitting their 2020 WMPs.</w:t>
      </w:r>
    </w:p>
  </w:footnote>
  <w:footnote w:id="11">
    <w:p w14:paraId="766E8457" w14:textId="442B8E5E" w:rsidR="00E56837" w:rsidRPr="00E97A78" w:rsidRDefault="00E56837" w:rsidP="001A1B63">
      <w:pPr>
        <w:pStyle w:val="FootnoteText"/>
      </w:pPr>
      <w:r w:rsidRPr="00E97A78">
        <w:rPr>
          <w:rStyle w:val="FootnoteReference"/>
        </w:rPr>
        <w:footnoteRef/>
      </w:r>
      <w:r w:rsidRPr="00E97A78">
        <w:t xml:space="preserve"> </w:t>
      </w:r>
      <w:r>
        <w:t>D</w:t>
      </w:r>
      <w:r w:rsidRPr="00E97A78">
        <w:t xml:space="preserve">etails of the workshops appear on the Commission’s WMP homepage, located at </w:t>
      </w:r>
      <w:hyperlink r:id="rId1" w:history="1">
        <w:r w:rsidRPr="00A92FA6">
          <w:rPr>
            <w:rStyle w:val="Hyperlink"/>
          </w:rPr>
          <w:t>https://www.cpuc.ca.gov/wildfiremitigationplans/</w:t>
        </w:r>
      </w:hyperlink>
      <w:r w:rsidRPr="00E97A78">
        <w:t>.</w:t>
      </w:r>
    </w:p>
  </w:footnote>
  <w:footnote w:id="12">
    <w:p w14:paraId="33F02F04" w14:textId="71D7B7A7" w:rsidR="00E56837" w:rsidRDefault="00E56837">
      <w:pPr>
        <w:pStyle w:val="FootnoteText"/>
      </w:pPr>
      <w:r>
        <w:rPr>
          <w:rStyle w:val="FootnoteReference"/>
        </w:rPr>
        <w:footnoteRef/>
      </w:r>
      <w:r>
        <w:t xml:space="preserve"> </w:t>
      </w:r>
      <w:r w:rsidRPr="00992D44">
        <w:t>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3">
    <w:p w14:paraId="554D782B" w14:textId="77777777" w:rsidR="00E56837" w:rsidRDefault="00E56837" w:rsidP="00B047B1">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4">
    <w:p w14:paraId="1807DF7E" w14:textId="77777777" w:rsidR="00E56837" w:rsidRDefault="00E56837" w:rsidP="00B047B1">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15">
    <w:p w14:paraId="2A8F0ACC" w14:textId="4809D5E1" w:rsidR="00E56837" w:rsidRDefault="00E56837" w:rsidP="00C64DEF">
      <w:pPr>
        <w:pStyle w:val="FootnoteText"/>
      </w:pPr>
      <w:r>
        <w:rPr>
          <w:rStyle w:val="FootnoteReference"/>
        </w:rPr>
        <w:footnoteRef/>
      </w:r>
      <w:r>
        <w:t xml:space="preserve"> Limited in terms of </w:t>
      </w:r>
      <w:r w:rsidRPr="00121CC2">
        <w:t>mileage installed</w:t>
      </w:r>
      <w:r>
        <w:t>,</w:t>
      </w:r>
      <w:r w:rsidRPr="00121CC2">
        <w:t xml:space="preserve"> time elapsed since initial installation</w:t>
      </w:r>
      <w:r>
        <w:t>, or both.</w:t>
      </w:r>
      <w:r w:rsidRPr="00B80E21">
        <w:t xml:space="preserve"> For example, SDG&amp;E’s pilot consisted of installing 1.9 miles of covered conductor, which has only been in place for one year.  </w:t>
      </w:r>
    </w:p>
  </w:footnote>
  <w:footnote w:id="16">
    <w:p w14:paraId="7CCCAE60" w14:textId="77777777" w:rsidR="00E56837" w:rsidRDefault="00E56837" w:rsidP="00C64DEF">
      <w:pPr>
        <w:pStyle w:val="FootnoteText"/>
      </w:pPr>
      <w:r>
        <w:rPr>
          <w:rStyle w:val="FootnoteReference"/>
        </w:rPr>
        <w:footnoteRef/>
      </w:r>
      <w:r>
        <w:t xml:space="preserve"> Here “utilities” refers to SDG&amp;E and </w:t>
      </w:r>
      <w:r w:rsidRPr="00297BB2">
        <w:t>Pacific Gas and Electric Company (PG&amp;E), Southern California Edison Company (SCE)</w:t>
      </w:r>
      <w:r>
        <w:t xml:space="preserve">, </w:t>
      </w:r>
      <w:r w:rsidRPr="00273ED5">
        <w:t xml:space="preserve">PacifiCorp, Bear Valley Electric Service, Inc. (BVES), </w:t>
      </w:r>
      <w:r>
        <w:t xml:space="preserve">and </w:t>
      </w:r>
      <w:r w:rsidRPr="00273ED5">
        <w:t>Liberty Utilities</w:t>
      </w:r>
      <w:r>
        <w:t>; although this may not be the case every time “utilities” is used through the document.</w:t>
      </w:r>
    </w:p>
  </w:footnote>
  <w:footnote w:id="17">
    <w:p w14:paraId="165EE260" w14:textId="77777777" w:rsidR="00E56837" w:rsidRDefault="00E56837" w:rsidP="00791B76">
      <w:pPr>
        <w:pStyle w:val="FootnoteText"/>
      </w:pPr>
      <w:r>
        <w:rPr>
          <w:rStyle w:val="FootnoteReference"/>
        </w:rPr>
        <w:footnoteRef/>
      </w:r>
      <w:r>
        <w:t xml:space="preserve"> A note about the numbered conditions referenced in this document: “RCP Action-SDGE-[#]” here refers to one of the actions required by the WSD in its evaluation of SDG&amp;E’s Remedial Compliance Plan of 2020, issued Dec. 30, 2020. The WSD issued four such orders (RCP </w:t>
      </w:r>
      <w:r w:rsidRPr="00CD40A3">
        <w:t>Action</w:t>
      </w:r>
      <w:r>
        <w:t>-</w:t>
      </w:r>
      <w:r w:rsidRPr="00CD40A3">
        <w:t>SDGE-1</w:t>
      </w:r>
      <w:r>
        <w:t xml:space="preserve"> through RCP </w:t>
      </w:r>
      <w:r w:rsidRPr="00FE2028">
        <w:t>Action</w:t>
      </w:r>
      <w:r>
        <w:t>-</w:t>
      </w:r>
      <w:r w:rsidRPr="00FE2028">
        <w:t>SDGE-4</w:t>
      </w:r>
      <w:r>
        <w:t xml:space="preserve">). There are two other related sets of references in this document: “SDGE-[#]” refers to one of the actions required by the WSD in its evaluation of SDG&amp;E’s 2020 WMP issued June 11, 2020 (SDGE-1 through SDGE-16). “QR Action-SDGE-[#]” refers to one of the actions required by the WSD in its evaluation of SDGE’s first quarterly report issued Jan. 8, 2021 (QR Action-SDGE-1 through </w:t>
      </w:r>
      <w:r w:rsidRPr="00400F3F">
        <w:t>Action</w:t>
      </w:r>
      <w:r>
        <w:t>-</w:t>
      </w:r>
      <w:r w:rsidRPr="00400F3F">
        <w:t>SDGE-49</w:t>
      </w:r>
      <w:r>
        <w:t xml:space="preserve">). Additionally, there are conditions that may be referenced by “Guidance-[#]”, which refer to the requirements made of PG&amp;E, SCE, SDG&amp;E, Bear Valley Electric Service, Liberty Utilities, and PacifiCorp, addressing </w:t>
      </w:r>
      <w:r w:rsidRPr="001472B2">
        <w:t xml:space="preserve">key areas of weakness across all </w:t>
      </w:r>
      <w:r>
        <w:t xml:space="preserve">six </w:t>
      </w:r>
      <w:r w:rsidRPr="001472B2">
        <w:t>WMPs</w:t>
      </w:r>
      <w:r>
        <w:t xml:space="preserve"> in Resolution WSD-002 “Guidance Resolution on 2020 Wildfire Mitigation Plans” issued June 19, 2020 (Guidance-1 through Guidance-12).</w:t>
      </w:r>
    </w:p>
  </w:footnote>
  <w:footnote w:id="18">
    <w:p w14:paraId="511F3C6A" w14:textId="77777777" w:rsidR="00E56837" w:rsidRDefault="00E56837" w:rsidP="00791B76">
      <w:pPr>
        <w:pStyle w:val="FootnoteText"/>
      </w:pPr>
      <w:r>
        <w:rPr>
          <w:rStyle w:val="FootnoteReference"/>
        </w:rPr>
        <w:footnoteRef/>
      </w:r>
      <w:r>
        <w:t xml:space="preserve"> Wildfire Safety Division Evaluation of San Diego Gas and Electric’s Remedial Compliance Plan, December 30, 2020, p. 9.</w:t>
      </w:r>
    </w:p>
  </w:footnote>
  <w:footnote w:id="19">
    <w:p w14:paraId="365D898C" w14:textId="77777777" w:rsidR="00E56837" w:rsidRDefault="00E56837" w:rsidP="00791B76">
      <w:pPr>
        <w:pStyle w:val="FootnoteText"/>
      </w:pPr>
      <w:r>
        <w:rPr>
          <w:rStyle w:val="FootnoteReference"/>
        </w:rPr>
        <w:footnoteRef/>
      </w:r>
      <w:r>
        <w:t xml:space="preserve"> SDG&amp;E 2021 WMP Update, p. 70.</w:t>
      </w:r>
    </w:p>
  </w:footnote>
  <w:footnote w:id="20">
    <w:p w14:paraId="5B465CFB" w14:textId="18D09285" w:rsidR="00E56837" w:rsidRDefault="00E56837">
      <w:pPr>
        <w:pStyle w:val="FootnoteText"/>
      </w:pPr>
      <w:r>
        <w:rPr>
          <w:rStyle w:val="FootnoteReference"/>
        </w:rPr>
        <w:footnoteRef/>
      </w:r>
      <w:r>
        <w:t xml:space="preserve"> </w:t>
      </w:r>
      <w:r w:rsidRPr="001B09E1">
        <w:t>Biotic factors include all living things (e.g., an animal or plant) that influence or affect an ecosystem and the organisms in it; abiotic factors include all nonliving conditions or things (e.g., climate or habitat) that influence or affect an ecosystem and the organisms in it.</w:t>
      </w:r>
    </w:p>
  </w:footnote>
  <w:footnote w:id="21">
    <w:p w14:paraId="436824F9" w14:textId="77777777" w:rsidR="00E56837" w:rsidRDefault="00E56837" w:rsidP="00CE4105">
      <w:pPr>
        <w:pStyle w:val="FootnoteText"/>
      </w:pPr>
      <w:r>
        <w:rPr>
          <w:rStyle w:val="FootnoteReference"/>
        </w:rPr>
        <w:footnoteRef/>
      </w:r>
      <w:r>
        <w:t xml:space="preserve"> SDG&amp;E 2021 WMP Update, p. 263.</w:t>
      </w:r>
    </w:p>
  </w:footnote>
  <w:footnote w:id="22">
    <w:p w14:paraId="066F54F5" w14:textId="77777777" w:rsidR="00E56837" w:rsidRDefault="00E56837" w:rsidP="003369A2">
      <w:pPr>
        <w:pStyle w:val="FootnoteText"/>
      </w:pPr>
      <w:r>
        <w:rPr>
          <w:rStyle w:val="FootnoteReference"/>
        </w:rPr>
        <w:footnoteRef/>
      </w:r>
      <w:r>
        <w:t xml:space="preserve"> </w:t>
      </w:r>
      <w:r w:rsidRPr="003E69CE">
        <w:t>WSD GIS Data Reporting Standard Version 2</w:t>
      </w:r>
      <w:r>
        <w:t xml:space="preserve">, </w:t>
      </w:r>
      <w:r w:rsidRPr="003E69CE">
        <w:t>Transmission Vegetation Caused Unplanned Outage (Feature Class), Section 3.4.5</w:t>
      </w:r>
      <w:r>
        <w:t xml:space="preserve"> &amp;</w:t>
      </w:r>
      <w:r w:rsidRPr="003E69CE">
        <w:t xml:space="preserve"> Distribution Vegetation Caused Unplanned Outage (Feature Class), Section 3.4.7</w:t>
      </w:r>
      <w:r>
        <w:t>.</w:t>
      </w:r>
    </w:p>
  </w:footnote>
  <w:footnote w:id="23">
    <w:p w14:paraId="781AFAD7" w14:textId="77777777" w:rsidR="00E56837" w:rsidRDefault="00E56837" w:rsidP="003369A2">
      <w:pPr>
        <w:pStyle w:val="FootnoteText"/>
      </w:pPr>
      <w:r>
        <w:rPr>
          <w:rStyle w:val="FootnoteReference"/>
        </w:rPr>
        <w:footnoteRef/>
      </w:r>
      <w:r>
        <w:t xml:space="preserve"> WSD GIS Data Reporting Standard Version 2, Ignition (Feature Class), Section 3.4.3</w:t>
      </w:r>
      <w:r>
        <w:rPr>
          <w:color w:val="7030A0"/>
        </w:rPr>
        <w:t>.</w:t>
      </w:r>
    </w:p>
  </w:footnote>
  <w:footnote w:id="24">
    <w:p w14:paraId="3E160104" w14:textId="77777777" w:rsidR="00E56837" w:rsidRDefault="00E56837" w:rsidP="003369A2">
      <w:pPr>
        <w:pStyle w:val="Footnote"/>
      </w:pPr>
      <w:r>
        <w:rPr>
          <w:rStyle w:val="FootnoteReference"/>
        </w:rPr>
        <w:footnoteRef/>
      </w:r>
      <w:r>
        <w:t xml:space="preserve"> </w:t>
      </w:r>
      <w:r w:rsidRPr="00C30A3B">
        <w:t>Jenks, Matthew A.</w:t>
      </w:r>
      <w:r>
        <w:t xml:space="preserve"> (undated, from 2012 archived copy)</w:t>
      </w:r>
      <w:r w:rsidRPr="00C30A3B">
        <w:t>, </w:t>
      </w:r>
      <w:r>
        <w:t>“</w:t>
      </w:r>
      <w:r w:rsidRPr="00775B69">
        <w:t>Plant Nomenclature</w:t>
      </w:r>
      <w:r w:rsidRPr="00C30A3B">
        <w:t>,</w:t>
      </w:r>
      <w:r>
        <w:t>”</w:t>
      </w:r>
      <w:r w:rsidRPr="00C30A3B">
        <w:t xml:space="preserve"> Department of Horticulture and Landscape Architecture, Purdue University</w:t>
      </w:r>
      <w:r>
        <w:t xml:space="preserve">, accessed May 18, 2021: </w:t>
      </w:r>
      <w:hyperlink r:id="rId2" w:history="1">
        <w:r w:rsidRPr="001E781D">
          <w:rPr>
            <w:rStyle w:val="Hyperlink"/>
          </w:rPr>
          <w:t>https://archive.ph/20121211140110/http:/www.hort.purdue.edu/hort/courses/hort217/Nomenclature/description.htm</w:t>
        </w:r>
      </w:hyperlink>
      <w:r>
        <w:t>.</w:t>
      </w:r>
    </w:p>
  </w:footnote>
  <w:footnote w:id="25">
    <w:p w14:paraId="1A66D640" w14:textId="77777777" w:rsidR="00E56837" w:rsidRDefault="00E56837" w:rsidP="0072451F">
      <w:pPr>
        <w:pStyle w:val="FootnoteText"/>
      </w:pPr>
      <w:r>
        <w:rPr>
          <w:rStyle w:val="FootnoteReference"/>
        </w:rPr>
        <w:footnoteRef/>
      </w:r>
      <w:r>
        <w:t xml:space="preserve"> Mussey Grade Road Alliance’s Comments on 2021 Wildfire Mitigation Plans of PG&amp;E, SCE, and SDG&amp;E March 29, 2021, p. 40</w:t>
      </w:r>
    </w:p>
  </w:footnote>
  <w:footnote w:id="26">
    <w:p w14:paraId="763624F9" w14:textId="6F2C80B9" w:rsidR="00E56837" w:rsidRDefault="00E56837" w:rsidP="0072451F">
      <w:pPr>
        <w:pStyle w:val="FootnoteText"/>
      </w:pPr>
      <w:r>
        <w:rPr>
          <w:rStyle w:val="FootnoteReference"/>
        </w:rPr>
        <w:footnoteRef/>
      </w:r>
      <w:r>
        <w:t xml:space="preserve"> SDG&amp;E 2021 WMP Update, p. 278.</w:t>
      </w:r>
    </w:p>
  </w:footnote>
  <w:footnote w:id="27">
    <w:p w14:paraId="1635487D" w14:textId="77777777" w:rsidR="00E56837" w:rsidRDefault="00E56837" w:rsidP="0072451F">
      <w:pPr>
        <w:pStyle w:val="FootnoteText"/>
      </w:pPr>
      <w:r>
        <w:rPr>
          <w:rStyle w:val="FootnoteReference"/>
        </w:rPr>
        <w:footnoteRef/>
      </w:r>
      <w:r>
        <w:t xml:space="preserve"> See previous footnote on references to RCP Action-SDGE-[#], QR Action-SDGE-[#], and SDGE-[#].</w:t>
      </w:r>
    </w:p>
  </w:footnote>
  <w:footnote w:id="28">
    <w:p w14:paraId="152AA9C5" w14:textId="77777777" w:rsidR="00E56837" w:rsidRDefault="00E56837" w:rsidP="0072451F">
      <w:pPr>
        <w:pStyle w:val="FootnoteText"/>
      </w:pPr>
      <w:r>
        <w:rPr>
          <w:rStyle w:val="FootnoteReference"/>
        </w:rPr>
        <w:footnoteRef/>
      </w:r>
      <w:r>
        <w:t xml:space="preserve"> Wildfire Safety Division Evaluation of San Diego Gas &amp; Electric Company’s First Quarterly Report, January 8, 2021, p. 32</w:t>
      </w:r>
    </w:p>
  </w:footnote>
  <w:footnote w:id="29">
    <w:p w14:paraId="20BFB38C" w14:textId="48544F65" w:rsidR="00E56837" w:rsidRDefault="00E56837" w:rsidP="0072451F">
      <w:pPr>
        <w:pStyle w:val="FootnoteText"/>
      </w:pPr>
      <w:r>
        <w:rPr>
          <w:rStyle w:val="FootnoteReference"/>
        </w:rPr>
        <w:footnoteRef/>
      </w:r>
      <w:r>
        <w:t xml:space="preserve"> San Diego Gas &amp; Electric Company’s “Supplemental Filing Addressing 2020 Wildfire Mitigation Plan Quarterly Report Insufficiencies,” February 26, 2021, p. 75</w:t>
      </w:r>
    </w:p>
  </w:footnote>
  <w:footnote w:id="30">
    <w:p w14:paraId="7557D88C" w14:textId="41D6A175" w:rsidR="00E56837" w:rsidRDefault="00E56837" w:rsidP="0072451F">
      <w:pPr>
        <w:pStyle w:val="FootnoteText"/>
      </w:pPr>
      <w:r>
        <w:rPr>
          <w:rStyle w:val="FootnoteReference"/>
        </w:rPr>
        <w:footnoteRef/>
      </w:r>
      <w:r>
        <w:t xml:space="preserve"> SDG&amp;E’s 2021 WMP Update, p. 278.</w:t>
      </w:r>
    </w:p>
  </w:footnote>
  <w:footnote w:id="31">
    <w:p w14:paraId="3C082FB9" w14:textId="77777777" w:rsidR="00E56837" w:rsidRDefault="00E56837" w:rsidP="00B51A9A">
      <w:pPr>
        <w:pStyle w:val="FootnoteText"/>
      </w:pPr>
      <w:r>
        <w:rPr>
          <w:rStyle w:val="FootnoteReference"/>
        </w:rPr>
        <w:footnoteRef/>
      </w:r>
      <w:r>
        <w:t xml:space="preserve"> </w:t>
      </w:r>
      <w:r w:rsidRPr="00664A06">
        <w:t>Public Utilities Code Section 8386.3(c)(5)(A)</w:t>
      </w:r>
      <w:r>
        <w:t>.</w:t>
      </w:r>
    </w:p>
  </w:footnote>
  <w:footnote w:id="32">
    <w:p w14:paraId="3B7B9328" w14:textId="5D407258" w:rsidR="00E56837" w:rsidRDefault="00E56837" w:rsidP="0072351E">
      <w:pPr>
        <w:pStyle w:val="FootnoteText"/>
      </w:pPr>
      <w:r>
        <w:rPr>
          <w:rStyle w:val="FootnoteReference"/>
        </w:rPr>
        <w:footnoteRef/>
      </w:r>
      <w:r>
        <w:t xml:space="preserve"> </w:t>
      </w:r>
      <w:r w:rsidRPr="008956AA">
        <w:t xml:space="preserve">For more information on PSPS-related notification requirements, see </w:t>
      </w:r>
      <w:r>
        <w:t>D.19-05-042, Decision Adopting De-Energization (Public Safety Power Shut-Off) Guidelines (Phase 1 Guidelines), issued June 4, 2019, p. 86-87 (accessed May 19, 2021):</w:t>
      </w:r>
      <w:r w:rsidRPr="00DB61C0">
        <w:t xml:space="preserve"> </w:t>
      </w:r>
      <w:hyperlink r:id="rId3" w:history="1">
        <w:r w:rsidRPr="00065484">
          <w:rPr>
            <w:rStyle w:val="Hyperlink"/>
          </w:rPr>
          <w:t>https://docs.cpuc.ca.gov/PublishedDocs/Published/G000/M296/K598/296598822.PDF</w:t>
        </w:r>
      </w:hyperlink>
      <w:r>
        <w:t>.</w:t>
      </w:r>
    </w:p>
  </w:footnote>
  <w:footnote w:id="33">
    <w:p w14:paraId="0EC94B10" w14:textId="037654BF" w:rsidR="00E56837" w:rsidRPr="00785227" w:rsidRDefault="00E56837" w:rsidP="0072351E">
      <w:pPr>
        <w:pStyle w:val="FootnoteText"/>
        <w:rPr>
          <w:rFonts w:cs="Times New Roman"/>
        </w:rPr>
      </w:pPr>
      <w:r w:rsidRPr="009D45A0">
        <w:rPr>
          <w:rStyle w:val="FootnoteReference"/>
        </w:rPr>
        <w:footnoteRef/>
      </w:r>
      <w:r w:rsidRPr="009D45A0">
        <w:t xml:space="preserve"> </w:t>
      </w:r>
      <w:r w:rsidRPr="00785227">
        <w:rPr>
          <w:rFonts w:cstheme="minorHAnsi"/>
        </w:rPr>
        <w:t xml:space="preserve">SDG&amp;E November 26-December 9, 2020, post-event report, p. 38, and SDG&amp;E December </w:t>
      </w:r>
      <w:r>
        <w:rPr>
          <w:rFonts w:cstheme="minorHAnsi"/>
        </w:rPr>
        <w:br/>
      </w:r>
      <w:r w:rsidRPr="00785227">
        <w:rPr>
          <w:rFonts w:cstheme="minorHAnsi"/>
        </w:rPr>
        <w:t>23-24, 2020, post event report, p. 12</w:t>
      </w:r>
      <w:r>
        <w:rPr>
          <w:rFonts w:cstheme="minorHAnsi"/>
        </w:rPr>
        <w:t>:</w:t>
      </w:r>
      <w:r w:rsidRPr="00785227">
        <w:rPr>
          <w:rFonts w:cstheme="minorHAnsi"/>
        </w:rPr>
        <w:t xml:space="preserve"> each state “These missed notifications may be attributed to non-communicative SCADA switches, which require SDG&amp;E’s Electric Distribution Operations to de-energize upstream of the intended sectionalizing device.”</w:t>
      </w:r>
    </w:p>
  </w:footnote>
  <w:footnote w:id="34">
    <w:p w14:paraId="5B515D02" w14:textId="77777777" w:rsidR="00E56837" w:rsidRDefault="00E56837" w:rsidP="0072351E">
      <w:pPr>
        <w:pStyle w:val="FootnoteText"/>
      </w:pPr>
      <w:r>
        <w:rPr>
          <w:rStyle w:val="FootnoteReference"/>
        </w:rPr>
        <w:footnoteRef/>
      </w:r>
      <w:r>
        <w:t xml:space="preserve"> SDG&amp;E’s </w:t>
      </w:r>
      <w:r w:rsidRPr="00CC69F1">
        <w:t>March 4, 2021</w:t>
      </w:r>
      <w:r>
        <w:t xml:space="preserve">, Response to </w:t>
      </w:r>
      <w:r w:rsidRPr="00CC69F1">
        <w:t>Cal</w:t>
      </w:r>
      <w:r>
        <w:t xml:space="preserve"> </w:t>
      </w:r>
      <w:r w:rsidRPr="00CC69F1">
        <w:t>Advocates</w:t>
      </w:r>
      <w:r>
        <w:t xml:space="preserve"> Data Request </w:t>
      </w:r>
      <w:r w:rsidRPr="00CC69F1">
        <w:t xml:space="preserve">SDGE-2021WMP-05, </w:t>
      </w:r>
      <w:r>
        <w:t>Q</w:t>
      </w:r>
      <w:r w:rsidRPr="00CC69F1">
        <w:t>uestion 11.</w:t>
      </w:r>
    </w:p>
  </w:footnote>
  <w:footnote w:id="35">
    <w:p w14:paraId="5B69F868" w14:textId="77777777" w:rsidR="00E56837" w:rsidRDefault="00E56837" w:rsidP="0072351E">
      <w:pPr>
        <w:pStyle w:val="FootnoteText"/>
      </w:pPr>
      <w:r>
        <w:rPr>
          <w:rStyle w:val="FootnoteReference"/>
        </w:rPr>
        <w:footnoteRef/>
      </w:r>
      <w:r>
        <w:t xml:space="preserve"> Here “functional” means communicative, operational, and remotely operable.</w:t>
      </w:r>
    </w:p>
  </w:footnote>
  <w:footnote w:id="36">
    <w:p w14:paraId="432D3926" w14:textId="77777777" w:rsidR="00E56837" w:rsidRDefault="00E56837" w:rsidP="00311007">
      <w:pPr>
        <w:pStyle w:val="FootnoteText"/>
      </w:pPr>
      <w:r>
        <w:rPr>
          <w:rStyle w:val="FootnoteReference"/>
        </w:rPr>
        <w:footnoteRef/>
      </w:r>
      <w:r>
        <w:t xml:space="preserve"> </w:t>
      </w:r>
      <w:r w:rsidRPr="00AF0B1D">
        <w:t>Cal Advocates’ Comments on SCE and SDG&amp;E WMP Updates, pp. 16-17.</w:t>
      </w:r>
    </w:p>
  </w:footnote>
  <w:footnote w:id="37">
    <w:p w14:paraId="38F62C7D" w14:textId="77777777" w:rsidR="00E56837" w:rsidRDefault="00E56837">
      <w:pPr>
        <w:pStyle w:val="FootnoteText"/>
      </w:pPr>
      <w:r>
        <w:rPr>
          <w:rStyle w:val="FootnoteReference"/>
        </w:rPr>
        <w:footnoteRef/>
      </w:r>
      <w:r>
        <w:t xml:space="preserve"> </w:t>
      </w:r>
      <w:r w:rsidRPr="00524E61">
        <w:t>SDG&amp;E states: “…projects are bundled based on geographic proximity for construction efficiency and to reduce outages when required”</w:t>
      </w:r>
      <w:r>
        <w:t xml:space="preserve"> (2021 WMP Update, </w:t>
      </w:r>
      <w:r w:rsidRPr="00524E61">
        <w:t>p. 206</w:t>
      </w:r>
      <w:r>
        <w:t>).</w:t>
      </w:r>
    </w:p>
  </w:footnote>
  <w:footnote w:id="38">
    <w:p w14:paraId="24A1D92E" w14:textId="7FE34230" w:rsidR="00E56837" w:rsidRDefault="00E56837" w:rsidP="007F5C63">
      <w:pPr>
        <w:pStyle w:val="FootnoteText"/>
      </w:pPr>
      <w:r>
        <w:rPr>
          <w:rStyle w:val="FootnoteReference"/>
        </w:rPr>
        <w:footnoteRef/>
      </w:r>
      <w:r>
        <w:t xml:space="preserve"> </w:t>
      </w:r>
      <w:r w:rsidRPr="00F05D75">
        <w:t>Value from PG&amp;E</w:t>
      </w:r>
      <w:r>
        <w:t xml:space="preserve">’s </w:t>
      </w:r>
      <w:r w:rsidRPr="0095401C">
        <w:t>Errata</w:t>
      </w:r>
      <w:r>
        <w:t xml:space="preserve"> (dated </w:t>
      </w:r>
      <w:r w:rsidRPr="002E27E8">
        <w:t>March 1</w:t>
      </w:r>
      <w:r>
        <w:t xml:space="preserve">7, 2021, accessed May 19, 2021): </w:t>
      </w:r>
      <w:hyperlink r:id="rId4" w:history="1">
        <w:r w:rsidRPr="0014411C">
          <w:rPr>
            <w:rStyle w:val="Hyperlink"/>
          </w:rPr>
          <w:t>https://www.pge.com/pge_global/common/pdfs/safety/emergency-preparedness/natural-disaster/wildfires/wildfire-mitigation-plan/2021-Wildfire-Safety-Plan-Errata.pdf</w:t>
        </w:r>
      </w:hyperlink>
      <w:r w:rsidRPr="00356164">
        <w:t>.</w:t>
      </w:r>
    </w:p>
  </w:footnote>
  <w:footnote w:id="39">
    <w:p w14:paraId="701585FC" w14:textId="1EC371D2" w:rsidR="00E56837" w:rsidRDefault="00E56837" w:rsidP="007F5C63">
      <w:pPr>
        <w:pStyle w:val="FootnoteText"/>
      </w:pPr>
      <w:r>
        <w:rPr>
          <w:rStyle w:val="FootnoteReference"/>
        </w:rPr>
        <w:footnoteRef/>
      </w:r>
      <w:r>
        <w:t xml:space="preserve"> Value </w:t>
      </w:r>
      <w:r w:rsidRPr="00D85CEA">
        <w:t xml:space="preserve">from Table 12 of </w:t>
      </w:r>
      <w:r>
        <w:t>SDGE’s 2021</w:t>
      </w:r>
      <w:r w:rsidRPr="00D85CEA">
        <w:t xml:space="preserve"> WMP Update submissions under the “Estimated RSE for HFTD Tier 3” column for “Covered Conductor Installation</w:t>
      </w:r>
      <w:r>
        <w:t>.”</w:t>
      </w:r>
    </w:p>
  </w:footnote>
  <w:footnote w:id="40">
    <w:p w14:paraId="04C2114E" w14:textId="4AF25277" w:rsidR="00E56837" w:rsidRDefault="00E56837" w:rsidP="007F5C63">
      <w:pPr>
        <w:pStyle w:val="FootnoteText"/>
      </w:pPr>
      <w:r>
        <w:rPr>
          <w:rStyle w:val="FootnoteReference"/>
        </w:rPr>
        <w:footnoteRef/>
      </w:r>
      <w:r>
        <w:t xml:space="preserve"> Value </w:t>
      </w:r>
      <w:r w:rsidRPr="00D85CEA">
        <w:t xml:space="preserve">from Table 12 of </w:t>
      </w:r>
      <w:r>
        <w:t>SCE’s 2021</w:t>
      </w:r>
      <w:r w:rsidRPr="00D85CEA">
        <w:t xml:space="preserve"> WMP Update submissions under the “Estimated RSE for HFTD Tier 3” column for “Covered Conductor Installation</w:t>
      </w:r>
      <w:r>
        <w:t>.”</w:t>
      </w:r>
    </w:p>
  </w:footnote>
  <w:footnote w:id="41">
    <w:p w14:paraId="645403A4" w14:textId="158F78DC" w:rsidR="00E56837" w:rsidRDefault="00E56837" w:rsidP="000D4698">
      <w:pPr>
        <w:pStyle w:val="FootnoteText"/>
      </w:pPr>
      <w:r>
        <w:rPr>
          <w:rStyle w:val="FootnoteReference"/>
        </w:rPr>
        <w:footnoteRef/>
      </w:r>
      <w:r>
        <w:t xml:space="preserve"> </w:t>
      </w:r>
      <w:r w:rsidRPr="00356164">
        <w:t>Here “utilities” refers to SDG&amp;E</w:t>
      </w:r>
      <w:r>
        <w:t>,</w:t>
      </w:r>
      <w:r w:rsidRPr="00356164">
        <w:t xml:space="preserve"> Pacific Gas and Electric Company (PG&amp;E), </w:t>
      </w:r>
      <w:r>
        <w:t xml:space="preserve">and </w:t>
      </w:r>
      <w:r w:rsidRPr="00356164">
        <w:t>Southern California Edison Company (SCE); although this may not be the case every time “utilities” is used through the document.</w:t>
      </w:r>
    </w:p>
  </w:footnote>
  <w:footnote w:id="42">
    <w:p w14:paraId="061C84F2" w14:textId="77777777" w:rsidR="00E56837" w:rsidRDefault="00E56837" w:rsidP="000D4698">
      <w:pPr>
        <w:pStyle w:val="FootnoteText"/>
      </w:pPr>
      <w:r>
        <w:rPr>
          <w:rStyle w:val="FootnoteReference"/>
        </w:rPr>
        <w:footnoteRef/>
      </w:r>
      <w:r>
        <w:t xml:space="preserve"> T</w:t>
      </w:r>
      <w:r w:rsidRPr="00406250">
        <w:t>he WSD is transitioning to the Office of Energy Infrastructure Safety (Energy Safety) on July 1, 2021</w:t>
      </w:r>
      <w:r>
        <w:t>.</w:t>
      </w:r>
    </w:p>
  </w:footnote>
  <w:footnote w:id="43">
    <w:p w14:paraId="2A61DC93" w14:textId="648A97CF" w:rsidR="00E56837" w:rsidRDefault="00E56837">
      <w:pPr>
        <w:pStyle w:val="FootnoteText"/>
      </w:pPr>
      <w:r>
        <w:rPr>
          <w:rStyle w:val="FootnoteReference"/>
        </w:rPr>
        <w:footnoteRef/>
      </w:r>
      <w:r>
        <w:t xml:space="preserve"> </w:t>
      </w:r>
      <w:r w:rsidRPr="00861996">
        <w:t xml:space="preserve">This </w:t>
      </w:r>
      <w:r>
        <w:t>finding is</w:t>
      </w:r>
      <w:r w:rsidRPr="00861996">
        <w:t xml:space="preserve"> supported by the utility’s response to data request WSD-SDGE-01 Question 1.</w:t>
      </w:r>
    </w:p>
  </w:footnote>
  <w:footnote w:id="44">
    <w:p w14:paraId="576405C0" w14:textId="44AF5CD9" w:rsidR="00E56837" w:rsidRDefault="00E56837">
      <w:pPr>
        <w:pStyle w:val="FootnoteText"/>
      </w:pPr>
      <w:r w:rsidRPr="00060EA3">
        <w:rPr>
          <w:rStyle w:val="FootnoteReference"/>
        </w:rPr>
        <w:footnoteRef/>
      </w:r>
      <w:r w:rsidRPr="00060EA3">
        <w:t xml:space="preserve"> </w:t>
      </w:r>
      <w:r w:rsidRPr="00060EA3">
        <w:rPr>
          <w:szCs w:val="22"/>
        </w:rPr>
        <w:t>Government Code Section 15475</w:t>
      </w:r>
      <w:r w:rsidRPr="00860944">
        <w:rPr>
          <w:szCs w:val="22"/>
        </w:rPr>
        <w:t>.</w:t>
      </w:r>
    </w:p>
  </w:footnote>
  <w:footnote w:id="45">
    <w:p w14:paraId="24F7A25F" w14:textId="505A17A6" w:rsidR="00E56837" w:rsidRPr="00E47151" w:rsidRDefault="00E56837" w:rsidP="00E670B2">
      <w:pPr>
        <w:pStyle w:val="FootnoteText"/>
        <w:rPr>
          <w:rFonts w:eastAsia="Book Antiqua" w:cs="Book Antiqua"/>
          <w:color w:val="881798"/>
          <w:u w:val="single"/>
        </w:rPr>
      </w:pPr>
      <w:r w:rsidRPr="00E47151">
        <w:rPr>
          <w:rStyle w:val="FootnoteReference"/>
        </w:rPr>
        <w:footnoteRef/>
      </w:r>
      <w:r w:rsidRPr="00E47151">
        <w:t xml:space="preserve"> Executive Order N-30-20, see </w:t>
      </w:r>
      <w:hyperlink r:id="rId5" w:history="1">
        <w:r w:rsidRPr="00E47151">
          <w:t>http://covid19.ca.gov/img/Executive-Order-N-30-20.pdf</w:t>
        </w:r>
      </w:hyperlink>
      <w:r w:rsidRPr="00E47151">
        <w:t>.</w:t>
      </w:r>
    </w:p>
  </w:footnote>
  <w:footnote w:id="46">
    <w:p w14:paraId="797D975C" w14:textId="4D527C84" w:rsidR="00E56837" w:rsidRPr="00E97A78" w:rsidRDefault="00E56837" w:rsidP="170C826F">
      <w:pPr>
        <w:spacing w:after="120"/>
        <w:rPr>
          <w:rFonts w:eastAsia="Book Antiqua" w:cs="Book Antiqua"/>
          <w:sz w:val="22"/>
        </w:rPr>
      </w:pPr>
      <w:r w:rsidRPr="00E47151">
        <w:rPr>
          <w:rStyle w:val="FootnoteReference"/>
          <w:sz w:val="22"/>
        </w:rPr>
        <w:footnoteRef/>
      </w:r>
      <w:r w:rsidRPr="00E47151">
        <w:rPr>
          <w:sz w:val="22"/>
        </w:rPr>
        <w:t xml:space="preserve"> Letters to each electrical corporation are found at </w:t>
      </w:r>
      <w:hyperlink r:id="rId6" w:history="1">
        <w:r w:rsidRPr="00E47151">
          <w:rPr>
            <w:sz w:val="22"/>
          </w:rPr>
          <w:t>https://www.cpuc.ca.gov/covid/</w:t>
        </w:r>
      </w:hyperlink>
      <w:r w:rsidRPr="00E47151">
        <w:rPr>
          <w:sz w:val="22"/>
        </w:rPr>
        <w:t>under</w:t>
      </w:r>
      <w:r w:rsidRPr="00E47151">
        <w:rPr>
          <w:sz w:val="22"/>
          <w:szCs w:val="20"/>
        </w:rPr>
        <w:t xml:space="preserve"> the heading ”Other CPUC Actions</w:t>
      </w:r>
      <w:r>
        <w:rPr>
          <w:sz w:val="22"/>
          <w:szCs w:val="20"/>
        </w:rPr>
        <w:t>,</w:t>
      </w:r>
      <w:r w:rsidRPr="00E47151">
        <w:rPr>
          <w:sz w:val="22"/>
          <w:szCs w:val="20"/>
        </w:rPr>
        <w:t>” March 27, 2020: Joint Letters to IOUs re: Essential Wildfire and PSPS Mitigation Work.</w:t>
      </w:r>
    </w:p>
  </w:footnote>
  <w:footnote w:id="47">
    <w:p w14:paraId="6C79E330" w14:textId="77777777" w:rsidR="00E56837" w:rsidRDefault="00E56837" w:rsidP="00CA4696">
      <w:pPr>
        <w:pStyle w:val="FootnoteText"/>
      </w:pPr>
      <w:r>
        <w:rPr>
          <w:rStyle w:val="FootnoteReference"/>
        </w:rPr>
        <w:footnoteRef/>
      </w:r>
      <w:r>
        <w:t xml:space="preserve"> The SDG&amp;E draft Resolution and Action Statement uses the numbering convention of SDGE-# (e.g., SDGE-7). In response to a comment from GPI on a different utility’s Resolution and Action Statement, the WSD is changing the numbering convention across all utilities, incorporating the year of the relevant WMP or WMP Update into the number and using two digits for the number (e.g., SDGE-21-07).</w:t>
      </w:r>
    </w:p>
  </w:footnote>
  <w:footnote w:id="48">
    <w:p w14:paraId="4B26111B" w14:textId="4A6EA250" w:rsidR="00E56837" w:rsidRDefault="00E56837">
      <w:pPr>
        <w:pStyle w:val="FootnoteText"/>
      </w:pPr>
      <w:r>
        <w:rPr>
          <w:rStyle w:val="FootnoteReference"/>
        </w:rPr>
        <w:footnoteRef/>
      </w:r>
      <w:r>
        <w:t xml:space="preserve"> Pub. Util. Code 8386 (accessed May 5, 2021): </w:t>
      </w:r>
      <w:hyperlink r:id="rId7" w:history="1">
        <w:r w:rsidRPr="006A3DF2">
          <w:rPr>
            <w:rStyle w:val="Hyperlink"/>
          </w:rPr>
          <w:t>https://leginfo.legislature.ca.gov/faces/codes_displaySection.xhtml?lawCode=PUC&amp;sectionNum=8386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D9D8" w14:textId="77777777" w:rsidR="0023454B" w:rsidRDefault="00234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E15D8" w14:textId="04C29514" w:rsidR="00E56837" w:rsidRDefault="00E56837" w:rsidP="00FF40DF">
    <w:pPr>
      <w:pStyle w:val="Header"/>
    </w:pPr>
    <w:r>
      <w:t>Resolution WSD-019</w:t>
    </w:r>
    <w:r>
      <w:tab/>
    </w:r>
    <w:r>
      <w:tab/>
    </w:r>
    <w:r w:rsidRPr="00AF1CD7">
      <w:t xml:space="preserve"> Ju</w:t>
    </w:r>
    <w:r>
      <w:t>ly 15,</w:t>
    </w:r>
    <w:r w:rsidRPr="00AF1CD7">
      <w:t xml:space="preserve"> 2021</w:t>
    </w:r>
  </w:p>
  <w:p w14:paraId="2FC6EFD7" w14:textId="35587B8A" w:rsidR="00E56837" w:rsidRDefault="00E56837" w:rsidP="00FF40DF">
    <w:pPr>
      <w:pStyle w:val="Header"/>
    </w:pPr>
    <w:r w:rsidRPr="00C230C5">
      <w:t>SDGE's 2021 Wildfire Mitigation Plan</w:t>
    </w:r>
    <w:r>
      <w:t>/NP2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AADE" w14:textId="65373A75" w:rsidR="0023454B" w:rsidRDefault="00426386" w:rsidP="00426386">
    <w:pPr>
      <w:pStyle w:val="Header"/>
      <w:jc w:val="right"/>
    </w:pPr>
    <w:r>
      <w:t>Date of Issuance: July 20,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E1E7" w14:textId="3FF7DE13" w:rsidR="00E56837" w:rsidRDefault="00E56837" w:rsidP="00FF40DF">
    <w:pPr>
      <w:pStyle w:val="Header"/>
    </w:pPr>
    <w:r>
      <w:t>Appendices to Resolution WSD-019</w:t>
    </w:r>
    <w:r>
      <w:tab/>
    </w:r>
    <w:r>
      <w:tab/>
    </w:r>
    <w:r w:rsidRPr="00AF1CD7">
      <w:t>Ju</w:t>
    </w:r>
    <w:r>
      <w:t>ly 15,</w:t>
    </w:r>
    <w:r w:rsidRPr="00AF1CD7">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4EB5DCF"/>
    <w:multiLevelType w:val="hybridMultilevel"/>
    <w:tmpl w:val="A6AA3DBA"/>
    <w:lvl w:ilvl="0" w:tplc="697060D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AA"/>
    <w:multiLevelType w:val="multilevel"/>
    <w:tmpl w:val="9312C1C8"/>
    <w:lvl w:ilvl="0">
      <w:start w:val="1"/>
      <w:numFmt w:val="decimal"/>
      <w:pStyle w:val="WMPHeading1"/>
      <w:lvlText w:val="%1."/>
      <w:lvlJc w:val="left"/>
      <w:pPr>
        <w:ind w:left="360" w:hanging="360"/>
      </w:pPr>
      <w:rPr>
        <w:rFonts w:ascii="Book Antiqua" w:hAnsi="Book Antiqua"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5" w15:restartNumberingAfterBreak="0">
    <w:nsid w:val="0FFD1217"/>
    <w:multiLevelType w:val="hybridMultilevel"/>
    <w:tmpl w:val="0088E296"/>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6"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0"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F6D42"/>
    <w:multiLevelType w:val="multilevel"/>
    <w:tmpl w:val="6D90A88C"/>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7"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18" w15:restartNumberingAfterBreak="0">
    <w:nsid w:val="364D6E92"/>
    <w:multiLevelType w:val="hybridMultilevel"/>
    <w:tmpl w:val="0CE2AAFE"/>
    <w:lvl w:ilvl="0" w:tplc="6DF6131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0"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1" w15:restartNumberingAfterBreak="0">
    <w:nsid w:val="39EF3884"/>
    <w:multiLevelType w:val="hybridMultilevel"/>
    <w:tmpl w:val="D42A0D3A"/>
    <w:lvl w:ilvl="0" w:tplc="C9AA1504">
      <w:start w:val="2"/>
      <w:numFmt w:val="lowerLetter"/>
      <w:lvlText w:val="%1."/>
      <w:lvlJc w:val="left"/>
      <w:pPr>
        <w:tabs>
          <w:tab w:val="num" w:pos="720"/>
        </w:tabs>
        <w:ind w:left="720" w:hanging="360"/>
      </w:pPr>
    </w:lvl>
    <w:lvl w:ilvl="1" w:tplc="C2084AEC" w:tentative="1">
      <w:start w:val="1"/>
      <w:numFmt w:val="lowerLetter"/>
      <w:lvlText w:val="%2."/>
      <w:lvlJc w:val="left"/>
      <w:pPr>
        <w:tabs>
          <w:tab w:val="num" w:pos="1440"/>
        </w:tabs>
        <w:ind w:left="1440" w:hanging="360"/>
      </w:pPr>
    </w:lvl>
    <w:lvl w:ilvl="2" w:tplc="CBC25B4A" w:tentative="1">
      <w:start w:val="1"/>
      <w:numFmt w:val="lowerLetter"/>
      <w:lvlText w:val="%3."/>
      <w:lvlJc w:val="left"/>
      <w:pPr>
        <w:tabs>
          <w:tab w:val="num" w:pos="2160"/>
        </w:tabs>
        <w:ind w:left="2160" w:hanging="360"/>
      </w:pPr>
    </w:lvl>
    <w:lvl w:ilvl="3" w:tplc="BA9694AA" w:tentative="1">
      <w:start w:val="1"/>
      <w:numFmt w:val="lowerLetter"/>
      <w:lvlText w:val="%4."/>
      <w:lvlJc w:val="left"/>
      <w:pPr>
        <w:tabs>
          <w:tab w:val="num" w:pos="2880"/>
        </w:tabs>
        <w:ind w:left="2880" w:hanging="360"/>
      </w:pPr>
    </w:lvl>
    <w:lvl w:ilvl="4" w:tplc="E246145A" w:tentative="1">
      <w:start w:val="1"/>
      <w:numFmt w:val="lowerLetter"/>
      <w:lvlText w:val="%5."/>
      <w:lvlJc w:val="left"/>
      <w:pPr>
        <w:tabs>
          <w:tab w:val="num" w:pos="3600"/>
        </w:tabs>
        <w:ind w:left="3600" w:hanging="360"/>
      </w:pPr>
    </w:lvl>
    <w:lvl w:ilvl="5" w:tplc="45A66616" w:tentative="1">
      <w:start w:val="1"/>
      <w:numFmt w:val="lowerLetter"/>
      <w:lvlText w:val="%6."/>
      <w:lvlJc w:val="left"/>
      <w:pPr>
        <w:tabs>
          <w:tab w:val="num" w:pos="4320"/>
        </w:tabs>
        <w:ind w:left="4320" w:hanging="360"/>
      </w:pPr>
    </w:lvl>
    <w:lvl w:ilvl="6" w:tplc="C840DA28" w:tentative="1">
      <w:start w:val="1"/>
      <w:numFmt w:val="lowerLetter"/>
      <w:lvlText w:val="%7."/>
      <w:lvlJc w:val="left"/>
      <w:pPr>
        <w:tabs>
          <w:tab w:val="num" w:pos="5040"/>
        </w:tabs>
        <w:ind w:left="5040" w:hanging="360"/>
      </w:pPr>
    </w:lvl>
    <w:lvl w:ilvl="7" w:tplc="E480B652" w:tentative="1">
      <w:start w:val="1"/>
      <w:numFmt w:val="lowerLetter"/>
      <w:lvlText w:val="%8."/>
      <w:lvlJc w:val="left"/>
      <w:pPr>
        <w:tabs>
          <w:tab w:val="num" w:pos="5760"/>
        </w:tabs>
        <w:ind w:left="5760" w:hanging="360"/>
      </w:pPr>
    </w:lvl>
    <w:lvl w:ilvl="8" w:tplc="D94CE664" w:tentative="1">
      <w:start w:val="1"/>
      <w:numFmt w:val="lowerLetter"/>
      <w:lvlText w:val="%9."/>
      <w:lvlJc w:val="left"/>
      <w:pPr>
        <w:tabs>
          <w:tab w:val="num" w:pos="6480"/>
        </w:tabs>
        <w:ind w:left="6480" w:hanging="360"/>
      </w:pPr>
    </w:lvl>
  </w:abstractNum>
  <w:abstractNum w:abstractNumId="22" w15:restartNumberingAfterBreak="0">
    <w:nsid w:val="3A1B5361"/>
    <w:multiLevelType w:val="hybridMultilevel"/>
    <w:tmpl w:val="27BA5AC8"/>
    <w:lvl w:ilvl="0" w:tplc="7310BD2E">
      <w:start w:val="1"/>
      <w:numFmt w:val="decimal"/>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418C6"/>
    <w:multiLevelType w:val="hybridMultilevel"/>
    <w:tmpl w:val="4956CE4A"/>
    <w:lvl w:ilvl="0" w:tplc="748A45C0">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5" w15:restartNumberingAfterBreak="0">
    <w:nsid w:val="404A1476"/>
    <w:multiLevelType w:val="hybridMultilevel"/>
    <w:tmpl w:val="94A64ADE"/>
    <w:lvl w:ilvl="0" w:tplc="BDFCE206">
      <w:start w:val="1"/>
      <w:numFmt w:val="decimal"/>
      <w:suff w:val="space"/>
      <w:lvlText w:val="%1."/>
      <w:lvlJc w:val="left"/>
      <w:pPr>
        <w:ind w:left="0" w:firstLine="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D5A53"/>
    <w:multiLevelType w:val="hybridMultilevel"/>
    <w:tmpl w:val="F2AA10BE"/>
    <w:lvl w:ilvl="0" w:tplc="3DDEC7F0">
      <w:start w:val="1"/>
      <w:numFmt w:val="decimal"/>
      <w:suff w:val="space"/>
      <w:lvlText w:val="%1."/>
      <w:lvlJc w:val="left"/>
      <w:pPr>
        <w:ind w:left="0" w:firstLine="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7"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608B3"/>
    <w:multiLevelType w:val="multilevel"/>
    <w:tmpl w:val="6D90A88C"/>
    <w:numStyleLink w:val="Headings"/>
  </w:abstractNum>
  <w:abstractNum w:abstractNumId="29" w15:restartNumberingAfterBreak="0">
    <w:nsid w:val="48885B19"/>
    <w:multiLevelType w:val="hybridMultilevel"/>
    <w:tmpl w:val="0CE2AAFE"/>
    <w:lvl w:ilvl="0" w:tplc="6DF6131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C5676"/>
    <w:multiLevelType w:val="hybridMultilevel"/>
    <w:tmpl w:val="8E1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E6A54"/>
    <w:multiLevelType w:val="hybridMultilevel"/>
    <w:tmpl w:val="F65E0CE0"/>
    <w:lvl w:ilvl="0" w:tplc="3E466DA0">
      <w:start w:val="1"/>
      <w:numFmt w:val="decimal"/>
      <w:suff w:val="space"/>
      <w:lvlText w:val="%1."/>
      <w:lvlJc w:val="left"/>
      <w:pPr>
        <w:ind w:left="0" w:firstLine="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7" w15:restartNumberingAfterBreak="0">
    <w:nsid w:val="5E7D241F"/>
    <w:multiLevelType w:val="hybridMultilevel"/>
    <w:tmpl w:val="DF0E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9"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41" w15:restartNumberingAfterBreak="0">
    <w:nsid w:val="661C0D0F"/>
    <w:multiLevelType w:val="hybridMultilevel"/>
    <w:tmpl w:val="3752BEA8"/>
    <w:lvl w:ilvl="0" w:tplc="2F7651BA">
      <w:start w:val="1"/>
      <w:numFmt w:val="decimal"/>
      <w:lvlText w:val="%1."/>
      <w:lvlJc w:val="left"/>
      <w:pPr>
        <w:tabs>
          <w:tab w:val="num" w:pos="360"/>
        </w:tabs>
        <w:ind w:left="360" w:hanging="360"/>
      </w:pPr>
    </w:lvl>
    <w:lvl w:ilvl="1" w:tplc="B1348610" w:tentative="1">
      <w:start w:val="1"/>
      <w:numFmt w:val="decimal"/>
      <w:lvlText w:val="%2."/>
      <w:lvlJc w:val="left"/>
      <w:pPr>
        <w:tabs>
          <w:tab w:val="num" w:pos="1080"/>
        </w:tabs>
        <w:ind w:left="1080" w:hanging="360"/>
      </w:pPr>
    </w:lvl>
    <w:lvl w:ilvl="2" w:tplc="75E67DAA" w:tentative="1">
      <w:start w:val="1"/>
      <w:numFmt w:val="decimal"/>
      <w:lvlText w:val="%3."/>
      <w:lvlJc w:val="left"/>
      <w:pPr>
        <w:tabs>
          <w:tab w:val="num" w:pos="1800"/>
        </w:tabs>
        <w:ind w:left="1800" w:hanging="360"/>
      </w:pPr>
    </w:lvl>
    <w:lvl w:ilvl="3" w:tplc="8A8A3B28" w:tentative="1">
      <w:start w:val="1"/>
      <w:numFmt w:val="decimal"/>
      <w:lvlText w:val="%4."/>
      <w:lvlJc w:val="left"/>
      <w:pPr>
        <w:tabs>
          <w:tab w:val="num" w:pos="2520"/>
        </w:tabs>
        <w:ind w:left="2520" w:hanging="360"/>
      </w:pPr>
    </w:lvl>
    <w:lvl w:ilvl="4" w:tplc="00CC14E8" w:tentative="1">
      <w:start w:val="1"/>
      <w:numFmt w:val="decimal"/>
      <w:lvlText w:val="%5."/>
      <w:lvlJc w:val="left"/>
      <w:pPr>
        <w:tabs>
          <w:tab w:val="num" w:pos="3240"/>
        </w:tabs>
        <w:ind w:left="3240" w:hanging="360"/>
      </w:pPr>
    </w:lvl>
    <w:lvl w:ilvl="5" w:tplc="82EAD580" w:tentative="1">
      <w:start w:val="1"/>
      <w:numFmt w:val="decimal"/>
      <w:lvlText w:val="%6."/>
      <w:lvlJc w:val="left"/>
      <w:pPr>
        <w:tabs>
          <w:tab w:val="num" w:pos="3960"/>
        </w:tabs>
        <w:ind w:left="3960" w:hanging="360"/>
      </w:pPr>
    </w:lvl>
    <w:lvl w:ilvl="6" w:tplc="3F8C6EC4" w:tentative="1">
      <w:start w:val="1"/>
      <w:numFmt w:val="decimal"/>
      <w:lvlText w:val="%7."/>
      <w:lvlJc w:val="left"/>
      <w:pPr>
        <w:tabs>
          <w:tab w:val="num" w:pos="4680"/>
        </w:tabs>
        <w:ind w:left="4680" w:hanging="360"/>
      </w:pPr>
    </w:lvl>
    <w:lvl w:ilvl="7" w:tplc="D8B8C768" w:tentative="1">
      <w:start w:val="1"/>
      <w:numFmt w:val="decimal"/>
      <w:lvlText w:val="%8."/>
      <w:lvlJc w:val="left"/>
      <w:pPr>
        <w:tabs>
          <w:tab w:val="num" w:pos="5400"/>
        </w:tabs>
        <w:ind w:left="5400" w:hanging="360"/>
      </w:pPr>
    </w:lvl>
    <w:lvl w:ilvl="8" w:tplc="5FCC8426" w:tentative="1">
      <w:start w:val="1"/>
      <w:numFmt w:val="decimal"/>
      <w:lvlText w:val="%9."/>
      <w:lvlJc w:val="left"/>
      <w:pPr>
        <w:tabs>
          <w:tab w:val="num" w:pos="6120"/>
        </w:tabs>
        <w:ind w:left="6120" w:hanging="360"/>
      </w:pPr>
    </w:lvl>
  </w:abstractNum>
  <w:abstractNum w:abstractNumId="42" w15:restartNumberingAfterBreak="0">
    <w:nsid w:val="666D3308"/>
    <w:multiLevelType w:val="hybridMultilevel"/>
    <w:tmpl w:val="1256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584F4A"/>
    <w:multiLevelType w:val="hybridMultilevel"/>
    <w:tmpl w:val="5C22D848"/>
    <w:lvl w:ilvl="0" w:tplc="3C80550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ED284F"/>
    <w:multiLevelType w:val="hybridMultilevel"/>
    <w:tmpl w:val="4A24C9A8"/>
    <w:lvl w:ilvl="0" w:tplc="748A45C0">
      <w:numFmt w:val="bullet"/>
      <w:lvlText w:val="•"/>
      <w:lvlJc w:val="left"/>
      <w:pPr>
        <w:ind w:left="1080" w:hanging="72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51"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7"/>
  </w:num>
  <w:num w:numId="5">
    <w:abstractNumId w:val="16"/>
  </w:num>
  <w:num w:numId="6">
    <w:abstractNumId w:val="0"/>
  </w:num>
  <w:num w:numId="7">
    <w:abstractNumId w:val="28"/>
  </w:num>
  <w:num w:numId="8">
    <w:abstractNumId w:val="27"/>
  </w:num>
  <w:num w:numId="9">
    <w:abstractNumId w:val="35"/>
  </w:num>
  <w:num w:numId="10">
    <w:abstractNumId w:val="47"/>
  </w:num>
  <w:num w:numId="11">
    <w:abstractNumId w:val="11"/>
  </w:num>
  <w:num w:numId="12">
    <w:abstractNumId w:val="34"/>
  </w:num>
  <w:num w:numId="13">
    <w:abstractNumId w:val="10"/>
  </w:num>
  <w:num w:numId="14">
    <w:abstractNumId w:val="46"/>
  </w:num>
  <w:num w:numId="15">
    <w:abstractNumId w:val="15"/>
  </w:num>
  <w:num w:numId="16">
    <w:abstractNumId w:val="24"/>
  </w:num>
  <w:num w:numId="17">
    <w:abstractNumId w:val="36"/>
  </w:num>
  <w:num w:numId="18">
    <w:abstractNumId w:val="8"/>
  </w:num>
  <w:num w:numId="19">
    <w:abstractNumId w:val="4"/>
  </w:num>
  <w:num w:numId="20">
    <w:abstractNumId w:val="41"/>
  </w:num>
  <w:num w:numId="21">
    <w:abstractNumId w:val="3"/>
  </w:num>
  <w:num w:numId="22">
    <w:abstractNumId w:val="31"/>
  </w:num>
  <w:num w:numId="23">
    <w:abstractNumId w:val="40"/>
  </w:num>
  <w:num w:numId="24">
    <w:abstractNumId w:val="50"/>
  </w:num>
  <w:num w:numId="25">
    <w:abstractNumId w:val="12"/>
  </w:num>
  <w:num w:numId="26">
    <w:abstractNumId w:val="14"/>
  </w:num>
  <w:num w:numId="27">
    <w:abstractNumId w:val="20"/>
  </w:num>
  <w:num w:numId="28">
    <w:abstractNumId w:val="38"/>
  </w:num>
  <w:num w:numId="29">
    <w:abstractNumId w:val="9"/>
  </w:num>
  <w:num w:numId="30">
    <w:abstractNumId w:val="17"/>
  </w:num>
  <w:num w:numId="31">
    <w:abstractNumId w:val="45"/>
  </w:num>
  <w:num w:numId="32">
    <w:abstractNumId w:val="51"/>
  </w:num>
  <w:num w:numId="33">
    <w:abstractNumId w:val="30"/>
  </w:num>
  <w:num w:numId="34">
    <w:abstractNumId w:val="6"/>
  </w:num>
  <w:num w:numId="35">
    <w:abstractNumId w:val="52"/>
  </w:num>
  <w:num w:numId="36">
    <w:abstractNumId w:val="49"/>
  </w:num>
  <w:num w:numId="37">
    <w:abstractNumId w:val="39"/>
  </w:num>
  <w:num w:numId="38">
    <w:abstractNumId w:val="37"/>
  </w:num>
  <w:num w:numId="39">
    <w:abstractNumId w:val="48"/>
  </w:num>
  <w:num w:numId="40">
    <w:abstractNumId w:val="32"/>
  </w:num>
  <w:num w:numId="41">
    <w:abstractNumId w:val="33"/>
  </w:num>
  <w:num w:numId="42">
    <w:abstractNumId w:val="2"/>
  </w:num>
  <w:num w:numId="43">
    <w:abstractNumId w:val="43"/>
  </w:num>
  <w:num w:numId="44">
    <w:abstractNumId w:val="26"/>
  </w:num>
  <w:num w:numId="45">
    <w:abstractNumId w:val="22"/>
  </w:num>
  <w:num w:numId="46">
    <w:abstractNumId w:val="23"/>
  </w:num>
  <w:num w:numId="47">
    <w:abstractNumId w:val="21"/>
  </w:num>
  <w:num w:numId="48">
    <w:abstractNumId w:val="25"/>
  </w:num>
  <w:num w:numId="49">
    <w:abstractNumId w:val="44"/>
  </w:num>
  <w:num w:numId="50">
    <w:abstractNumId w:val="29"/>
  </w:num>
  <w:num w:numId="51">
    <w:abstractNumId w:val="13"/>
  </w:num>
  <w:num w:numId="52">
    <w:abstractNumId w:val="42"/>
  </w:num>
  <w:num w:numId="53">
    <w:abstractNumId w:val="1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0C5"/>
    <w:rsid w:val="000006EC"/>
    <w:rsid w:val="000006F7"/>
    <w:rsid w:val="00000F6A"/>
    <w:rsid w:val="000012B6"/>
    <w:rsid w:val="00002207"/>
    <w:rsid w:val="00003850"/>
    <w:rsid w:val="00004EDD"/>
    <w:rsid w:val="00005DE0"/>
    <w:rsid w:val="000065D4"/>
    <w:rsid w:val="00006CBD"/>
    <w:rsid w:val="000070DE"/>
    <w:rsid w:val="00007FD5"/>
    <w:rsid w:val="000103BB"/>
    <w:rsid w:val="000103DD"/>
    <w:rsid w:val="000108BD"/>
    <w:rsid w:val="00011B4D"/>
    <w:rsid w:val="0001219F"/>
    <w:rsid w:val="00012F5E"/>
    <w:rsid w:val="0001301E"/>
    <w:rsid w:val="00013A1B"/>
    <w:rsid w:val="00013DDD"/>
    <w:rsid w:val="00013FE7"/>
    <w:rsid w:val="00014922"/>
    <w:rsid w:val="0001503F"/>
    <w:rsid w:val="00015BF5"/>
    <w:rsid w:val="00016383"/>
    <w:rsid w:val="00017A6E"/>
    <w:rsid w:val="00020B30"/>
    <w:rsid w:val="00021FC5"/>
    <w:rsid w:val="000227B0"/>
    <w:rsid w:val="00022F24"/>
    <w:rsid w:val="000247F9"/>
    <w:rsid w:val="000253D9"/>
    <w:rsid w:val="000267A1"/>
    <w:rsid w:val="00026E55"/>
    <w:rsid w:val="00033936"/>
    <w:rsid w:val="0003458E"/>
    <w:rsid w:val="000347E8"/>
    <w:rsid w:val="00034A56"/>
    <w:rsid w:val="00035F7A"/>
    <w:rsid w:val="00036688"/>
    <w:rsid w:val="00036A1A"/>
    <w:rsid w:val="00036BBA"/>
    <w:rsid w:val="00037714"/>
    <w:rsid w:val="00037AB0"/>
    <w:rsid w:val="00040B1A"/>
    <w:rsid w:val="00040C1A"/>
    <w:rsid w:val="00040E4F"/>
    <w:rsid w:val="00041053"/>
    <w:rsid w:val="00041922"/>
    <w:rsid w:val="000419CC"/>
    <w:rsid w:val="00042DE7"/>
    <w:rsid w:val="00042FF8"/>
    <w:rsid w:val="00043666"/>
    <w:rsid w:val="00043FCD"/>
    <w:rsid w:val="00045C3F"/>
    <w:rsid w:val="00046C33"/>
    <w:rsid w:val="00050366"/>
    <w:rsid w:val="00050B84"/>
    <w:rsid w:val="00050E76"/>
    <w:rsid w:val="00052672"/>
    <w:rsid w:val="00052FA8"/>
    <w:rsid w:val="00053592"/>
    <w:rsid w:val="00053BAA"/>
    <w:rsid w:val="00053D70"/>
    <w:rsid w:val="000541DC"/>
    <w:rsid w:val="0005470F"/>
    <w:rsid w:val="00054831"/>
    <w:rsid w:val="00055FD1"/>
    <w:rsid w:val="00056496"/>
    <w:rsid w:val="00056EC9"/>
    <w:rsid w:val="000575A1"/>
    <w:rsid w:val="00060EA3"/>
    <w:rsid w:val="0006109C"/>
    <w:rsid w:val="0006122F"/>
    <w:rsid w:val="000613A6"/>
    <w:rsid w:val="000614FE"/>
    <w:rsid w:val="000622E6"/>
    <w:rsid w:val="000630FE"/>
    <w:rsid w:val="000643DA"/>
    <w:rsid w:val="000643E5"/>
    <w:rsid w:val="00065950"/>
    <w:rsid w:val="00065A4D"/>
    <w:rsid w:val="00066459"/>
    <w:rsid w:val="000665AD"/>
    <w:rsid w:val="000668C3"/>
    <w:rsid w:val="000673CE"/>
    <w:rsid w:val="000674B8"/>
    <w:rsid w:val="00067770"/>
    <w:rsid w:val="00067D97"/>
    <w:rsid w:val="000700B5"/>
    <w:rsid w:val="00070E67"/>
    <w:rsid w:val="0007115A"/>
    <w:rsid w:val="00072035"/>
    <w:rsid w:val="00072426"/>
    <w:rsid w:val="0007310B"/>
    <w:rsid w:val="0007315A"/>
    <w:rsid w:val="00073C0C"/>
    <w:rsid w:val="00074481"/>
    <w:rsid w:val="00075133"/>
    <w:rsid w:val="000759C6"/>
    <w:rsid w:val="00080750"/>
    <w:rsid w:val="00081A8A"/>
    <w:rsid w:val="000820B7"/>
    <w:rsid w:val="000824C6"/>
    <w:rsid w:val="00082EB3"/>
    <w:rsid w:val="0008392D"/>
    <w:rsid w:val="000842EB"/>
    <w:rsid w:val="0008447C"/>
    <w:rsid w:val="000857FE"/>
    <w:rsid w:val="000858A2"/>
    <w:rsid w:val="00085DC4"/>
    <w:rsid w:val="00085E8A"/>
    <w:rsid w:val="0008644B"/>
    <w:rsid w:val="0008738E"/>
    <w:rsid w:val="00087F52"/>
    <w:rsid w:val="00090F63"/>
    <w:rsid w:val="000917F2"/>
    <w:rsid w:val="00091E80"/>
    <w:rsid w:val="00092634"/>
    <w:rsid w:val="00093A07"/>
    <w:rsid w:val="0009412F"/>
    <w:rsid w:val="0009442B"/>
    <w:rsid w:val="00094CA7"/>
    <w:rsid w:val="000950AF"/>
    <w:rsid w:val="0009574E"/>
    <w:rsid w:val="000966EA"/>
    <w:rsid w:val="000973C8"/>
    <w:rsid w:val="000A0298"/>
    <w:rsid w:val="000A0CBE"/>
    <w:rsid w:val="000A1DB9"/>
    <w:rsid w:val="000A2AA9"/>
    <w:rsid w:val="000A2DB6"/>
    <w:rsid w:val="000A2F4C"/>
    <w:rsid w:val="000A34BA"/>
    <w:rsid w:val="000A4A19"/>
    <w:rsid w:val="000A56F2"/>
    <w:rsid w:val="000A5AC3"/>
    <w:rsid w:val="000A6213"/>
    <w:rsid w:val="000A65B1"/>
    <w:rsid w:val="000A6AF2"/>
    <w:rsid w:val="000A6E05"/>
    <w:rsid w:val="000A6EC4"/>
    <w:rsid w:val="000B01E5"/>
    <w:rsid w:val="000B02A8"/>
    <w:rsid w:val="000B02E8"/>
    <w:rsid w:val="000B0AB0"/>
    <w:rsid w:val="000B0FC0"/>
    <w:rsid w:val="000B12C7"/>
    <w:rsid w:val="000B12FA"/>
    <w:rsid w:val="000B4C0D"/>
    <w:rsid w:val="000B5F42"/>
    <w:rsid w:val="000B619C"/>
    <w:rsid w:val="000B6F6E"/>
    <w:rsid w:val="000B7894"/>
    <w:rsid w:val="000B78E0"/>
    <w:rsid w:val="000C08BF"/>
    <w:rsid w:val="000C0999"/>
    <w:rsid w:val="000C0F1D"/>
    <w:rsid w:val="000C18D3"/>
    <w:rsid w:val="000C1F3F"/>
    <w:rsid w:val="000C29AA"/>
    <w:rsid w:val="000C2D51"/>
    <w:rsid w:val="000C324B"/>
    <w:rsid w:val="000C3784"/>
    <w:rsid w:val="000C39D6"/>
    <w:rsid w:val="000C3B9A"/>
    <w:rsid w:val="000C45C2"/>
    <w:rsid w:val="000C469D"/>
    <w:rsid w:val="000C4FF0"/>
    <w:rsid w:val="000C513F"/>
    <w:rsid w:val="000C54EB"/>
    <w:rsid w:val="000C5B6E"/>
    <w:rsid w:val="000D01C7"/>
    <w:rsid w:val="000D04A0"/>
    <w:rsid w:val="000D09AB"/>
    <w:rsid w:val="000D1625"/>
    <w:rsid w:val="000D2448"/>
    <w:rsid w:val="000D25A8"/>
    <w:rsid w:val="000D4124"/>
    <w:rsid w:val="000D4698"/>
    <w:rsid w:val="000D557B"/>
    <w:rsid w:val="000D5BCE"/>
    <w:rsid w:val="000D5C96"/>
    <w:rsid w:val="000D609B"/>
    <w:rsid w:val="000D7994"/>
    <w:rsid w:val="000D7CEC"/>
    <w:rsid w:val="000E00A5"/>
    <w:rsid w:val="000E0C34"/>
    <w:rsid w:val="000E2717"/>
    <w:rsid w:val="000E2C85"/>
    <w:rsid w:val="000E3031"/>
    <w:rsid w:val="000E36C3"/>
    <w:rsid w:val="000E372E"/>
    <w:rsid w:val="000E3774"/>
    <w:rsid w:val="000E3AE7"/>
    <w:rsid w:val="000E4C53"/>
    <w:rsid w:val="000E65A3"/>
    <w:rsid w:val="000F02F2"/>
    <w:rsid w:val="000F30DB"/>
    <w:rsid w:val="000F3453"/>
    <w:rsid w:val="000F3C0F"/>
    <w:rsid w:val="000F43B0"/>
    <w:rsid w:val="000F48AD"/>
    <w:rsid w:val="000F6F2A"/>
    <w:rsid w:val="000F7135"/>
    <w:rsid w:val="001005DA"/>
    <w:rsid w:val="00101155"/>
    <w:rsid w:val="001034B2"/>
    <w:rsid w:val="0010401C"/>
    <w:rsid w:val="00104BD3"/>
    <w:rsid w:val="001059FB"/>
    <w:rsid w:val="00105F69"/>
    <w:rsid w:val="00105FA1"/>
    <w:rsid w:val="001065BD"/>
    <w:rsid w:val="001068AB"/>
    <w:rsid w:val="00107083"/>
    <w:rsid w:val="00107A3A"/>
    <w:rsid w:val="00107BC7"/>
    <w:rsid w:val="001101A6"/>
    <w:rsid w:val="00113EE5"/>
    <w:rsid w:val="0011442A"/>
    <w:rsid w:val="00115BE5"/>
    <w:rsid w:val="00115F1C"/>
    <w:rsid w:val="001173E0"/>
    <w:rsid w:val="001179E2"/>
    <w:rsid w:val="00121089"/>
    <w:rsid w:val="00121441"/>
    <w:rsid w:val="001224CF"/>
    <w:rsid w:val="001227CD"/>
    <w:rsid w:val="00124265"/>
    <w:rsid w:val="001244B0"/>
    <w:rsid w:val="00126651"/>
    <w:rsid w:val="00127005"/>
    <w:rsid w:val="00127203"/>
    <w:rsid w:val="00130270"/>
    <w:rsid w:val="00130AA0"/>
    <w:rsid w:val="00130E3D"/>
    <w:rsid w:val="00131370"/>
    <w:rsid w:val="001317EE"/>
    <w:rsid w:val="001318DE"/>
    <w:rsid w:val="00133382"/>
    <w:rsid w:val="001347AB"/>
    <w:rsid w:val="00136219"/>
    <w:rsid w:val="0013678D"/>
    <w:rsid w:val="00141A16"/>
    <w:rsid w:val="00141B2D"/>
    <w:rsid w:val="00141B7F"/>
    <w:rsid w:val="001435AC"/>
    <w:rsid w:val="00143CD5"/>
    <w:rsid w:val="0014413D"/>
    <w:rsid w:val="00146C58"/>
    <w:rsid w:val="00147A10"/>
    <w:rsid w:val="00150E81"/>
    <w:rsid w:val="00151830"/>
    <w:rsid w:val="00152236"/>
    <w:rsid w:val="00153EB5"/>
    <w:rsid w:val="00154A5B"/>
    <w:rsid w:val="0015623F"/>
    <w:rsid w:val="00156D0C"/>
    <w:rsid w:val="001578A1"/>
    <w:rsid w:val="001578CD"/>
    <w:rsid w:val="0016128E"/>
    <w:rsid w:val="00162DC8"/>
    <w:rsid w:val="00163023"/>
    <w:rsid w:val="001631B6"/>
    <w:rsid w:val="001640DD"/>
    <w:rsid w:val="00164751"/>
    <w:rsid w:val="001649A2"/>
    <w:rsid w:val="00164AEB"/>
    <w:rsid w:val="00164EDD"/>
    <w:rsid w:val="00165268"/>
    <w:rsid w:val="0016597E"/>
    <w:rsid w:val="00165AF6"/>
    <w:rsid w:val="0016748C"/>
    <w:rsid w:val="001700BD"/>
    <w:rsid w:val="00170857"/>
    <w:rsid w:val="00170CB4"/>
    <w:rsid w:val="001717B5"/>
    <w:rsid w:val="00171C97"/>
    <w:rsid w:val="00172487"/>
    <w:rsid w:val="001724E7"/>
    <w:rsid w:val="001725DD"/>
    <w:rsid w:val="00172E71"/>
    <w:rsid w:val="00172F00"/>
    <w:rsid w:val="00174454"/>
    <w:rsid w:val="00177686"/>
    <w:rsid w:val="001776F9"/>
    <w:rsid w:val="00180B20"/>
    <w:rsid w:val="00182168"/>
    <w:rsid w:val="00182C8B"/>
    <w:rsid w:val="00182DC0"/>
    <w:rsid w:val="001836B4"/>
    <w:rsid w:val="00184A2A"/>
    <w:rsid w:val="00185494"/>
    <w:rsid w:val="00186EC6"/>
    <w:rsid w:val="001911A2"/>
    <w:rsid w:val="001929F4"/>
    <w:rsid w:val="00192E68"/>
    <w:rsid w:val="001931F5"/>
    <w:rsid w:val="001937FD"/>
    <w:rsid w:val="00194C54"/>
    <w:rsid w:val="00194C95"/>
    <w:rsid w:val="001962A6"/>
    <w:rsid w:val="00196B08"/>
    <w:rsid w:val="00197CF2"/>
    <w:rsid w:val="001A04B4"/>
    <w:rsid w:val="001A1B63"/>
    <w:rsid w:val="001A28E1"/>
    <w:rsid w:val="001A2B4C"/>
    <w:rsid w:val="001A3562"/>
    <w:rsid w:val="001A36E2"/>
    <w:rsid w:val="001A3815"/>
    <w:rsid w:val="001A43AA"/>
    <w:rsid w:val="001A5322"/>
    <w:rsid w:val="001A6531"/>
    <w:rsid w:val="001A6E1D"/>
    <w:rsid w:val="001B04DD"/>
    <w:rsid w:val="001B09E1"/>
    <w:rsid w:val="001B10B8"/>
    <w:rsid w:val="001B121A"/>
    <w:rsid w:val="001B1D58"/>
    <w:rsid w:val="001B242F"/>
    <w:rsid w:val="001B34E3"/>
    <w:rsid w:val="001B35D4"/>
    <w:rsid w:val="001B43D5"/>
    <w:rsid w:val="001C06E6"/>
    <w:rsid w:val="001C0886"/>
    <w:rsid w:val="001C135C"/>
    <w:rsid w:val="001C24F2"/>
    <w:rsid w:val="001C363F"/>
    <w:rsid w:val="001C375D"/>
    <w:rsid w:val="001C3899"/>
    <w:rsid w:val="001C3935"/>
    <w:rsid w:val="001C4340"/>
    <w:rsid w:val="001C48B8"/>
    <w:rsid w:val="001C53AA"/>
    <w:rsid w:val="001C6AC6"/>
    <w:rsid w:val="001D028E"/>
    <w:rsid w:val="001D0C8F"/>
    <w:rsid w:val="001D10F6"/>
    <w:rsid w:val="001D165E"/>
    <w:rsid w:val="001D2EF5"/>
    <w:rsid w:val="001D50C1"/>
    <w:rsid w:val="001D6B38"/>
    <w:rsid w:val="001D79AC"/>
    <w:rsid w:val="001D7C62"/>
    <w:rsid w:val="001D7D6C"/>
    <w:rsid w:val="001E0CCA"/>
    <w:rsid w:val="001E111A"/>
    <w:rsid w:val="001E2A62"/>
    <w:rsid w:val="001E2EC6"/>
    <w:rsid w:val="001E4456"/>
    <w:rsid w:val="001E44B5"/>
    <w:rsid w:val="001E4D4E"/>
    <w:rsid w:val="001E5713"/>
    <w:rsid w:val="001E5A63"/>
    <w:rsid w:val="001E62BA"/>
    <w:rsid w:val="001E6502"/>
    <w:rsid w:val="001E6738"/>
    <w:rsid w:val="001F0527"/>
    <w:rsid w:val="001F26FB"/>
    <w:rsid w:val="001F2819"/>
    <w:rsid w:val="001F33A9"/>
    <w:rsid w:val="001F3A11"/>
    <w:rsid w:val="001F3AB8"/>
    <w:rsid w:val="001F3DF5"/>
    <w:rsid w:val="001F56A7"/>
    <w:rsid w:val="001F56EE"/>
    <w:rsid w:val="001F59E2"/>
    <w:rsid w:val="001F62D1"/>
    <w:rsid w:val="001F62FF"/>
    <w:rsid w:val="001F6FCB"/>
    <w:rsid w:val="001F7053"/>
    <w:rsid w:val="001F7187"/>
    <w:rsid w:val="0020124A"/>
    <w:rsid w:val="00201918"/>
    <w:rsid w:val="00202186"/>
    <w:rsid w:val="0020223E"/>
    <w:rsid w:val="002043EC"/>
    <w:rsid w:val="002045F8"/>
    <w:rsid w:val="002049BC"/>
    <w:rsid w:val="00204B72"/>
    <w:rsid w:val="00204D48"/>
    <w:rsid w:val="00205125"/>
    <w:rsid w:val="00206E71"/>
    <w:rsid w:val="00206F6A"/>
    <w:rsid w:val="002073FD"/>
    <w:rsid w:val="00212373"/>
    <w:rsid w:val="00212D85"/>
    <w:rsid w:val="0021311E"/>
    <w:rsid w:val="00213710"/>
    <w:rsid w:val="00214143"/>
    <w:rsid w:val="0021513D"/>
    <w:rsid w:val="00215FEF"/>
    <w:rsid w:val="00216718"/>
    <w:rsid w:val="0021680D"/>
    <w:rsid w:val="002174F4"/>
    <w:rsid w:val="0022267D"/>
    <w:rsid w:val="00222A76"/>
    <w:rsid w:val="00222B4B"/>
    <w:rsid w:val="0022336E"/>
    <w:rsid w:val="002233B7"/>
    <w:rsid w:val="002241B3"/>
    <w:rsid w:val="002242CD"/>
    <w:rsid w:val="00225E50"/>
    <w:rsid w:val="00226F3D"/>
    <w:rsid w:val="00227D84"/>
    <w:rsid w:val="00230FFA"/>
    <w:rsid w:val="002313BC"/>
    <w:rsid w:val="00231566"/>
    <w:rsid w:val="00232011"/>
    <w:rsid w:val="0023252D"/>
    <w:rsid w:val="0023363B"/>
    <w:rsid w:val="00233719"/>
    <w:rsid w:val="00233BB0"/>
    <w:rsid w:val="0023454B"/>
    <w:rsid w:val="0023471B"/>
    <w:rsid w:val="00235987"/>
    <w:rsid w:val="00235AD6"/>
    <w:rsid w:val="00236CCD"/>
    <w:rsid w:val="00237349"/>
    <w:rsid w:val="002377DB"/>
    <w:rsid w:val="00240403"/>
    <w:rsid w:val="00240F6B"/>
    <w:rsid w:val="00240FF5"/>
    <w:rsid w:val="0024134E"/>
    <w:rsid w:val="00241364"/>
    <w:rsid w:val="00241771"/>
    <w:rsid w:val="002417C1"/>
    <w:rsid w:val="0024219C"/>
    <w:rsid w:val="00242E9B"/>
    <w:rsid w:val="00242EA4"/>
    <w:rsid w:val="00242F41"/>
    <w:rsid w:val="00243DC0"/>
    <w:rsid w:val="00244D77"/>
    <w:rsid w:val="00244EF2"/>
    <w:rsid w:val="002456AD"/>
    <w:rsid w:val="00245F76"/>
    <w:rsid w:val="00246140"/>
    <w:rsid w:val="0024738D"/>
    <w:rsid w:val="00247477"/>
    <w:rsid w:val="002501A1"/>
    <w:rsid w:val="002501F7"/>
    <w:rsid w:val="002509D6"/>
    <w:rsid w:val="00250BB8"/>
    <w:rsid w:val="0025161A"/>
    <w:rsid w:val="00251EA1"/>
    <w:rsid w:val="002522C5"/>
    <w:rsid w:val="00252A11"/>
    <w:rsid w:val="00252AB4"/>
    <w:rsid w:val="00252EA0"/>
    <w:rsid w:val="00253772"/>
    <w:rsid w:val="00256621"/>
    <w:rsid w:val="0025A1EA"/>
    <w:rsid w:val="0026044B"/>
    <w:rsid w:val="0026179B"/>
    <w:rsid w:val="002625F3"/>
    <w:rsid w:val="002626DF"/>
    <w:rsid w:val="00263765"/>
    <w:rsid w:val="00263CB4"/>
    <w:rsid w:val="00265904"/>
    <w:rsid w:val="00267560"/>
    <w:rsid w:val="00267A65"/>
    <w:rsid w:val="00267AE6"/>
    <w:rsid w:val="00270440"/>
    <w:rsid w:val="0027165E"/>
    <w:rsid w:val="002722CE"/>
    <w:rsid w:val="002734BA"/>
    <w:rsid w:val="0027512F"/>
    <w:rsid w:val="00275CAA"/>
    <w:rsid w:val="002769E4"/>
    <w:rsid w:val="00277418"/>
    <w:rsid w:val="0027787C"/>
    <w:rsid w:val="002814F8"/>
    <w:rsid w:val="002842B9"/>
    <w:rsid w:val="00285318"/>
    <w:rsid w:val="00285327"/>
    <w:rsid w:val="00285A75"/>
    <w:rsid w:val="0028664F"/>
    <w:rsid w:val="00287671"/>
    <w:rsid w:val="002879BE"/>
    <w:rsid w:val="00290777"/>
    <w:rsid w:val="002916DE"/>
    <w:rsid w:val="00291899"/>
    <w:rsid w:val="00292ADC"/>
    <w:rsid w:val="00293105"/>
    <w:rsid w:val="00293554"/>
    <w:rsid w:val="00293596"/>
    <w:rsid w:val="00293DEE"/>
    <w:rsid w:val="00294AF9"/>
    <w:rsid w:val="00294D14"/>
    <w:rsid w:val="00294D87"/>
    <w:rsid w:val="00295494"/>
    <w:rsid w:val="00296719"/>
    <w:rsid w:val="0029679A"/>
    <w:rsid w:val="002A0237"/>
    <w:rsid w:val="002A0D6C"/>
    <w:rsid w:val="002A26DE"/>
    <w:rsid w:val="002A34F8"/>
    <w:rsid w:val="002A3963"/>
    <w:rsid w:val="002A43B3"/>
    <w:rsid w:val="002A4444"/>
    <w:rsid w:val="002A4499"/>
    <w:rsid w:val="002A4603"/>
    <w:rsid w:val="002A4FBC"/>
    <w:rsid w:val="002A5C33"/>
    <w:rsid w:val="002A64BC"/>
    <w:rsid w:val="002A65EE"/>
    <w:rsid w:val="002A674D"/>
    <w:rsid w:val="002A70EB"/>
    <w:rsid w:val="002A728B"/>
    <w:rsid w:val="002A763F"/>
    <w:rsid w:val="002B04C3"/>
    <w:rsid w:val="002B092E"/>
    <w:rsid w:val="002B13A1"/>
    <w:rsid w:val="002B2FF7"/>
    <w:rsid w:val="002B37F4"/>
    <w:rsid w:val="002B4B04"/>
    <w:rsid w:val="002B5A99"/>
    <w:rsid w:val="002B5F90"/>
    <w:rsid w:val="002B6ADA"/>
    <w:rsid w:val="002B6B66"/>
    <w:rsid w:val="002B6B70"/>
    <w:rsid w:val="002C06DE"/>
    <w:rsid w:val="002C0FC3"/>
    <w:rsid w:val="002C15A9"/>
    <w:rsid w:val="002C165E"/>
    <w:rsid w:val="002C1E37"/>
    <w:rsid w:val="002C39C4"/>
    <w:rsid w:val="002C59C5"/>
    <w:rsid w:val="002C63B8"/>
    <w:rsid w:val="002C70FE"/>
    <w:rsid w:val="002C7411"/>
    <w:rsid w:val="002C7FE9"/>
    <w:rsid w:val="002D00AD"/>
    <w:rsid w:val="002D0106"/>
    <w:rsid w:val="002D061D"/>
    <w:rsid w:val="002D08F6"/>
    <w:rsid w:val="002D39C4"/>
    <w:rsid w:val="002D42CE"/>
    <w:rsid w:val="002D4352"/>
    <w:rsid w:val="002D49AF"/>
    <w:rsid w:val="002D4EFD"/>
    <w:rsid w:val="002D613D"/>
    <w:rsid w:val="002D667B"/>
    <w:rsid w:val="002D73C0"/>
    <w:rsid w:val="002E0331"/>
    <w:rsid w:val="002E449C"/>
    <w:rsid w:val="002E60F4"/>
    <w:rsid w:val="002E7F92"/>
    <w:rsid w:val="002F0C27"/>
    <w:rsid w:val="002F109F"/>
    <w:rsid w:val="002F1132"/>
    <w:rsid w:val="002F1177"/>
    <w:rsid w:val="002F2617"/>
    <w:rsid w:val="002F2B01"/>
    <w:rsid w:val="002F4BCC"/>
    <w:rsid w:val="002F4C56"/>
    <w:rsid w:val="002F508E"/>
    <w:rsid w:val="002F510A"/>
    <w:rsid w:val="002F720E"/>
    <w:rsid w:val="002F747E"/>
    <w:rsid w:val="0030019B"/>
    <w:rsid w:val="003005E2"/>
    <w:rsid w:val="00300869"/>
    <w:rsid w:val="00300B75"/>
    <w:rsid w:val="00301613"/>
    <w:rsid w:val="00302191"/>
    <w:rsid w:val="00302817"/>
    <w:rsid w:val="00303512"/>
    <w:rsid w:val="00303ACE"/>
    <w:rsid w:val="00303E32"/>
    <w:rsid w:val="003043A8"/>
    <w:rsid w:val="00304DC4"/>
    <w:rsid w:val="00304ECE"/>
    <w:rsid w:val="0030545C"/>
    <w:rsid w:val="003055C4"/>
    <w:rsid w:val="003058FF"/>
    <w:rsid w:val="003064B2"/>
    <w:rsid w:val="00307F2A"/>
    <w:rsid w:val="0031042E"/>
    <w:rsid w:val="00310B1F"/>
    <w:rsid w:val="00311007"/>
    <w:rsid w:val="00311D10"/>
    <w:rsid w:val="00311EBC"/>
    <w:rsid w:val="0031467E"/>
    <w:rsid w:val="00314D35"/>
    <w:rsid w:val="0031518A"/>
    <w:rsid w:val="0031558F"/>
    <w:rsid w:val="00316071"/>
    <w:rsid w:val="00316159"/>
    <w:rsid w:val="003165A6"/>
    <w:rsid w:val="0031664C"/>
    <w:rsid w:val="00316919"/>
    <w:rsid w:val="0031777A"/>
    <w:rsid w:val="00317807"/>
    <w:rsid w:val="00320866"/>
    <w:rsid w:val="00320ACA"/>
    <w:rsid w:val="00320E1C"/>
    <w:rsid w:val="003210AD"/>
    <w:rsid w:val="003223D9"/>
    <w:rsid w:val="00322A73"/>
    <w:rsid w:val="00323D1F"/>
    <w:rsid w:val="00323F62"/>
    <w:rsid w:val="0033133C"/>
    <w:rsid w:val="00332427"/>
    <w:rsid w:val="00333391"/>
    <w:rsid w:val="00333430"/>
    <w:rsid w:val="00333499"/>
    <w:rsid w:val="00334CA9"/>
    <w:rsid w:val="0033535B"/>
    <w:rsid w:val="00335B73"/>
    <w:rsid w:val="00335E19"/>
    <w:rsid w:val="00335E6D"/>
    <w:rsid w:val="003367A7"/>
    <w:rsid w:val="003369A2"/>
    <w:rsid w:val="00336CE8"/>
    <w:rsid w:val="00336EFF"/>
    <w:rsid w:val="00336FE3"/>
    <w:rsid w:val="003372B8"/>
    <w:rsid w:val="003377F0"/>
    <w:rsid w:val="0034030F"/>
    <w:rsid w:val="00340B59"/>
    <w:rsid w:val="0034106A"/>
    <w:rsid w:val="003413D6"/>
    <w:rsid w:val="003413FF"/>
    <w:rsid w:val="003419CB"/>
    <w:rsid w:val="003427C9"/>
    <w:rsid w:val="00342AE0"/>
    <w:rsid w:val="00342CE3"/>
    <w:rsid w:val="0034390B"/>
    <w:rsid w:val="00343E5C"/>
    <w:rsid w:val="00344B5F"/>
    <w:rsid w:val="00344C07"/>
    <w:rsid w:val="003456B3"/>
    <w:rsid w:val="003462A4"/>
    <w:rsid w:val="00346514"/>
    <w:rsid w:val="00346756"/>
    <w:rsid w:val="003469EA"/>
    <w:rsid w:val="0035193D"/>
    <w:rsid w:val="00351952"/>
    <w:rsid w:val="003545BD"/>
    <w:rsid w:val="00354C2B"/>
    <w:rsid w:val="00354CD5"/>
    <w:rsid w:val="003559B4"/>
    <w:rsid w:val="00355E1F"/>
    <w:rsid w:val="003566DD"/>
    <w:rsid w:val="0035744F"/>
    <w:rsid w:val="0036017B"/>
    <w:rsid w:val="00360A67"/>
    <w:rsid w:val="0036163A"/>
    <w:rsid w:val="00362755"/>
    <w:rsid w:val="00362F23"/>
    <w:rsid w:val="00363A33"/>
    <w:rsid w:val="00363AEC"/>
    <w:rsid w:val="00363ECB"/>
    <w:rsid w:val="003655EF"/>
    <w:rsid w:val="00367A53"/>
    <w:rsid w:val="0037092F"/>
    <w:rsid w:val="003710EA"/>
    <w:rsid w:val="00371A40"/>
    <w:rsid w:val="00372678"/>
    <w:rsid w:val="00373B93"/>
    <w:rsid w:val="00373FAC"/>
    <w:rsid w:val="003743D0"/>
    <w:rsid w:val="00374688"/>
    <w:rsid w:val="00374882"/>
    <w:rsid w:val="00375136"/>
    <w:rsid w:val="00375287"/>
    <w:rsid w:val="003759EE"/>
    <w:rsid w:val="003764FE"/>
    <w:rsid w:val="003768BB"/>
    <w:rsid w:val="00377A2C"/>
    <w:rsid w:val="00377ED3"/>
    <w:rsid w:val="003804E7"/>
    <w:rsid w:val="0038056A"/>
    <w:rsid w:val="003807D5"/>
    <w:rsid w:val="003815BC"/>
    <w:rsid w:val="00381733"/>
    <w:rsid w:val="00381A9D"/>
    <w:rsid w:val="00381ABC"/>
    <w:rsid w:val="003823DE"/>
    <w:rsid w:val="00382823"/>
    <w:rsid w:val="00382ADB"/>
    <w:rsid w:val="00382FD4"/>
    <w:rsid w:val="003842C8"/>
    <w:rsid w:val="003844C2"/>
    <w:rsid w:val="003844D7"/>
    <w:rsid w:val="00384745"/>
    <w:rsid w:val="003847B6"/>
    <w:rsid w:val="0038503F"/>
    <w:rsid w:val="0038554B"/>
    <w:rsid w:val="00386F96"/>
    <w:rsid w:val="003874FF"/>
    <w:rsid w:val="0039014F"/>
    <w:rsid w:val="003905CB"/>
    <w:rsid w:val="00390A15"/>
    <w:rsid w:val="0039188F"/>
    <w:rsid w:val="00392569"/>
    <w:rsid w:val="00392C5F"/>
    <w:rsid w:val="00394437"/>
    <w:rsid w:val="00394458"/>
    <w:rsid w:val="00395921"/>
    <w:rsid w:val="00395D18"/>
    <w:rsid w:val="00395D84"/>
    <w:rsid w:val="003964D9"/>
    <w:rsid w:val="003975C6"/>
    <w:rsid w:val="003A18A0"/>
    <w:rsid w:val="003A2597"/>
    <w:rsid w:val="003A2832"/>
    <w:rsid w:val="003A2C8F"/>
    <w:rsid w:val="003A3257"/>
    <w:rsid w:val="003A35A2"/>
    <w:rsid w:val="003A36D6"/>
    <w:rsid w:val="003A38FE"/>
    <w:rsid w:val="003A51F1"/>
    <w:rsid w:val="003A5ACE"/>
    <w:rsid w:val="003A6280"/>
    <w:rsid w:val="003A6E69"/>
    <w:rsid w:val="003A7242"/>
    <w:rsid w:val="003A72F4"/>
    <w:rsid w:val="003A7A9B"/>
    <w:rsid w:val="003B00A9"/>
    <w:rsid w:val="003B05A3"/>
    <w:rsid w:val="003B06FB"/>
    <w:rsid w:val="003B10DE"/>
    <w:rsid w:val="003B2000"/>
    <w:rsid w:val="003B219E"/>
    <w:rsid w:val="003B2ECE"/>
    <w:rsid w:val="003B4C1D"/>
    <w:rsid w:val="003B4C5D"/>
    <w:rsid w:val="003B5DE5"/>
    <w:rsid w:val="003B6997"/>
    <w:rsid w:val="003B6B16"/>
    <w:rsid w:val="003B7F53"/>
    <w:rsid w:val="003C04F7"/>
    <w:rsid w:val="003C076B"/>
    <w:rsid w:val="003C166A"/>
    <w:rsid w:val="003C1C95"/>
    <w:rsid w:val="003C1DE0"/>
    <w:rsid w:val="003C2EB9"/>
    <w:rsid w:val="003C3204"/>
    <w:rsid w:val="003C3EF9"/>
    <w:rsid w:val="003C531C"/>
    <w:rsid w:val="003C6FEA"/>
    <w:rsid w:val="003C78CB"/>
    <w:rsid w:val="003C7FC5"/>
    <w:rsid w:val="003D19ED"/>
    <w:rsid w:val="003D3638"/>
    <w:rsid w:val="003D366C"/>
    <w:rsid w:val="003D3D55"/>
    <w:rsid w:val="003D4116"/>
    <w:rsid w:val="003D556D"/>
    <w:rsid w:val="003D66C1"/>
    <w:rsid w:val="003D6C9F"/>
    <w:rsid w:val="003D6E07"/>
    <w:rsid w:val="003E0179"/>
    <w:rsid w:val="003E0763"/>
    <w:rsid w:val="003E07DA"/>
    <w:rsid w:val="003E26DF"/>
    <w:rsid w:val="003E2D82"/>
    <w:rsid w:val="003E353D"/>
    <w:rsid w:val="003E3684"/>
    <w:rsid w:val="003E528B"/>
    <w:rsid w:val="003E5957"/>
    <w:rsid w:val="003E630E"/>
    <w:rsid w:val="003E6B6C"/>
    <w:rsid w:val="003E6EAD"/>
    <w:rsid w:val="003E7294"/>
    <w:rsid w:val="003E7E13"/>
    <w:rsid w:val="003F24EC"/>
    <w:rsid w:val="003F2FC2"/>
    <w:rsid w:val="003F3E28"/>
    <w:rsid w:val="003F4329"/>
    <w:rsid w:val="003F5DAC"/>
    <w:rsid w:val="003F5F53"/>
    <w:rsid w:val="003F63A5"/>
    <w:rsid w:val="003F65F5"/>
    <w:rsid w:val="003F7636"/>
    <w:rsid w:val="004002D1"/>
    <w:rsid w:val="00401F61"/>
    <w:rsid w:val="00402501"/>
    <w:rsid w:val="00403BA9"/>
    <w:rsid w:val="0040437B"/>
    <w:rsid w:val="00406584"/>
    <w:rsid w:val="00407283"/>
    <w:rsid w:val="00407F26"/>
    <w:rsid w:val="0041085F"/>
    <w:rsid w:val="004108E4"/>
    <w:rsid w:val="00411067"/>
    <w:rsid w:val="004119CE"/>
    <w:rsid w:val="00412C83"/>
    <w:rsid w:val="00412E12"/>
    <w:rsid w:val="004147CB"/>
    <w:rsid w:val="00414FF1"/>
    <w:rsid w:val="004154C1"/>
    <w:rsid w:val="0041604B"/>
    <w:rsid w:val="0041609A"/>
    <w:rsid w:val="00416DF9"/>
    <w:rsid w:val="004174B0"/>
    <w:rsid w:val="004204FB"/>
    <w:rsid w:val="004205CE"/>
    <w:rsid w:val="0042083E"/>
    <w:rsid w:val="00421971"/>
    <w:rsid w:val="00422DB4"/>
    <w:rsid w:val="00422F4F"/>
    <w:rsid w:val="0042349C"/>
    <w:rsid w:val="00423A94"/>
    <w:rsid w:val="0042401C"/>
    <w:rsid w:val="00424D31"/>
    <w:rsid w:val="00424E49"/>
    <w:rsid w:val="00426014"/>
    <w:rsid w:val="00426386"/>
    <w:rsid w:val="00426505"/>
    <w:rsid w:val="00426CE4"/>
    <w:rsid w:val="00426FFF"/>
    <w:rsid w:val="00427378"/>
    <w:rsid w:val="004273A7"/>
    <w:rsid w:val="00427623"/>
    <w:rsid w:val="00427ADB"/>
    <w:rsid w:val="00427CB7"/>
    <w:rsid w:val="00430BCE"/>
    <w:rsid w:val="0043170C"/>
    <w:rsid w:val="00431DE7"/>
    <w:rsid w:val="0043234E"/>
    <w:rsid w:val="0043253A"/>
    <w:rsid w:val="00432ECC"/>
    <w:rsid w:val="004330E0"/>
    <w:rsid w:val="00433B92"/>
    <w:rsid w:val="004341EF"/>
    <w:rsid w:val="004343C3"/>
    <w:rsid w:val="0043495E"/>
    <w:rsid w:val="00435061"/>
    <w:rsid w:val="00435320"/>
    <w:rsid w:val="00435F34"/>
    <w:rsid w:val="00436BE4"/>
    <w:rsid w:val="004429AD"/>
    <w:rsid w:val="00444800"/>
    <w:rsid w:val="00444F2F"/>
    <w:rsid w:val="00445160"/>
    <w:rsid w:val="004467F5"/>
    <w:rsid w:val="00447686"/>
    <w:rsid w:val="00447811"/>
    <w:rsid w:val="00447980"/>
    <w:rsid w:val="00450A11"/>
    <w:rsid w:val="00450C39"/>
    <w:rsid w:val="00451DF8"/>
    <w:rsid w:val="004524E8"/>
    <w:rsid w:val="004529D1"/>
    <w:rsid w:val="00452E3C"/>
    <w:rsid w:val="00453F41"/>
    <w:rsid w:val="004545FE"/>
    <w:rsid w:val="004546D4"/>
    <w:rsid w:val="0045542C"/>
    <w:rsid w:val="0045611D"/>
    <w:rsid w:val="00457381"/>
    <w:rsid w:val="00457406"/>
    <w:rsid w:val="00457579"/>
    <w:rsid w:val="00457E2B"/>
    <w:rsid w:val="004605A8"/>
    <w:rsid w:val="00460B7D"/>
    <w:rsid w:val="00460DBA"/>
    <w:rsid w:val="00460EBF"/>
    <w:rsid w:val="00461AF6"/>
    <w:rsid w:val="00461B7A"/>
    <w:rsid w:val="00461F09"/>
    <w:rsid w:val="004627C3"/>
    <w:rsid w:val="00463304"/>
    <w:rsid w:val="004634BB"/>
    <w:rsid w:val="00463872"/>
    <w:rsid w:val="00464DDD"/>
    <w:rsid w:val="0046500B"/>
    <w:rsid w:val="00465021"/>
    <w:rsid w:val="00465640"/>
    <w:rsid w:val="0046567E"/>
    <w:rsid w:val="00465C1F"/>
    <w:rsid w:val="0046665E"/>
    <w:rsid w:val="004667C9"/>
    <w:rsid w:val="00467F4E"/>
    <w:rsid w:val="004703EC"/>
    <w:rsid w:val="00470568"/>
    <w:rsid w:val="00472B3A"/>
    <w:rsid w:val="0047394B"/>
    <w:rsid w:val="00473DA1"/>
    <w:rsid w:val="004740C7"/>
    <w:rsid w:val="00474321"/>
    <w:rsid w:val="00474A9F"/>
    <w:rsid w:val="00474F2D"/>
    <w:rsid w:val="0047565E"/>
    <w:rsid w:val="004764D3"/>
    <w:rsid w:val="0047692E"/>
    <w:rsid w:val="00477728"/>
    <w:rsid w:val="00477983"/>
    <w:rsid w:val="00477C58"/>
    <w:rsid w:val="00477F37"/>
    <w:rsid w:val="00480354"/>
    <w:rsid w:val="004805F4"/>
    <w:rsid w:val="00480CB0"/>
    <w:rsid w:val="00480CFB"/>
    <w:rsid w:val="00480DBA"/>
    <w:rsid w:val="004814D7"/>
    <w:rsid w:val="004818E0"/>
    <w:rsid w:val="00481EC2"/>
    <w:rsid w:val="00481F70"/>
    <w:rsid w:val="00482D75"/>
    <w:rsid w:val="00484E65"/>
    <w:rsid w:val="00484FA4"/>
    <w:rsid w:val="0048543C"/>
    <w:rsid w:val="00486215"/>
    <w:rsid w:val="00486FA7"/>
    <w:rsid w:val="00487F1F"/>
    <w:rsid w:val="0049005E"/>
    <w:rsid w:val="00490780"/>
    <w:rsid w:val="00490D65"/>
    <w:rsid w:val="00490EBB"/>
    <w:rsid w:val="00492E4D"/>
    <w:rsid w:val="00493D1D"/>
    <w:rsid w:val="00495A6D"/>
    <w:rsid w:val="00495F9F"/>
    <w:rsid w:val="00496E0B"/>
    <w:rsid w:val="00497B4D"/>
    <w:rsid w:val="00497D9B"/>
    <w:rsid w:val="004A27F1"/>
    <w:rsid w:val="004A29F9"/>
    <w:rsid w:val="004A2C62"/>
    <w:rsid w:val="004A3509"/>
    <w:rsid w:val="004A37DF"/>
    <w:rsid w:val="004A3C7C"/>
    <w:rsid w:val="004A4411"/>
    <w:rsid w:val="004A4D33"/>
    <w:rsid w:val="004A512A"/>
    <w:rsid w:val="004A56F9"/>
    <w:rsid w:val="004A58D1"/>
    <w:rsid w:val="004A6250"/>
    <w:rsid w:val="004A71AC"/>
    <w:rsid w:val="004A73B6"/>
    <w:rsid w:val="004A779A"/>
    <w:rsid w:val="004A787F"/>
    <w:rsid w:val="004B0368"/>
    <w:rsid w:val="004B03B0"/>
    <w:rsid w:val="004B16D8"/>
    <w:rsid w:val="004B1816"/>
    <w:rsid w:val="004B1CC4"/>
    <w:rsid w:val="004B23F1"/>
    <w:rsid w:val="004B2537"/>
    <w:rsid w:val="004B27FF"/>
    <w:rsid w:val="004B2DE8"/>
    <w:rsid w:val="004B34EA"/>
    <w:rsid w:val="004B49C3"/>
    <w:rsid w:val="004B50A8"/>
    <w:rsid w:val="004B5494"/>
    <w:rsid w:val="004B5817"/>
    <w:rsid w:val="004B596A"/>
    <w:rsid w:val="004B6ABC"/>
    <w:rsid w:val="004C00F1"/>
    <w:rsid w:val="004C0517"/>
    <w:rsid w:val="004C0594"/>
    <w:rsid w:val="004C0749"/>
    <w:rsid w:val="004C3406"/>
    <w:rsid w:val="004C342E"/>
    <w:rsid w:val="004C49BE"/>
    <w:rsid w:val="004C4C2A"/>
    <w:rsid w:val="004C4C7A"/>
    <w:rsid w:val="004C5260"/>
    <w:rsid w:val="004C5B64"/>
    <w:rsid w:val="004C68F1"/>
    <w:rsid w:val="004C73E5"/>
    <w:rsid w:val="004C7B1D"/>
    <w:rsid w:val="004C7D3A"/>
    <w:rsid w:val="004D27E4"/>
    <w:rsid w:val="004D5BD3"/>
    <w:rsid w:val="004E03C5"/>
    <w:rsid w:val="004E1010"/>
    <w:rsid w:val="004E2E5D"/>
    <w:rsid w:val="004E2EE0"/>
    <w:rsid w:val="004E2EE3"/>
    <w:rsid w:val="004E3039"/>
    <w:rsid w:val="004E3614"/>
    <w:rsid w:val="004E3B19"/>
    <w:rsid w:val="004E3EC8"/>
    <w:rsid w:val="004E42B4"/>
    <w:rsid w:val="004E42E8"/>
    <w:rsid w:val="004E4C0D"/>
    <w:rsid w:val="004E508E"/>
    <w:rsid w:val="004E67CD"/>
    <w:rsid w:val="004E752F"/>
    <w:rsid w:val="004E776D"/>
    <w:rsid w:val="004E7861"/>
    <w:rsid w:val="004F20BF"/>
    <w:rsid w:val="004F226D"/>
    <w:rsid w:val="004F30E9"/>
    <w:rsid w:val="004F31BE"/>
    <w:rsid w:val="004F33EF"/>
    <w:rsid w:val="004F3ECA"/>
    <w:rsid w:val="004F412F"/>
    <w:rsid w:val="004F5090"/>
    <w:rsid w:val="004F7162"/>
    <w:rsid w:val="004F7C06"/>
    <w:rsid w:val="0050064D"/>
    <w:rsid w:val="005012C5"/>
    <w:rsid w:val="005018A8"/>
    <w:rsid w:val="005018CD"/>
    <w:rsid w:val="005019B4"/>
    <w:rsid w:val="00501B57"/>
    <w:rsid w:val="00501F2F"/>
    <w:rsid w:val="005029BB"/>
    <w:rsid w:val="00502E83"/>
    <w:rsid w:val="00503343"/>
    <w:rsid w:val="00503375"/>
    <w:rsid w:val="005037E6"/>
    <w:rsid w:val="005038A5"/>
    <w:rsid w:val="00503D8B"/>
    <w:rsid w:val="00505427"/>
    <w:rsid w:val="00505A39"/>
    <w:rsid w:val="00507583"/>
    <w:rsid w:val="005079C4"/>
    <w:rsid w:val="005120D1"/>
    <w:rsid w:val="00512427"/>
    <w:rsid w:val="005138EB"/>
    <w:rsid w:val="0051481C"/>
    <w:rsid w:val="00514A34"/>
    <w:rsid w:val="00514B27"/>
    <w:rsid w:val="00514D12"/>
    <w:rsid w:val="00515682"/>
    <w:rsid w:val="00515769"/>
    <w:rsid w:val="0051649A"/>
    <w:rsid w:val="00516501"/>
    <w:rsid w:val="00516C7D"/>
    <w:rsid w:val="00516CED"/>
    <w:rsid w:val="00516D4E"/>
    <w:rsid w:val="00521562"/>
    <w:rsid w:val="005240BF"/>
    <w:rsid w:val="0052507D"/>
    <w:rsid w:val="00525541"/>
    <w:rsid w:val="00525547"/>
    <w:rsid w:val="00526E61"/>
    <w:rsid w:val="00527848"/>
    <w:rsid w:val="00530B71"/>
    <w:rsid w:val="005317C6"/>
    <w:rsid w:val="00532522"/>
    <w:rsid w:val="005336CB"/>
    <w:rsid w:val="00535150"/>
    <w:rsid w:val="0053595B"/>
    <w:rsid w:val="00535BF1"/>
    <w:rsid w:val="00535C09"/>
    <w:rsid w:val="00536282"/>
    <w:rsid w:val="00536A4C"/>
    <w:rsid w:val="00537F56"/>
    <w:rsid w:val="005405FA"/>
    <w:rsid w:val="00541504"/>
    <w:rsid w:val="005415A6"/>
    <w:rsid w:val="00542B58"/>
    <w:rsid w:val="005431F4"/>
    <w:rsid w:val="005435BB"/>
    <w:rsid w:val="00543640"/>
    <w:rsid w:val="005436B2"/>
    <w:rsid w:val="0054447D"/>
    <w:rsid w:val="005447A2"/>
    <w:rsid w:val="00544F3B"/>
    <w:rsid w:val="00546195"/>
    <w:rsid w:val="005479A6"/>
    <w:rsid w:val="005508FE"/>
    <w:rsid w:val="00550B44"/>
    <w:rsid w:val="00550CA7"/>
    <w:rsid w:val="0055241F"/>
    <w:rsid w:val="00553529"/>
    <w:rsid w:val="0055387E"/>
    <w:rsid w:val="00553F11"/>
    <w:rsid w:val="005542C1"/>
    <w:rsid w:val="005562C1"/>
    <w:rsid w:val="00556CB5"/>
    <w:rsid w:val="00556DBF"/>
    <w:rsid w:val="00557086"/>
    <w:rsid w:val="00557346"/>
    <w:rsid w:val="00557EA8"/>
    <w:rsid w:val="005603AB"/>
    <w:rsid w:val="0056069E"/>
    <w:rsid w:val="00560799"/>
    <w:rsid w:val="00560F34"/>
    <w:rsid w:val="005611E2"/>
    <w:rsid w:val="00561281"/>
    <w:rsid w:val="005617B1"/>
    <w:rsid w:val="005617CB"/>
    <w:rsid w:val="00561AC4"/>
    <w:rsid w:val="00561D07"/>
    <w:rsid w:val="00562763"/>
    <w:rsid w:val="0056297B"/>
    <w:rsid w:val="005634B9"/>
    <w:rsid w:val="005634BF"/>
    <w:rsid w:val="005636AD"/>
    <w:rsid w:val="005636BB"/>
    <w:rsid w:val="00564D87"/>
    <w:rsid w:val="00565A0E"/>
    <w:rsid w:val="005665B5"/>
    <w:rsid w:val="005666A4"/>
    <w:rsid w:val="0057015D"/>
    <w:rsid w:val="005723A6"/>
    <w:rsid w:val="005732FB"/>
    <w:rsid w:val="0057567D"/>
    <w:rsid w:val="005758AF"/>
    <w:rsid w:val="00576B77"/>
    <w:rsid w:val="0057769A"/>
    <w:rsid w:val="005777CE"/>
    <w:rsid w:val="00577DAE"/>
    <w:rsid w:val="0057850A"/>
    <w:rsid w:val="00581A21"/>
    <w:rsid w:val="00581C22"/>
    <w:rsid w:val="00581DC5"/>
    <w:rsid w:val="0058229D"/>
    <w:rsid w:val="00582FA9"/>
    <w:rsid w:val="00583ECA"/>
    <w:rsid w:val="005848FF"/>
    <w:rsid w:val="00584F23"/>
    <w:rsid w:val="00585390"/>
    <w:rsid w:val="00586450"/>
    <w:rsid w:val="00587B85"/>
    <w:rsid w:val="00590FAC"/>
    <w:rsid w:val="00591081"/>
    <w:rsid w:val="005910C7"/>
    <w:rsid w:val="0059128A"/>
    <w:rsid w:val="0059353E"/>
    <w:rsid w:val="005939A5"/>
    <w:rsid w:val="00593DED"/>
    <w:rsid w:val="00595391"/>
    <w:rsid w:val="00595CC9"/>
    <w:rsid w:val="005963A2"/>
    <w:rsid w:val="00596743"/>
    <w:rsid w:val="00597B4C"/>
    <w:rsid w:val="005A0270"/>
    <w:rsid w:val="005A148C"/>
    <w:rsid w:val="005A1C86"/>
    <w:rsid w:val="005A36EC"/>
    <w:rsid w:val="005A38FC"/>
    <w:rsid w:val="005A393A"/>
    <w:rsid w:val="005A3AA5"/>
    <w:rsid w:val="005A4A44"/>
    <w:rsid w:val="005A5C10"/>
    <w:rsid w:val="005A6073"/>
    <w:rsid w:val="005A6F80"/>
    <w:rsid w:val="005B2436"/>
    <w:rsid w:val="005B26AA"/>
    <w:rsid w:val="005B3553"/>
    <w:rsid w:val="005B4732"/>
    <w:rsid w:val="005B52F4"/>
    <w:rsid w:val="005B5DAE"/>
    <w:rsid w:val="005B5E93"/>
    <w:rsid w:val="005B5F77"/>
    <w:rsid w:val="005B69B4"/>
    <w:rsid w:val="005B6BB4"/>
    <w:rsid w:val="005B7744"/>
    <w:rsid w:val="005B7798"/>
    <w:rsid w:val="005B7A83"/>
    <w:rsid w:val="005B7B4E"/>
    <w:rsid w:val="005B7BAE"/>
    <w:rsid w:val="005C0566"/>
    <w:rsid w:val="005C0D4A"/>
    <w:rsid w:val="005C1887"/>
    <w:rsid w:val="005C291E"/>
    <w:rsid w:val="005C296C"/>
    <w:rsid w:val="005C2A1E"/>
    <w:rsid w:val="005C2B27"/>
    <w:rsid w:val="005C323B"/>
    <w:rsid w:val="005C3C24"/>
    <w:rsid w:val="005C3E64"/>
    <w:rsid w:val="005C415B"/>
    <w:rsid w:val="005C4350"/>
    <w:rsid w:val="005C484D"/>
    <w:rsid w:val="005C4AC1"/>
    <w:rsid w:val="005C571B"/>
    <w:rsid w:val="005C61D2"/>
    <w:rsid w:val="005C6F39"/>
    <w:rsid w:val="005C7BE7"/>
    <w:rsid w:val="005C7E18"/>
    <w:rsid w:val="005D0BC6"/>
    <w:rsid w:val="005D213A"/>
    <w:rsid w:val="005D265B"/>
    <w:rsid w:val="005D2E42"/>
    <w:rsid w:val="005D30BA"/>
    <w:rsid w:val="005D3174"/>
    <w:rsid w:val="005D329F"/>
    <w:rsid w:val="005D4C90"/>
    <w:rsid w:val="005D6561"/>
    <w:rsid w:val="005D7298"/>
    <w:rsid w:val="005E024B"/>
    <w:rsid w:val="005E1341"/>
    <w:rsid w:val="005E2594"/>
    <w:rsid w:val="005E2C49"/>
    <w:rsid w:val="005E33BA"/>
    <w:rsid w:val="005E44BF"/>
    <w:rsid w:val="005E6320"/>
    <w:rsid w:val="005E6B25"/>
    <w:rsid w:val="005E70F3"/>
    <w:rsid w:val="005F10E6"/>
    <w:rsid w:val="005F155E"/>
    <w:rsid w:val="005F198E"/>
    <w:rsid w:val="005F3136"/>
    <w:rsid w:val="005F3392"/>
    <w:rsid w:val="005F3AC5"/>
    <w:rsid w:val="005F3BEC"/>
    <w:rsid w:val="005F57AF"/>
    <w:rsid w:val="005F5ABD"/>
    <w:rsid w:val="005F64FB"/>
    <w:rsid w:val="005F6981"/>
    <w:rsid w:val="005F6BFD"/>
    <w:rsid w:val="00601DE4"/>
    <w:rsid w:val="00603409"/>
    <w:rsid w:val="00603764"/>
    <w:rsid w:val="00604033"/>
    <w:rsid w:val="00604A22"/>
    <w:rsid w:val="00606A73"/>
    <w:rsid w:val="006077CE"/>
    <w:rsid w:val="00607D03"/>
    <w:rsid w:val="00607D47"/>
    <w:rsid w:val="00610478"/>
    <w:rsid w:val="0061484B"/>
    <w:rsid w:val="00614B7D"/>
    <w:rsid w:val="00614E51"/>
    <w:rsid w:val="0061517E"/>
    <w:rsid w:val="006154E6"/>
    <w:rsid w:val="00615BF2"/>
    <w:rsid w:val="00617404"/>
    <w:rsid w:val="006178B4"/>
    <w:rsid w:val="00620F2E"/>
    <w:rsid w:val="00621182"/>
    <w:rsid w:val="006218E4"/>
    <w:rsid w:val="006227EC"/>
    <w:rsid w:val="006236C0"/>
    <w:rsid w:val="00623851"/>
    <w:rsid w:val="00623B8A"/>
    <w:rsid w:val="00625AEF"/>
    <w:rsid w:val="00625DE9"/>
    <w:rsid w:val="00626312"/>
    <w:rsid w:val="006271EB"/>
    <w:rsid w:val="00627FC8"/>
    <w:rsid w:val="00630B78"/>
    <w:rsid w:val="00632207"/>
    <w:rsid w:val="006335BC"/>
    <w:rsid w:val="00633AA0"/>
    <w:rsid w:val="0063491C"/>
    <w:rsid w:val="00635067"/>
    <w:rsid w:val="00635088"/>
    <w:rsid w:val="00635E38"/>
    <w:rsid w:val="00636502"/>
    <w:rsid w:val="00636E1A"/>
    <w:rsid w:val="00637F1D"/>
    <w:rsid w:val="00640D28"/>
    <w:rsid w:val="0064194C"/>
    <w:rsid w:val="00642A0E"/>
    <w:rsid w:val="00643278"/>
    <w:rsid w:val="00644AB6"/>
    <w:rsid w:val="00644BE8"/>
    <w:rsid w:val="00645353"/>
    <w:rsid w:val="006467E1"/>
    <w:rsid w:val="00646F7F"/>
    <w:rsid w:val="006506F2"/>
    <w:rsid w:val="006508C6"/>
    <w:rsid w:val="00650E3E"/>
    <w:rsid w:val="00651402"/>
    <w:rsid w:val="00651D05"/>
    <w:rsid w:val="0065282A"/>
    <w:rsid w:val="00655232"/>
    <w:rsid w:val="00656695"/>
    <w:rsid w:val="00656CF9"/>
    <w:rsid w:val="006571DC"/>
    <w:rsid w:val="00657E63"/>
    <w:rsid w:val="00660171"/>
    <w:rsid w:val="00660E7E"/>
    <w:rsid w:val="00662219"/>
    <w:rsid w:val="006623D4"/>
    <w:rsid w:val="006633A0"/>
    <w:rsid w:val="0066348A"/>
    <w:rsid w:val="00663C92"/>
    <w:rsid w:val="00663FCD"/>
    <w:rsid w:val="006641EA"/>
    <w:rsid w:val="00664305"/>
    <w:rsid w:val="00664C4D"/>
    <w:rsid w:val="0066508E"/>
    <w:rsid w:val="00666CAF"/>
    <w:rsid w:val="00666E6E"/>
    <w:rsid w:val="006672E8"/>
    <w:rsid w:val="00670132"/>
    <w:rsid w:val="00670398"/>
    <w:rsid w:val="00670507"/>
    <w:rsid w:val="00670F93"/>
    <w:rsid w:val="00671402"/>
    <w:rsid w:val="006720A1"/>
    <w:rsid w:val="0067232E"/>
    <w:rsid w:val="00672C49"/>
    <w:rsid w:val="00672E52"/>
    <w:rsid w:val="00673A1F"/>
    <w:rsid w:val="00674CEC"/>
    <w:rsid w:val="00675A19"/>
    <w:rsid w:val="00675AE1"/>
    <w:rsid w:val="006768E2"/>
    <w:rsid w:val="00676B12"/>
    <w:rsid w:val="00676BAE"/>
    <w:rsid w:val="00677093"/>
    <w:rsid w:val="006775BF"/>
    <w:rsid w:val="00677BA7"/>
    <w:rsid w:val="006814C0"/>
    <w:rsid w:val="00681870"/>
    <w:rsid w:val="00682D54"/>
    <w:rsid w:val="00683D93"/>
    <w:rsid w:val="00683E09"/>
    <w:rsid w:val="0068415B"/>
    <w:rsid w:val="0068465A"/>
    <w:rsid w:val="006848DB"/>
    <w:rsid w:val="00684E7E"/>
    <w:rsid w:val="00685E10"/>
    <w:rsid w:val="00687001"/>
    <w:rsid w:val="00687663"/>
    <w:rsid w:val="00690688"/>
    <w:rsid w:val="00690B4C"/>
    <w:rsid w:val="00690CA9"/>
    <w:rsid w:val="00691011"/>
    <w:rsid w:val="00693794"/>
    <w:rsid w:val="00696DD4"/>
    <w:rsid w:val="0069739C"/>
    <w:rsid w:val="006A0AD3"/>
    <w:rsid w:val="006A0F0E"/>
    <w:rsid w:val="006A1025"/>
    <w:rsid w:val="006A2427"/>
    <w:rsid w:val="006A29E2"/>
    <w:rsid w:val="006A46EC"/>
    <w:rsid w:val="006A5113"/>
    <w:rsid w:val="006A5DAA"/>
    <w:rsid w:val="006A77E6"/>
    <w:rsid w:val="006A7A85"/>
    <w:rsid w:val="006B0AE1"/>
    <w:rsid w:val="006B10F3"/>
    <w:rsid w:val="006B1235"/>
    <w:rsid w:val="006B16BD"/>
    <w:rsid w:val="006B1DA6"/>
    <w:rsid w:val="006B1E52"/>
    <w:rsid w:val="006B3A16"/>
    <w:rsid w:val="006B4092"/>
    <w:rsid w:val="006B4F87"/>
    <w:rsid w:val="006B551B"/>
    <w:rsid w:val="006B5C99"/>
    <w:rsid w:val="006B6135"/>
    <w:rsid w:val="006B6525"/>
    <w:rsid w:val="006B67A4"/>
    <w:rsid w:val="006B6853"/>
    <w:rsid w:val="006B6E32"/>
    <w:rsid w:val="006B75D0"/>
    <w:rsid w:val="006B7F40"/>
    <w:rsid w:val="006C0045"/>
    <w:rsid w:val="006C0456"/>
    <w:rsid w:val="006C190F"/>
    <w:rsid w:val="006C1D12"/>
    <w:rsid w:val="006C2074"/>
    <w:rsid w:val="006C225C"/>
    <w:rsid w:val="006C2E63"/>
    <w:rsid w:val="006C3445"/>
    <w:rsid w:val="006C528C"/>
    <w:rsid w:val="006C56F7"/>
    <w:rsid w:val="006C5B00"/>
    <w:rsid w:val="006C6724"/>
    <w:rsid w:val="006C6EC7"/>
    <w:rsid w:val="006C724C"/>
    <w:rsid w:val="006C780F"/>
    <w:rsid w:val="006C7A30"/>
    <w:rsid w:val="006C7FD1"/>
    <w:rsid w:val="006D1B27"/>
    <w:rsid w:val="006D2031"/>
    <w:rsid w:val="006D285B"/>
    <w:rsid w:val="006D2D33"/>
    <w:rsid w:val="006D34F0"/>
    <w:rsid w:val="006D4676"/>
    <w:rsid w:val="006D5233"/>
    <w:rsid w:val="006D674B"/>
    <w:rsid w:val="006D77FA"/>
    <w:rsid w:val="006E088A"/>
    <w:rsid w:val="006E1488"/>
    <w:rsid w:val="006E1B9D"/>
    <w:rsid w:val="006E24D0"/>
    <w:rsid w:val="006E2A34"/>
    <w:rsid w:val="006E499C"/>
    <w:rsid w:val="006E5E28"/>
    <w:rsid w:val="006E6574"/>
    <w:rsid w:val="006E6F34"/>
    <w:rsid w:val="006E74AA"/>
    <w:rsid w:val="006F1247"/>
    <w:rsid w:val="006F1AE5"/>
    <w:rsid w:val="006F1E75"/>
    <w:rsid w:val="006F3116"/>
    <w:rsid w:val="006F33E0"/>
    <w:rsid w:val="006F371D"/>
    <w:rsid w:val="006F4E18"/>
    <w:rsid w:val="006F59DC"/>
    <w:rsid w:val="006F5B0A"/>
    <w:rsid w:val="006F5B91"/>
    <w:rsid w:val="006F650F"/>
    <w:rsid w:val="006F7916"/>
    <w:rsid w:val="006F7B44"/>
    <w:rsid w:val="006F7CD3"/>
    <w:rsid w:val="00700780"/>
    <w:rsid w:val="00700F0D"/>
    <w:rsid w:val="007011C0"/>
    <w:rsid w:val="00704202"/>
    <w:rsid w:val="007047FF"/>
    <w:rsid w:val="00704A26"/>
    <w:rsid w:val="00704B64"/>
    <w:rsid w:val="00704D82"/>
    <w:rsid w:val="007054BE"/>
    <w:rsid w:val="00705BED"/>
    <w:rsid w:val="00705C88"/>
    <w:rsid w:val="00706213"/>
    <w:rsid w:val="00706E3F"/>
    <w:rsid w:val="00707419"/>
    <w:rsid w:val="00707A1C"/>
    <w:rsid w:val="0071091D"/>
    <w:rsid w:val="00710A38"/>
    <w:rsid w:val="007127D0"/>
    <w:rsid w:val="00712C97"/>
    <w:rsid w:val="00713BD4"/>
    <w:rsid w:val="00713BE8"/>
    <w:rsid w:val="0071424D"/>
    <w:rsid w:val="00714CF2"/>
    <w:rsid w:val="00714D8B"/>
    <w:rsid w:val="00715346"/>
    <w:rsid w:val="007156B9"/>
    <w:rsid w:val="00717180"/>
    <w:rsid w:val="007173C1"/>
    <w:rsid w:val="00717769"/>
    <w:rsid w:val="00717937"/>
    <w:rsid w:val="00720817"/>
    <w:rsid w:val="00722850"/>
    <w:rsid w:val="00722DFD"/>
    <w:rsid w:val="0072351E"/>
    <w:rsid w:val="00723A84"/>
    <w:rsid w:val="00723D50"/>
    <w:rsid w:val="0072451F"/>
    <w:rsid w:val="00725540"/>
    <w:rsid w:val="007270AF"/>
    <w:rsid w:val="0072720C"/>
    <w:rsid w:val="007276E8"/>
    <w:rsid w:val="0073076A"/>
    <w:rsid w:val="007310FA"/>
    <w:rsid w:val="0073127B"/>
    <w:rsid w:val="007331FE"/>
    <w:rsid w:val="0073353F"/>
    <w:rsid w:val="00734B7D"/>
    <w:rsid w:val="00735A3E"/>
    <w:rsid w:val="00735E43"/>
    <w:rsid w:val="00736403"/>
    <w:rsid w:val="00737BA8"/>
    <w:rsid w:val="00740602"/>
    <w:rsid w:val="00740CEB"/>
    <w:rsid w:val="00741E9B"/>
    <w:rsid w:val="00741FF8"/>
    <w:rsid w:val="007421C0"/>
    <w:rsid w:val="007429D6"/>
    <w:rsid w:val="00742E45"/>
    <w:rsid w:val="0074370D"/>
    <w:rsid w:val="007446B6"/>
    <w:rsid w:val="007447AF"/>
    <w:rsid w:val="00745C1C"/>
    <w:rsid w:val="00745C69"/>
    <w:rsid w:val="007462E1"/>
    <w:rsid w:val="00746321"/>
    <w:rsid w:val="0074679D"/>
    <w:rsid w:val="007467EE"/>
    <w:rsid w:val="00746D8C"/>
    <w:rsid w:val="00746FBC"/>
    <w:rsid w:val="00747257"/>
    <w:rsid w:val="00747DC8"/>
    <w:rsid w:val="00747F5E"/>
    <w:rsid w:val="007505D5"/>
    <w:rsid w:val="00750816"/>
    <w:rsid w:val="007519F4"/>
    <w:rsid w:val="00751C1C"/>
    <w:rsid w:val="00753AAF"/>
    <w:rsid w:val="00754069"/>
    <w:rsid w:val="0075457F"/>
    <w:rsid w:val="00754852"/>
    <w:rsid w:val="007553D6"/>
    <w:rsid w:val="00756950"/>
    <w:rsid w:val="0075749D"/>
    <w:rsid w:val="007574B4"/>
    <w:rsid w:val="0075789C"/>
    <w:rsid w:val="00757E45"/>
    <w:rsid w:val="00762123"/>
    <w:rsid w:val="00763D29"/>
    <w:rsid w:val="0076442E"/>
    <w:rsid w:val="007657C1"/>
    <w:rsid w:val="00765961"/>
    <w:rsid w:val="00765CF3"/>
    <w:rsid w:val="0076660D"/>
    <w:rsid w:val="00767884"/>
    <w:rsid w:val="007679CF"/>
    <w:rsid w:val="007708F4"/>
    <w:rsid w:val="00771D31"/>
    <w:rsid w:val="0077289A"/>
    <w:rsid w:val="007728A4"/>
    <w:rsid w:val="007731BF"/>
    <w:rsid w:val="00773760"/>
    <w:rsid w:val="00773765"/>
    <w:rsid w:val="00774287"/>
    <w:rsid w:val="00774934"/>
    <w:rsid w:val="0077501D"/>
    <w:rsid w:val="0077569D"/>
    <w:rsid w:val="00775DD9"/>
    <w:rsid w:val="00776214"/>
    <w:rsid w:val="007763E0"/>
    <w:rsid w:val="00776457"/>
    <w:rsid w:val="00776833"/>
    <w:rsid w:val="00777877"/>
    <w:rsid w:val="007779AE"/>
    <w:rsid w:val="007802D8"/>
    <w:rsid w:val="00780B23"/>
    <w:rsid w:val="007813B9"/>
    <w:rsid w:val="0078158D"/>
    <w:rsid w:val="0078209D"/>
    <w:rsid w:val="00782823"/>
    <w:rsid w:val="00783C06"/>
    <w:rsid w:val="00784163"/>
    <w:rsid w:val="00784168"/>
    <w:rsid w:val="00784503"/>
    <w:rsid w:val="00785053"/>
    <w:rsid w:val="00785100"/>
    <w:rsid w:val="00785227"/>
    <w:rsid w:val="00785347"/>
    <w:rsid w:val="007865D7"/>
    <w:rsid w:val="00787588"/>
    <w:rsid w:val="00787637"/>
    <w:rsid w:val="0079107E"/>
    <w:rsid w:val="0079108B"/>
    <w:rsid w:val="007910B2"/>
    <w:rsid w:val="00791188"/>
    <w:rsid w:val="007916CB"/>
    <w:rsid w:val="00791B76"/>
    <w:rsid w:val="00793A92"/>
    <w:rsid w:val="00793D05"/>
    <w:rsid w:val="00794507"/>
    <w:rsid w:val="00794BB3"/>
    <w:rsid w:val="00795065"/>
    <w:rsid w:val="007960D8"/>
    <w:rsid w:val="007963D8"/>
    <w:rsid w:val="0079679A"/>
    <w:rsid w:val="0079733B"/>
    <w:rsid w:val="00797365"/>
    <w:rsid w:val="007A01A2"/>
    <w:rsid w:val="007A01AA"/>
    <w:rsid w:val="007A13C0"/>
    <w:rsid w:val="007A1F48"/>
    <w:rsid w:val="007A2610"/>
    <w:rsid w:val="007A2C1C"/>
    <w:rsid w:val="007A2D57"/>
    <w:rsid w:val="007A2DFA"/>
    <w:rsid w:val="007A3887"/>
    <w:rsid w:val="007A406D"/>
    <w:rsid w:val="007A40F9"/>
    <w:rsid w:val="007A466D"/>
    <w:rsid w:val="007A4E25"/>
    <w:rsid w:val="007A55A7"/>
    <w:rsid w:val="007A56F4"/>
    <w:rsid w:val="007A586B"/>
    <w:rsid w:val="007A62B0"/>
    <w:rsid w:val="007A6701"/>
    <w:rsid w:val="007A6BDC"/>
    <w:rsid w:val="007A6E5A"/>
    <w:rsid w:val="007A7B37"/>
    <w:rsid w:val="007B1B43"/>
    <w:rsid w:val="007B1EFB"/>
    <w:rsid w:val="007B1F1F"/>
    <w:rsid w:val="007B2AC4"/>
    <w:rsid w:val="007B2E6B"/>
    <w:rsid w:val="007B3540"/>
    <w:rsid w:val="007B3BC4"/>
    <w:rsid w:val="007B408E"/>
    <w:rsid w:val="007B4C72"/>
    <w:rsid w:val="007B7DDB"/>
    <w:rsid w:val="007C0122"/>
    <w:rsid w:val="007C1D12"/>
    <w:rsid w:val="007C2852"/>
    <w:rsid w:val="007C2ADC"/>
    <w:rsid w:val="007C2C07"/>
    <w:rsid w:val="007C3124"/>
    <w:rsid w:val="007C3DCE"/>
    <w:rsid w:val="007C3FC3"/>
    <w:rsid w:val="007C4A0B"/>
    <w:rsid w:val="007C51C4"/>
    <w:rsid w:val="007C5A0C"/>
    <w:rsid w:val="007C5E1E"/>
    <w:rsid w:val="007C6633"/>
    <w:rsid w:val="007C6889"/>
    <w:rsid w:val="007C7829"/>
    <w:rsid w:val="007D047A"/>
    <w:rsid w:val="007D161D"/>
    <w:rsid w:val="007D212C"/>
    <w:rsid w:val="007D2223"/>
    <w:rsid w:val="007D291C"/>
    <w:rsid w:val="007D2D97"/>
    <w:rsid w:val="007D3138"/>
    <w:rsid w:val="007D4F46"/>
    <w:rsid w:val="007D5B6B"/>
    <w:rsid w:val="007D6F33"/>
    <w:rsid w:val="007D7204"/>
    <w:rsid w:val="007E0FEE"/>
    <w:rsid w:val="007E11EB"/>
    <w:rsid w:val="007E1644"/>
    <w:rsid w:val="007E1768"/>
    <w:rsid w:val="007E373C"/>
    <w:rsid w:val="007E3C46"/>
    <w:rsid w:val="007E427F"/>
    <w:rsid w:val="007E4F4C"/>
    <w:rsid w:val="007E594A"/>
    <w:rsid w:val="007E5F75"/>
    <w:rsid w:val="007E6291"/>
    <w:rsid w:val="007E697B"/>
    <w:rsid w:val="007E6FD1"/>
    <w:rsid w:val="007F08EB"/>
    <w:rsid w:val="007F0AA6"/>
    <w:rsid w:val="007F1370"/>
    <w:rsid w:val="007F2017"/>
    <w:rsid w:val="007F2499"/>
    <w:rsid w:val="007F4829"/>
    <w:rsid w:val="007F4CFF"/>
    <w:rsid w:val="007F527E"/>
    <w:rsid w:val="007F54BB"/>
    <w:rsid w:val="007F5830"/>
    <w:rsid w:val="007F5C63"/>
    <w:rsid w:val="007F5CA2"/>
    <w:rsid w:val="007F5DBC"/>
    <w:rsid w:val="007F68EC"/>
    <w:rsid w:val="008004C7"/>
    <w:rsid w:val="00800992"/>
    <w:rsid w:val="008010C5"/>
    <w:rsid w:val="00801424"/>
    <w:rsid w:val="008015BA"/>
    <w:rsid w:val="008018EC"/>
    <w:rsid w:val="00801957"/>
    <w:rsid w:val="00802298"/>
    <w:rsid w:val="0080490D"/>
    <w:rsid w:val="00804FBE"/>
    <w:rsid w:val="0080570A"/>
    <w:rsid w:val="00805FA1"/>
    <w:rsid w:val="00806587"/>
    <w:rsid w:val="00807291"/>
    <w:rsid w:val="00807CA3"/>
    <w:rsid w:val="008107A0"/>
    <w:rsid w:val="00810816"/>
    <w:rsid w:val="00810BC4"/>
    <w:rsid w:val="008114E1"/>
    <w:rsid w:val="00811ECD"/>
    <w:rsid w:val="0081304D"/>
    <w:rsid w:val="0081341E"/>
    <w:rsid w:val="008139B5"/>
    <w:rsid w:val="00813FD4"/>
    <w:rsid w:val="00814F1A"/>
    <w:rsid w:val="008153F4"/>
    <w:rsid w:val="00815C8F"/>
    <w:rsid w:val="00815CE4"/>
    <w:rsid w:val="008206AB"/>
    <w:rsid w:val="0082126F"/>
    <w:rsid w:val="008214A6"/>
    <w:rsid w:val="00822A5F"/>
    <w:rsid w:val="0082341F"/>
    <w:rsid w:val="00825634"/>
    <w:rsid w:val="00826668"/>
    <w:rsid w:val="00826F48"/>
    <w:rsid w:val="0083061B"/>
    <w:rsid w:val="00831677"/>
    <w:rsid w:val="00831772"/>
    <w:rsid w:val="008323A2"/>
    <w:rsid w:val="008328AB"/>
    <w:rsid w:val="00832DEE"/>
    <w:rsid w:val="008339BB"/>
    <w:rsid w:val="00833F02"/>
    <w:rsid w:val="0083535B"/>
    <w:rsid w:val="0083542C"/>
    <w:rsid w:val="00835935"/>
    <w:rsid w:val="00840DE9"/>
    <w:rsid w:val="00841F9A"/>
    <w:rsid w:val="00842456"/>
    <w:rsid w:val="00842D7C"/>
    <w:rsid w:val="0084308B"/>
    <w:rsid w:val="008440C9"/>
    <w:rsid w:val="00844C0E"/>
    <w:rsid w:val="00845776"/>
    <w:rsid w:val="0084592C"/>
    <w:rsid w:val="0084676E"/>
    <w:rsid w:val="00846BEF"/>
    <w:rsid w:val="008476D7"/>
    <w:rsid w:val="00851DE3"/>
    <w:rsid w:val="008537AE"/>
    <w:rsid w:val="00854859"/>
    <w:rsid w:val="00856A9F"/>
    <w:rsid w:val="0085776D"/>
    <w:rsid w:val="00860944"/>
    <w:rsid w:val="00861996"/>
    <w:rsid w:val="00861F35"/>
    <w:rsid w:val="0086419A"/>
    <w:rsid w:val="00866C56"/>
    <w:rsid w:val="0087023B"/>
    <w:rsid w:val="00870D27"/>
    <w:rsid w:val="008710DA"/>
    <w:rsid w:val="00872ECC"/>
    <w:rsid w:val="00873AE2"/>
    <w:rsid w:val="00873FE5"/>
    <w:rsid w:val="008740AD"/>
    <w:rsid w:val="0087418A"/>
    <w:rsid w:val="00874E51"/>
    <w:rsid w:val="00876046"/>
    <w:rsid w:val="00876DCF"/>
    <w:rsid w:val="008803D5"/>
    <w:rsid w:val="00880A7F"/>
    <w:rsid w:val="00881D77"/>
    <w:rsid w:val="00881E5E"/>
    <w:rsid w:val="00882107"/>
    <w:rsid w:val="008826B2"/>
    <w:rsid w:val="008832DB"/>
    <w:rsid w:val="0088437D"/>
    <w:rsid w:val="00884B43"/>
    <w:rsid w:val="008853E6"/>
    <w:rsid w:val="0088545C"/>
    <w:rsid w:val="008862C4"/>
    <w:rsid w:val="008863E7"/>
    <w:rsid w:val="00887484"/>
    <w:rsid w:val="008874AF"/>
    <w:rsid w:val="00887776"/>
    <w:rsid w:val="008877FE"/>
    <w:rsid w:val="00887B1B"/>
    <w:rsid w:val="00891124"/>
    <w:rsid w:val="00891D0A"/>
    <w:rsid w:val="00893117"/>
    <w:rsid w:val="00893152"/>
    <w:rsid w:val="0089351B"/>
    <w:rsid w:val="008945EA"/>
    <w:rsid w:val="00894BB9"/>
    <w:rsid w:val="00894D25"/>
    <w:rsid w:val="008956AA"/>
    <w:rsid w:val="00895DE3"/>
    <w:rsid w:val="008A1294"/>
    <w:rsid w:val="008A179F"/>
    <w:rsid w:val="008A17BB"/>
    <w:rsid w:val="008A3A70"/>
    <w:rsid w:val="008A3FFB"/>
    <w:rsid w:val="008A4088"/>
    <w:rsid w:val="008A452D"/>
    <w:rsid w:val="008A459D"/>
    <w:rsid w:val="008A4BBC"/>
    <w:rsid w:val="008A53ED"/>
    <w:rsid w:val="008A584F"/>
    <w:rsid w:val="008A60CD"/>
    <w:rsid w:val="008A63B7"/>
    <w:rsid w:val="008B02B3"/>
    <w:rsid w:val="008B083D"/>
    <w:rsid w:val="008B0864"/>
    <w:rsid w:val="008B1E44"/>
    <w:rsid w:val="008B2A32"/>
    <w:rsid w:val="008B36D9"/>
    <w:rsid w:val="008B6EC6"/>
    <w:rsid w:val="008B6EF0"/>
    <w:rsid w:val="008B7EB3"/>
    <w:rsid w:val="008BA974"/>
    <w:rsid w:val="008C0287"/>
    <w:rsid w:val="008C111C"/>
    <w:rsid w:val="008C1708"/>
    <w:rsid w:val="008C178A"/>
    <w:rsid w:val="008C1AB0"/>
    <w:rsid w:val="008C318A"/>
    <w:rsid w:val="008C36EA"/>
    <w:rsid w:val="008C40F8"/>
    <w:rsid w:val="008C426F"/>
    <w:rsid w:val="008C4349"/>
    <w:rsid w:val="008C4AEE"/>
    <w:rsid w:val="008C4F4B"/>
    <w:rsid w:val="008C4F4C"/>
    <w:rsid w:val="008C5245"/>
    <w:rsid w:val="008C5456"/>
    <w:rsid w:val="008C6269"/>
    <w:rsid w:val="008C6DC7"/>
    <w:rsid w:val="008C7413"/>
    <w:rsid w:val="008C7C61"/>
    <w:rsid w:val="008D0082"/>
    <w:rsid w:val="008D07D8"/>
    <w:rsid w:val="008D16B7"/>
    <w:rsid w:val="008D3234"/>
    <w:rsid w:val="008D3EB8"/>
    <w:rsid w:val="008D427F"/>
    <w:rsid w:val="008D4721"/>
    <w:rsid w:val="008D4B32"/>
    <w:rsid w:val="008D5169"/>
    <w:rsid w:val="008D65AF"/>
    <w:rsid w:val="008D6CF9"/>
    <w:rsid w:val="008D6CFE"/>
    <w:rsid w:val="008D72F5"/>
    <w:rsid w:val="008D7D07"/>
    <w:rsid w:val="008E1384"/>
    <w:rsid w:val="008E2018"/>
    <w:rsid w:val="008E22E3"/>
    <w:rsid w:val="008E25C5"/>
    <w:rsid w:val="008E2F1D"/>
    <w:rsid w:val="008E40FB"/>
    <w:rsid w:val="008E45B7"/>
    <w:rsid w:val="008E477C"/>
    <w:rsid w:val="008E5191"/>
    <w:rsid w:val="008E56A9"/>
    <w:rsid w:val="008E61F1"/>
    <w:rsid w:val="008E6321"/>
    <w:rsid w:val="008E683D"/>
    <w:rsid w:val="008E6AE6"/>
    <w:rsid w:val="008E6B07"/>
    <w:rsid w:val="008E6CC5"/>
    <w:rsid w:val="008E7B52"/>
    <w:rsid w:val="008E7D2D"/>
    <w:rsid w:val="008F0116"/>
    <w:rsid w:val="008F01C4"/>
    <w:rsid w:val="008F143D"/>
    <w:rsid w:val="008F2A33"/>
    <w:rsid w:val="008F2B20"/>
    <w:rsid w:val="008F2E72"/>
    <w:rsid w:val="008F31E5"/>
    <w:rsid w:val="008F342F"/>
    <w:rsid w:val="008F3E89"/>
    <w:rsid w:val="008F3F77"/>
    <w:rsid w:val="008F4D10"/>
    <w:rsid w:val="008F57A4"/>
    <w:rsid w:val="008F5DD5"/>
    <w:rsid w:val="008F63FE"/>
    <w:rsid w:val="008F7BF8"/>
    <w:rsid w:val="008F7CBE"/>
    <w:rsid w:val="00901AFD"/>
    <w:rsid w:val="0090283B"/>
    <w:rsid w:val="0090310C"/>
    <w:rsid w:val="00903124"/>
    <w:rsid w:val="0090326A"/>
    <w:rsid w:val="00904C37"/>
    <w:rsid w:val="00905112"/>
    <w:rsid w:val="00905D17"/>
    <w:rsid w:val="009061C4"/>
    <w:rsid w:val="00906A7B"/>
    <w:rsid w:val="0090771C"/>
    <w:rsid w:val="00907CC0"/>
    <w:rsid w:val="00907E23"/>
    <w:rsid w:val="00910131"/>
    <w:rsid w:val="00911F2C"/>
    <w:rsid w:val="00914568"/>
    <w:rsid w:val="00914B4D"/>
    <w:rsid w:val="00914E8C"/>
    <w:rsid w:val="00915123"/>
    <w:rsid w:val="009151E8"/>
    <w:rsid w:val="00915492"/>
    <w:rsid w:val="00915530"/>
    <w:rsid w:val="00915854"/>
    <w:rsid w:val="00915ADC"/>
    <w:rsid w:val="009176B7"/>
    <w:rsid w:val="00917C13"/>
    <w:rsid w:val="00920B9F"/>
    <w:rsid w:val="009215AC"/>
    <w:rsid w:val="00921757"/>
    <w:rsid w:val="00922756"/>
    <w:rsid w:val="0092361F"/>
    <w:rsid w:val="00923DFE"/>
    <w:rsid w:val="00924112"/>
    <w:rsid w:val="0092493D"/>
    <w:rsid w:val="009252C0"/>
    <w:rsid w:val="009258FF"/>
    <w:rsid w:val="009260B7"/>
    <w:rsid w:val="009263F9"/>
    <w:rsid w:val="0092647D"/>
    <w:rsid w:val="00926A81"/>
    <w:rsid w:val="00926F6D"/>
    <w:rsid w:val="009270F7"/>
    <w:rsid w:val="0092727A"/>
    <w:rsid w:val="009276D7"/>
    <w:rsid w:val="009308C5"/>
    <w:rsid w:val="0093138F"/>
    <w:rsid w:val="00931DC4"/>
    <w:rsid w:val="00932865"/>
    <w:rsid w:val="00932EFD"/>
    <w:rsid w:val="0093345F"/>
    <w:rsid w:val="009338AB"/>
    <w:rsid w:val="0093555E"/>
    <w:rsid w:val="00937B3A"/>
    <w:rsid w:val="00937D7A"/>
    <w:rsid w:val="009400C6"/>
    <w:rsid w:val="00940629"/>
    <w:rsid w:val="0094083E"/>
    <w:rsid w:val="00940D52"/>
    <w:rsid w:val="009410FB"/>
    <w:rsid w:val="00942A5E"/>
    <w:rsid w:val="00942AC0"/>
    <w:rsid w:val="0094325C"/>
    <w:rsid w:val="00943DA7"/>
    <w:rsid w:val="00944C0F"/>
    <w:rsid w:val="0094552D"/>
    <w:rsid w:val="00945838"/>
    <w:rsid w:val="00945A06"/>
    <w:rsid w:val="0094666D"/>
    <w:rsid w:val="00946E65"/>
    <w:rsid w:val="0094708A"/>
    <w:rsid w:val="00947542"/>
    <w:rsid w:val="009475B7"/>
    <w:rsid w:val="00950465"/>
    <w:rsid w:val="00950CBD"/>
    <w:rsid w:val="00952C2E"/>
    <w:rsid w:val="00953A79"/>
    <w:rsid w:val="00954326"/>
    <w:rsid w:val="009548BC"/>
    <w:rsid w:val="00954C28"/>
    <w:rsid w:val="00955BE8"/>
    <w:rsid w:val="00955C4F"/>
    <w:rsid w:val="00956581"/>
    <w:rsid w:val="00956D37"/>
    <w:rsid w:val="00957036"/>
    <w:rsid w:val="009570A9"/>
    <w:rsid w:val="00957150"/>
    <w:rsid w:val="00957262"/>
    <w:rsid w:val="00957BC9"/>
    <w:rsid w:val="00957F73"/>
    <w:rsid w:val="009600F0"/>
    <w:rsid w:val="00960B08"/>
    <w:rsid w:val="00963BC3"/>
    <w:rsid w:val="00964189"/>
    <w:rsid w:val="009645C5"/>
    <w:rsid w:val="00964F79"/>
    <w:rsid w:val="00965039"/>
    <w:rsid w:val="00965EB4"/>
    <w:rsid w:val="00966082"/>
    <w:rsid w:val="00966964"/>
    <w:rsid w:val="00966BB1"/>
    <w:rsid w:val="00967129"/>
    <w:rsid w:val="00970AB5"/>
    <w:rsid w:val="00970FB3"/>
    <w:rsid w:val="00971165"/>
    <w:rsid w:val="0097142B"/>
    <w:rsid w:val="0097155D"/>
    <w:rsid w:val="00972E82"/>
    <w:rsid w:val="00973000"/>
    <w:rsid w:val="009735DC"/>
    <w:rsid w:val="00973DCA"/>
    <w:rsid w:val="009743D9"/>
    <w:rsid w:val="00974F45"/>
    <w:rsid w:val="00975F59"/>
    <w:rsid w:val="009762A6"/>
    <w:rsid w:val="009762DC"/>
    <w:rsid w:val="00976B13"/>
    <w:rsid w:val="009774C8"/>
    <w:rsid w:val="00977643"/>
    <w:rsid w:val="00980F8E"/>
    <w:rsid w:val="0098138E"/>
    <w:rsid w:val="0098165B"/>
    <w:rsid w:val="00981663"/>
    <w:rsid w:val="009818E4"/>
    <w:rsid w:val="009819B6"/>
    <w:rsid w:val="00982898"/>
    <w:rsid w:val="0098655A"/>
    <w:rsid w:val="0098670A"/>
    <w:rsid w:val="009900BC"/>
    <w:rsid w:val="009903C9"/>
    <w:rsid w:val="00991A5C"/>
    <w:rsid w:val="00991F5F"/>
    <w:rsid w:val="00992D44"/>
    <w:rsid w:val="009934E2"/>
    <w:rsid w:val="00993728"/>
    <w:rsid w:val="00993A80"/>
    <w:rsid w:val="00993AB5"/>
    <w:rsid w:val="00994AB5"/>
    <w:rsid w:val="009951DC"/>
    <w:rsid w:val="0099544F"/>
    <w:rsid w:val="00995F1D"/>
    <w:rsid w:val="0099676A"/>
    <w:rsid w:val="00996EAB"/>
    <w:rsid w:val="00997E2A"/>
    <w:rsid w:val="009A0135"/>
    <w:rsid w:val="009A0174"/>
    <w:rsid w:val="009A0400"/>
    <w:rsid w:val="009A06F8"/>
    <w:rsid w:val="009A0F0F"/>
    <w:rsid w:val="009A2B7C"/>
    <w:rsid w:val="009A309D"/>
    <w:rsid w:val="009A44C1"/>
    <w:rsid w:val="009A498D"/>
    <w:rsid w:val="009A4C0C"/>
    <w:rsid w:val="009A51D4"/>
    <w:rsid w:val="009A5337"/>
    <w:rsid w:val="009A561E"/>
    <w:rsid w:val="009A5706"/>
    <w:rsid w:val="009A5A2F"/>
    <w:rsid w:val="009A5F68"/>
    <w:rsid w:val="009A5FE6"/>
    <w:rsid w:val="009B04FB"/>
    <w:rsid w:val="009B08C7"/>
    <w:rsid w:val="009B2114"/>
    <w:rsid w:val="009B21C6"/>
    <w:rsid w:val="009B260E"/>
    <w:rsid w:val="009B27F5"/>
    <w:rsid w:val="009B36B5"/>
    <w:rsid w:val="009B4AA1"/>
    <w:rsid w:val="009B56AC"/>
    <w:rsid w:val="009B5DDE"/>
    <w:rsid w:val="009B6BFB"/>
    <w:rsid w:val="009B6E4D"/>
    <w:rsid w:val="009B7C3E"/>
    <w:rsid w:val="009C002B"/>
    <w:rsid w:val="009C0837"/>
    <w:rsid w:val="009C08C5"/>
    <w:rsid w:val="009C1864"/>
    <w:rsid w:val="009C21FF"/>
    <w:rsid w:val="009C39B7"/>
    <w:rsid w:val="009C4E5D"/>
    <w:rsid w:val="009C56BC"/>
    <w:rsid w:val="009C585F"/>
    <w:rsid w:val="009C58AA"/>
    <w:rsid w:val="009C5EE8"/>
    <w:rsid w:val="009C6747"/>
    <w:rsid w:val="009C6E30"/>
    <w:rsid w:val="009C7B6F"/>
    <w:rsid w:val="009D0ACD"/>
    <w:rsid w:val="009D25D1"/>
    <w:rsid w:val="009D3C38"/>
    <w:rsid w:val="009D41EF"/>
    <w:rsid w:val="009D45A0"/>
    <w:rsid w:val="009D53F6"/>
    <w:rsid w:val="009D5573"/>
    <w:rsid w:val="009D584A"/>
    <w:rsid w:val="009D5AE5"/>
    <w:rsid w:val="009D6327"/>
    <w:rsid w:val="009D6437"/>
    <w:rsid w:val="009D6935"/>
    <w:rsid w:val="009E0AAC"/>
    <w:rsid w:val="009E3935"/>
    <w:rsid w:val="009E3B33"/>
    <w:rsid w:val="009E461D"/>
    <w:rsid w:val="009E4829"/>
    <w:rsid w:val="009E52BC"/>
    <w:rsid w:val="009E622D"/>
    <w:rsid w:val="009E7348"/>
    <w:rsid w:val="009E7C7F"/>
    <w:rsid w:val="009E7E13"/>
    <w:rsid w:val="009F14F0"/>
    <w:rsid w:val="009F2096"/>
    <w:rsid w:val="009F26F0"/>
    <w:rsid w:val="009F2DF2"/>
    <w:rsid w:val="009F3B7C"/>
    <w:rsid w:val="009F5078"/>
    <w:rsid w:val="009F5644"/>
    <w:rsid w:val="009F5D8A"/>
    <w:rsid w:val="009F6C09"/>
    <w:rsid w:val="009F6C97"/>
    <w:rsid w:val="009F7002"/>
    <w:rsid w:val="009F70C8"/>
    <w:rsid w:val="00A007BB"/>
    <w:rsid w:val="00A00A33"/>
    <w:rsid w:val="00A00A5B"/>
    <w:rsid w:val="00A011AB"/>
    <w:rsid w:val="00A01A16"/>
    <w:rsid w:val="00A02657"/>
    <w:rsid w:val="00A029C6"/>
    <w:rsid w:val="00A02E51"/>
    <w:rsid w:val="00A033B2"/>
    <w:rsid w:val="00A03415"/>
    <w:rsid w:val="00A04B89"/>
    <w:rsid w:val="00A04BBE"/>
    <w:rsid w:val="00A04C71"/>
    <w:rsid w:val="00A053DD"/>
    <w:rsid w:val="00A05624"/>
    <w:rsid w:val="00A057D1"/>
    <w:rsid w:val="00A05848"/>
    <w:rsid w:val="00A07A10"/>
    <w:rsid w:val="00A1111C"/>
    <w:rsid w:val="00A11CA7"/>
    <w:rsid w:val="00A121AE"/>
    <w:rsid w:val="00A1380E"/>
    <w:rsid w:val="00A13852"/>
    <w:rsid w:val="00A13F50"/>
    <w:rsid w:val="00A14DC6"/>
    <w:rsid w:val="00A14E6C"/>
    <w:rsid w:val="00A14E7F"/>
    <w:rsid w:val="00A15C36"/>
    <w:rsid w:val="00A1620F"/>
    <w:rsid w:val="00A16211"/>
    <w:rsid w:val="00A16DB1"/>
    <w:rsid w:val="00A16FFD"/>
    <w:rsid w:val="00A17CE0"/>
    <w:rsid w:val="00A20939"/>
    <w:rsid w:val="00A20ECA"/>
    <w:rsid w:val="00A21775"/>
    <w:rsid w:val="00A218F1"/>
    <w:rsid w:val="00A21C84"/>
    <w:rsid w:val="00A22340"/>
    <w:rsid w:val="00A232C8"/>
    <w:rsid w:val="00A23BB0"/>
    <w:rsid w:val="00A240C8"/>
    <w:rsid w:val="00A242F8"/>
    <w:rsid w:val="00A24782"/>
    <w:rsid w:val="00A2503D"/>
    <w:rsid w:val="00A25217"/>
    <w:rsid w:val="00A25429"/>
    <w:rsid w:val="00A256E2"/>
    <w:rsid w:val="00A25740"/>
    <w:rsid w:val="00A26715"/>
    <w:rsid w:val="00A26F2C"/>
    <w:rsid w:val="00A27ED3"/>
    <w:rsid w:val="00A3032D"/>
    <w:rsid w:val="00A3062A"/>
    <w:rsid w:val="00A30D27"/>
    <w:rsid w:val="00A33145"/>
    <w:rsid w:val="00A3390B"/>
    <w:rsid w:val="00A344DD"/>
    <w:rsid w:val="00A358D6"/>
    <w:rsid w:val="00A358F9"/>
    <w:rsid w:val="00A361D5"/>
    <w:rsid w:val="00A367AE"/>
    <w:rsid w:val="00A3728C"/>
    <w:rsid w:val="00A402A2"/>
    <w:rsid w:val="00A41822"/>
    <w:rsid w:val="00A41F99"/>
    <w:rsid w:val="00A42306"/>
    <w:rsid w:val="00A427D5"/>
    <w:rsid w:val="00A46AAD"/>
    <w:rsid w:val="00A47291"/>
    <w:rsid w:val="00A505EC"/>
    <w:rsid w:val="00A509C9"/>
    <w:rsid w:val="00A5154A"/>
    <w:rsid w:val="00A523F1"/>
    <w:rsid w:val="00A530B6"/>
    <w:rsid w:val="00A534E4"/>
    <w:rsid w:val="00A54EBF"/>
    <w:rsid w:val="00A5513D"/>
    <w:rsid w:val="00A55ACD"/>
    <w:rsid w:val="00A56073"/>
    <w:rsid w:val="00A56743"/>
    <w:rsid w:val="00A57C96"/>
    <w:rsid w:val="00A61438"/>
    <w:rsid w:val="00A6197C"/>
    <w:rsid w:val="00A62D61"/>
    <w:rsid w:val="00A63145"/>
    <w:rsid w:val="00A6384A"/>
    <w:rsid w:val="00A63FD5"/>
    <w:rsid w:val="00A6403D"/>
    <w:rsid w:val="00A642D7"/>
    <w:rsid w:val="00A6457B"/>
    <w:rsid w:val="00A652B0"/>
    <w:rsid w:val="00A66094"/>
    <w:rsid w:val="00A66A14"/>
    <w:rsid w:val="00A7028F"/>
    <w:rsid w:val="00A70E27"/>
    <w:rsid w:val="00A7105C"/>
    <w:rsid w:val="00A71EE3"/>
    <w:rsid w:val="00A72794"/>
    <w:rsid w:val="00A72A0B"/>
    <w:rsid w:val="00A72D8C"/>
    <w:rsid w:val="00A72E3B"/>
    <w:rsid w:val="00A731A9"/>
    <w:rsid w:val="00A73C03"/>
    <w:rsid w:val="00A7452C"/>
    <w:rsid w:val="00A75876"/>
    <w:rsid w:val="00A75B17"/>
    <w:rsid w:val="00A763B4"/>
    <w:rsid w:val="00A76755"/>
    <w:rsid w:val="00A77FA2"/>
    <w:rsid w:val="00A80711"/>
    <w:rsid w:val="00A80883"/>
    <w:rsid w:val="00A80EDB"/>
    <w:rsid w:val="00A81DC5"/>
    <w:rsid w:val="00A82D6E"/>
    <w:rsid w:val="00A82D77"/>
    <w:rsid w:val="00A839E3"/>
    <w:rsid w:val="00A83C9A"/>
    <w:rsid w:val="00A84E5D"/>
    <w:rsid w:val="00A854AE"/>
    <w:rsid w:val="00A85D9E"/>
    <w:rsid w:val="00A862B7"/>
    <w:rsid w:val="00A868B1"/>
    <w:rsid w:val="00A86AF6"/>
    <w:rsid w:val="00A874CC"/>
    <w:rsid w:val="00A8798F"/>
    <w:rsid w:val="00A87D01"/>
    <w:rsid w:val="00A906DC"/>
    <w:rsid w:val="00A9111A"/>
    <w:rsid w:val="00A91DA5"/>
    <w:rsid w:val="00A9206F"/>
    <w:rsid w:val="00A93AC8"/>
    <w:rsid w:val="00A94F36"/>
    <w:rsid w:val="00A95A6E"/>
    <w:rsid w:val="00A95DA8"/>
    <w:rsid w:val="00A96D9C"/>
    <w:rsid w:val="00A97AD6"/>
    <w:rsid w:val="00AA00D2"/>
    <w:rsid w:val="00AA03A0"/>
    <w:rsid w:val="00AA137D"/>
    <w:rsid w:val="00AA1947"/>
    <w:rsid w:val="00AA1B81"/>
    <w:rsid w:val="00AA2942"/>
    <w:rsid w:val="00AA2DC3"/>
    <w:rsid w:val="00AA30F2"/>
    <w:rsid w:val="00AA37BC"/>
    <w:rsid w:val="00AA4786"/>
    <w:rsid w:val="00AA5632"/>
    <w:rsid w:val="00AA58D8"/>
    <w:rsid w:val="00AA6613"/>
    <w:rsid w:val="00AA7915"/>
    <w:rsid w:val="00AB22AF"/>
    <w:rsid w:val="00AB30C3"/>
    <w:rsid w:val="00AB492F"/>
    <w:rsid w:val="00AB624E"/>
    <w:rsid w:val="00AB6FA4"/>
    <w:rsid w:val="00AB7B45"/>
    <w:rsid w:val="00AB7C23"/>
    <w:rsid w:val="00AB7F61"/>
    <w:rsid w:val="00AC0054"/>
    <w:rsid w:val="00AC088A"/>
    <w:rsid w:val="00AC0F7F"/>
    <w:rsid w:val="00AC2379"/>
    <w:rsid w:val="00AC28CD"/>
    <w:rsid w:val="00AC3196"/>
    <w:rsid w:val="00AC3E33"/>
    <w:rsid w:val="00AC44DB"/>
    <w:rsid w:val="00AC4D76"/>
    <w:rsid w:val="00AC623A"/>
    <w:rsid w:val="00AC7642"/>
    <w:rsid w:val="00AD00A8"/>
    <w:rsid w:val="00AD0EA6"/>
    <w:rsid w:val="00AD1855"/>
    <w:rsid w:val="00AD2404"/>
    <w:rsid w:val="00AD3098"/>
    <w:rsid w:val="00AD3426"/>
    <w:rsid w:val="00AD40E5"/>
    <w:rsid w:val="00AD44B0"/>
    <w:rsid w:val="00AD483D"/>
    <w:rsid w:val="00AD4B7E"/>
    <w:rsid w:val="00AD51F2"/>
    <w:rsid w:val="00AD5CF1"/>
    <w:rsid w:val="00AE0A31"/>
    <w:rsid w:val="00AE24B0"/>
    <w:rsid w:val="00AE2579"/>
    <w:rsid w:val="00AE320D"/>
    <w:rsid w:val="00AE43C1"/>
    <w:rsid w:val="00AE5515"/>
    <w:rsid w:val="00AE6F7B"/>
    <w:rsid w:val="00AE76A0"/>
    <w:rsid w:val="00AE7CDB"/>
    <w:rsid w:val="00AE9C85"/>
    <w:rsid w:val="00AF00BB"/>
    <w:rsid w:val="00AF078A"/>
    <w:rsid w:val="00AF07A2"/>
    <w:rsid w:val="00AF1CD7"/>
    <w:rsid w:val="00AF2043"/>
    <w:rsid w:val="00AF27B3"/>
    <w:rsid w:val="00AF3F37"/>
    <w:rsid w:val="00AF3F52"/>
    <w:rsid w:val="00AF3FE3"/>
    <w:rsid w:val="00AF41DC"/>
    <w:rsid w:val="00AF4374"/>
    <w:rsid w:val="00AF4ED0"/>
    <w:rsid w:val="00AF5A92"/>
    <w:rsid w:val="00B01F7E"/>
    <w:rsid w:val="00B01FA8"/>
    <w:rsid w:val="00B023B2"/>
    <w:rsid w:val="00B02570"/>
    <w:rsid w:val="00B02A3E"/>
    <w:rsid w:val="00B0349F"/>
    <w:rsid w:val="00B037BD"/>
    <w:rsid w:val="00B03A79"/>
    <w:rsid w:val="00B0477D"/>
    <w:rsid w:val="00B047B1"/>
    <w:rsid w:val="00B04FDB"/>
    <w:rsid w:val="00B0684C"/>
    <w:rsid w:val="00B0730B"/>
    <w:rsid w:val="00B07F75"/>
    <w:rsid w:val="00B10128"/>
    <w:rsid w:val="00B10E96"/>
    <w:rsid w:val="00B11C4E"/>
    <w:rsid w:val="00B11FEA"/>
    <w:rsid w:val="00B127B3"/>
    <w:rsid w:val="00B1301F"/>
    <w:rsid w:val="00B14A0C"/>
    <w:rsid w:val="00B15634"/>
    <w:rsid w:val="00B15D06"/>
    <w:rsid w:val="00B16383"/>
    <w:rsid w:val="00B16695"/>
    <w:rsid w:val="00B16AF3"/>
    <w:rsid w:val="00B171C4"/>
    <w:rsid w:val="00B1756F"/>
    <w:rsid w:val="00B1766D"/>
    <w:rsid w:val="00B204D1"/>
    <w:rsid w:val="00B2074F"/>
    <w:rsid w:val="00B20CA8"/>
    <w:rsid w:val="00B20E57"/>
    <w:rsid w:val="00B2118A"/>
    <w:rsid w:val="00B2270F"/>
    <w:rsid w:val="00B22ED5"/>
    <w:rsid w:val="00B237F5"/>
    <w:rsid w:val="00B24002"/>
    <w:rsid w:val="00B25D2E"/>
    <w:rsid w:val="00B2620E"/>
    <w:rsid w:val="00B265CF"/>
    <w:rsid w:val="00B301F2"/>
    <w:rsid w:val="00B30243"/>
    <w:rsid w:val="00B307FD"/>
    <w:rsid w:val="00B3087D"/>
    <w:rsid w:val="00B31F9C"/>
    <w:rsid w:val="00B32B9F"/>
    <w:rsid w:val="00B337F5"/>
    <w:rsid w:val="00B342FF"/>
    <w:rsid w:val="00B34794"/>
    <w:rsid w:val="00B3497C"/>
    <w:rsid w:val="00B34E14"/>
    <w:rsid w:val="00B353E9"/>
    <w:rsid w:val="00B3589D"/>
    <w:rsid w:val="00B3591A"/>
    <w:rsid w:val="00B368D5"/>
    <w:rsid w:val="00B36E68"/>
    <w:rsid w:val="00B3731E"/>
    <w:rsid w:val="00B4013C"/>
    <w:rsid w:val="00B40C12"/>
    <w:rsid w:val="00B41356"/>
    <w:rsid w:val="00B41E9F"/>
    <w:rsid w:val="00B43472"/>
    <w:rsid w:val="00B44C0F"/>
    <w:rsid w:val="00B46C36"/>
    <w:rsid w:val="00B47343"/>
    <w:rsid w:val="00B503C0"/>
    <w:rsid w:val="00B50681"/>
    <w:rsid w:val="00B50CF5"/>
    <w:rsid w:val="00B510BC"/>
    <w:rsid w:val="00B512B2"/>
    <w:rsid w:val="00B516BF"/>
    <w:rsid w:val="00B51A9A"/>
    <w:rsid w:val="00B51E25"/>
    <w:rsid w:val="00B52183"/>
    <w:rsid w:val="00B5362B"/>
    <w:rsid w:val="00B5615B"/>
    <w:rsid w:val="00B56C1F"/>
    <w:rsid w:val="00B57994"/>
    <w:rsid w:val="00B60421"/>
    <w:rsid w:val="00B60A34"/>
    <w:rsid w:val="00B60C20"/>
    <w:rsid w:val="00B613FA"/>
    <w:rsid w:val="00B642B0"/>
    <w:rsid w:val="00B64700"/>
    <w:rsid w:val="00B65727"/>
    <w:rsid w:val="00B65CB3"/>
    <w:rsid w:val="00B66C94"/>
    <w:rsid w:val="00B67A6C"/>
    <w:rsid w:val="00B67CF8"/>
    <w:rsid w:val="00B705FC"/>
    <w:rsid w:val="00B7079C"/>
    <w:rsid w:val="00B70B3F"/>
    <w:rsid w:val="00B714E0"/>
    <w:rsid w:val="00B717FE"/>
    <w:rsid w:val="00B71F15"/>
    <w:rsid w:val="00B72421"/>
    <w:rsid w:val="00B72995"/>
    <w:rsid w:val="00B73A01"/>
    <w:rsid w:val="00B74607"/>
    <w:rsid w:val="00B74977"/>
    <w:rsid w:val="00B74E55"/>
    <w:rsid w:val="00B76E79"/>
    <w:rsid w:val="00B7744A"/>
    <w:rsid w:val="00B80485"/>
    <w:rsid w:val="00B80E21"/>
    <w:rsid w:val="00B80F83"/>
    <w:rsid w:val="00B81144"/>
    <w:rsid w:val="00B81887"/>
    <w:rsid w:val="00B8190E"/>
    <w:rsid w:val="00B81C74"/>
    <w:rsid w:val="00B81EFB"/>
    <w:rsid w:val="00B8209A"/>
    <w:rsid w:val="00B835A0"/>
    <w:rsid w:val="00B83C51"/>
    <w:rsid w:val="00B84AC6"/>
    <w:rsid w:val="00B8557E"/>
    <w:rsid w:val="00B856E3"/>
    <w:rsid w:val="00B85C55"/>
    <w:rsid w:val="00B85E85"/>
    <w:rsid w:val="00B86810"/>
    <w:rsid w:val="00B86E27"/>
    <w:rsid w:val="00B900B4"/>
    <w:rsid w:val="00B90628"/>
    <w:rsid w:val="00B90FF9"/>
    <w:rsid w:val="00B91947"/>
    <w:rsid w:val="00B91C61"/>
    <w:rsid w:val="00B91F06"/>
    <w:rsid w:val="00B93473"/>
    <w:rsid w:val="00B937F1"/>
    <w:rsid w:val="00B93EE6"/>
    <w:rsid w:val="00B94480"/>
    <w:rsid w:val="00B94D1E"/>
    <w:rsid w:val="00B94F65"/>
    <w:rsid w:val="00B95640"/>
    <w:rsid w:val="00B96074"/>
    <w:rsid w:val="00B967CB"/>
    <w:rsid w:val="00B969B3"/>
    <w:rsid w:val="00B96CA4"/>
    <w:rsid w:val="00B971CE"/>
    <w:rsid w:val="00B9752C"/>
    <w:rsid w:val="00B976AD"/>
    <w:rsid w:val="00BA0820"/>
    <w:rsid w:val="00BA0AB8"/>
    <w:rsid w:val="00BA1E75"/>
    <w:rsid w:val="00BA2F63"/>
    <w:rsid w:val="00BA305D"/>
    <w:rsid w:val="00BA353A"/>
    <w:rsid w:val="00BA3550"/>
    <w:rsid w:val="00BA4529"/>
    <w:rsid w:val="00BA52C9"/>
    <w:rsid w:val="00BA56F7"/>
    <w:rsid w:val="00BA5AA3"/>
    <w:rsid w:val="00BA5E10"/>
    <w:rsid w:val="00BA631E"/>
    <w:rsid w:val="00BA6A81"/>
    <w:rsid w:val="00BA7228"/>
    <w:rsid w:val="00BA7887"/>
    <w:rsid w:val="00BB0243"/>
    <w:rsid w:val="00BB0C59"/>
    <w:rsid w:val="00BB1E61"/>
    <w:rsid w:val="00BB21C6"/>
    <w:rsid w:val="00BB29CC"/>
    <w:rsid w:val="00BB31A2"/>
    <w:rsid w:val="00BB3CDE"/>
    <w:rsid w:val="00BB3D3D"/>
    <w:rsid w:val="00BB3DF0"/>
    <w:rsid w:val="00BB41FE"/>
    <w:rsid w:val="00BB42F8"/>
    <w:rsid w:val="00BB4774"/>
    <w:rsid w:val="00BB4CCE"/>
    <w:rsid w:val="00BB567A"/>
    <w:rsid w:val="00BB56FC"/>
    <w:rsid w:val="00BB6C04"/>
    <w:rsid w:val="00BB7CFB"/>
    <w:rsid w:val="00BC2005"/>
    <w:rsid w:val="00BC2263"/>
    <w:rsid w:val="00BC2610"/>
    <w:rsid w:val="00BC2B73"/>
    <w:rsid w:val="00BC307E"/>
    <w:rsid w:val="00BC390E"/>
    <w:rsid w:val="00BC42EC"/>
    <w:rsid w:val="00BC486A"/>
    <w:rsid w:val="00BC6171"/>
    <w:rsid w:val="00BC66C4"/>
    <w:rsid w:val="00BC6FE1"/>
    <w:rsid w:val="00BC759A"/>
    <w:rsid w:val="00BC7FA6"/>
    <w:rsid w:val="00BD0639"/>
    <w:rsid w:val="00BD0C51"/>
    <w:rsid w:val="00BD2D15"/>
    <w:rsid w:val="00BD3EEC"/>
    <w:rsid w:val="00BD4B2A"/>
    <w:rsid w:val="00BD4B9D"/>
    <w:rsid w:val="00BD654E"/>
    <w:rsid w:val="00BD6911"/>
    <w:rsid w:val="00BD6A6F"/>
    <w:rsid w:val="00BD7216"/>
    <w:rsid w:val="00BD7BE1"/>
    <w:rsid w:val="00BD7F1D"/>
    <w:rsid w:val="00BE091C"/>
    <w:rsid w:val="00BE199C"/>
    <w:rsid w:val="00BE23D9"/>
    <w:rsid w:val="00BE2511"/>
    <w:rsid w:val="00BE2809"/>
    <w:rsid w:val="00BE2C80"/>
    <w:rsid w:val="00BE309F"/>
    <w:rsid w:val="00BE30C3"/>
    <w:rsid w:val="00BE390A"/>
    <w:rsid w:val="00BE3AE1"/>
    <w:rsid w:val="00BE3F66"/>
    <w:rsid w:val="00BE4572"/>
    <w:rsid w:val="00BE4DF5"/>
    <w:rsid w:val="00BE51BB"/>
    <w:rsid w:val="00BE62FE"/>
    <w:rsid w:val="00BE692D"/>
    <w:rsid w:val="00BE79B1"/>
    <w:rsid w:val="00BE7FF5"/>
    <w:rsid w:val="00BF0336"/>
    <w:rsid w:val="00BF04B3"/>
    <w:rsid w:val="00BF0A3B"/>
    <w:rsid w:val="00BF1091"/>
    <w:rsid w:val="00BF1498"/>
    <w:rsid w:val="00BF1C59"/>
    <w:rsid w:val="00BF3CDC"/>
    <w:rsid w:val="00BF48CC"/>
    <w:rsid w:val="00BF4B51"/>
    <w:rsid w:val="00BF6753"/>
    <w:rsid w:val="00BF6DEA"/>
    <w:rsid w:val="00BF746D"/>
    <w:rsid w:val="00BF7488"/>
    <w:rsid w:val="00BF78D9"/>
    <w:rsid w:val="00BF7A0F"/>
    <w:rsid w:val="00BF7DB6"/>
    <w:rsid w:val="00C0063E"/>
    <w:rsid w:val="00C00E0B"/>
    <w:rsid w:val="00C018DD"/>
    <w:rsid w:val="00C023FA"/>
    <w:rsid w:val="00C0311C"/>
    <w:rsid w:val="00C03158"/>
    <w:rsid w:val="00C0380F"/>
    <w:rsid w:val="00C03A49"/>
    <w:rsid w:val="00C03BE0"/>
    <w:rsid w:val="00C04232"/>
    <w:rsid w:val="00C052E1"/>
    <w:rsid w:val="00C05525"/>
    <w:rsid w:val="00C055F2"/>
    <w:rsid w:val="00C06606"/>
    <w:rsid w:val="00C066AC"/>
    <w:rsid w:val="00C074B5"/>
    <w:rsid w:val="00C0754A"/>
    <w:rsid w:val="00C1081B"/>
    <w:rsid w:val="00C109E8"/>
    <w:rsid w:val="00C109EA"/>
    <w:rsid w:val="00C10B5F"/>
    <w:rsid w:val="00C10F08"/>
    <w:rsid w:val="00C112F2"/>
    <w:rsid w:val="00C11821"/>
    <w:rsid w:val="00C11AEA"/>
    <w:rsid w:val="00C11CBA"/>
    <w:rsid w:val="00C12319"/>
    <w:rsid w:val="00C130A9"/>
    <w:rsid w:val="00C134EA"/>
    <w:rsid w:val="00C13B01"/>
    <w:rsid w:val="00C13C76"/>
    <w:rsid w:val="00C140F8"/>
    <w:rsid w:val="00C147A3"/>
    <w:rsid w:val="00C14A6F"/>
    <w:rsid w:val="00C15330"/>
    <w:rsid w:val="00C1619B"/>
    <w:rsid w:val="00C1630E"/>
    <w:rsid w:val="00C16F65"/>
    <w:rsid w:val="00C17925"/>
    <w:rsid w:val="00C17A73"/>
    <w:rsid w:val="00C2012E"/>
    <w:rsid w:val="00C202AC"/>
    <w:rsid w:val="00C205A2"/>
    <w:rsid w:val="00C20966"/>
    <w:rsid w:val="00C20988"/>
    <w:rsid w:val="00C22428"/>
    <w:rsid w:val="00C230C5"/>
    <w:rsid w:val="00C236FF"/>
    <w:rsid w:val="00C23837"/>
    <w:rsid w:val="00C238F7"/>
    <w:rsid w:val="00C24CE0"/>
    <w:rsid w:val="00C256EA"/>
    <w:rsid w:val="00C27013"/>
    <w:rsid w:val="00C30081"/>
    <w:rsid w:val="00C30530"/>
    <w:rsid w:val="00C31859"/>
    <w:rsid w:val="00C31C2A"/>
    <w:rsid w:val="00C32402"/>
    <w:rsid w:val="00C3450F"/>
    <w:rsid w:val="00C34A60"/>
    <w:rsid w:val="00C34F22"/>
    <w:rsid w:val="00C365BD"/>
    <w:rsid w:val="00C37691"/>
    <w:rsid w:val="00C37BE5"/>
    <w:rsid w:val="00C40A96"/>
    <w:rsid w:val="00C414C5"/>
    <w:rsid w:val="00C42AE9"/>
    <w:rsid w:val="00C42D1F"/>
    <w:rsid w:val="00C438ED"/>
    <w:rsid w:val="00C44B3F"/>
    <w:rsid w:val="00C4540D"/>
    <w:rsid w:val="00C45F63"/>
    <w:rsid w:val="00C4628D"/>
    <w:rsid w:val="00C468E4"/>
    <w:rsid w:val="00C47AAC"/>
    <w:rsid w:val="00C50C21"/>
    <w:rsid w:val="00C52A98"/>
    <w:rsid w:val="00C52C6C"/>
    <w:rsid w:val="00C53113"/>
    <w:rsid w:val="00C53821"/>
    <w:rsid w:val="00C5437A"/>
    <w:rsid w:val="00C55788"/>
    <w:rsid w:val="00C5580A"/>
    <w:rsid w:val="00C5623B"/>
    <w:rsid w:val="00C565FD"/>
    <w:rsid w:val="00C56704"/>
    <w:rsid w:val="00C56B88"/>
    <w:rsid w:val="00C57D1B"/>
    <w:rsid w:val="00C57FE5"/>
    <w:rsid w:val="00C60B80"/>
    <w:rsid w:val="00C614ED"/>
    <w:rsid w:val="00C62021"/>
    <w:rsid w:val="00C62DC3"/>
    <w:rsid w:val="00C631F0"/>
    <w:rsid w:val="00C6342D"/>
    <w:rsid w:val="00C636CF"/>
    <w:rsid w:val="00C63B36"/>
    <w:rsid w:val="00C64CD4"/>
    <w:rsid w:val="00C64DEF"/>
    <w:rsid w:val="00C656DB"/>
    <w:rsid w:val="00C66777"/>
    <w:rsid w:val="00C66A96"/>
    <w:rsid w:val="00C67A7F"/>
    <w:rsid w:val="00C67E2E"/>
    <w:rsid w:val="00C708B2"/>
    <w:rsid w:val="00C718BB"/>
    <w:rsid w:val="00C72038"/>
    <w:rsid w:val="00C72548"/>
    <w:rsid w:val="00C725F1"/>
    <w:rsid w:val="00C73178"/>
    <w:rsid w:val="00C73899"/>
    <w:rsid w:val="00C73C32"/>
    <w:rsid w:val="00C74C40"/>
    <w:rsid w:val="00C7561A"/>
    <w:rsid w:val="00C76559"/>
    <w:rsid w:val="00C76D40"/>
    <w:rsid w:val="00C774C0"/>
    <w:rsid w:val="00C7783D"/>
    <w:rsid w:val="00C803B0"/>
    <w:rsid w:val="00C80C76"/>
    <w:rsid w:val="00C80D3F"/>
    <w:rsid w:val="00C80F1C"/>
    <w:rsid w:val="00C81D36"/>
    <w:rsid w:val="00C83CE7"/>
    <w:rsid w:val="00C85EDB"/>
    <w:rsid w:val="00C85FD5"/>
    <w:rsid w:val="00C86571"/>
    <w:rsid w:val="00C86C76"/>
    <w:rsid w:val="00C86C98"/>
    <w:rsid w:val="00C90780"/>
    <w:rsid w:val="00C90BDC"/>
    <w:rsid w:val="00C913A1"/>
    <w:rsid w:val="00C920B6"/>
    <w:rsid w:val="00C9215C"/>
    <w:rsid w:val="00C928D8"/>
    <w:rsid w:val="00C932BB"/>
    <w:rsid w:val="00C94748"/>
    <w:rsid w:val="00C9491F"/>
    <w:rsid w:val="00C94DD6"/>
    <w:rsid w:val="00C97DF3"/>
    <w:rsid w:val="00CA0867"/>
    <w:rsid w:val="00CA1B33"/>
    <w:rsid w:val="00CA1D96"/>
    <w:rsid w:val="00CA22A2"/>
    <w:rsid w:val="00CA3AD4"/>
    <w:rsid w:val="00CA3DB1"/>
    <w:rsid w:val="00CA4696"/>
    <w:rsid w:val="00CA4735"/>
    <w:rsid w:val="00CA4F71"/>
    <w:rsid w:val="00CA5AA6"/>
    <w:rsid w:val="00CA5C66"/>
    <w:rsid w:val="00CA6C9B"/>
    <w:rsid w:val="00CA70C6"/>
    <w:rsid w:val="00CA7117"/>
    <w:rsid w:val="00CA7837"/>
    <w:rsid w:val="00CB058D"/>
    <w:rsid w:val="00CB0D41"/>
    <w:rsid w:val="00CB11FC"/>
    <w:rsid w:val="00CB1825"/>
    <w:rsid w:val="00CB2643"/>
    <w:rsid w:val="00CB2A84"/>
    <w:rsid w:val="00CB4AB6"/>
    <w:rsid w:val="00CB5AEA"/>
    <w:rsid w:val="00CB645C"/>
    <w:rsid w:val="00CB6790"/>
    <w:rsid w:val="00CB72E8"/>
    <w:rsid w:val="00CB7652"/>
    <w:rsid w:val="00CC06DA"/>
    <w:rsid w:val="00CC09F0"/>
    <w:rsid w:val="00CC1278"/>
    <w:rsid w:val="00CC1317"/>
    <w:rsid w:val="00CC211A"/>
    <w:rsid w:val="00CC2CC2"/>
    <w:rsid w:val="00CC3745"/>
    <w:rsid w:val="00CC4955"/>
    <w:rsid w:val="00CC49BC"/>
    <w:rsid w:val="00CC5D1A"/>
    <w:rsid w:val="00CC5F54"/>
    <w:rsid w:val="00CC6257"/>
    <w:rsid w:val="00CC691B"/>
    <w:rsid w:val="00CC6A99"/>
    <w:rsid w:val="00CC7423"/>
    <w:rsid w:val="00CC782C"/>
    <w:rsid w:val="00CC7CD9"/>
    <w:rsid w:val="00CC7E9C"/>
    <w:rsid w:val="00CD0D66"/>
    <w:rsid w:val="00CD164B"/>
    <w:rsid w:val="00CD2911"/>
    <w:rsid w:val="00CD348D"/>
    <w:rsid w:val="00CD3A26"/>
    <w:rsid w:val="00CD467C"/>
    <w:rsid w:val="00CD4D01"/>
    <w:rsid w:val="00CD580F"/>
    <w:rsid w:val="00CD69EA"/>
    <w:rsid w:val="00CD7035"/>
    <w:rsid w:val="00CE0CA0"/>
    <w:rsid w:val="00CE1601"/>
    <w:rsid w:val="00CE19E3"/>
    <w:rsid w:val="00CE1A7D"/>
    <w:rsid w:val="00CE2A15"/>
    <w:rsid w:val="00CE4105"/>
    <w:rsid w:val="00CE4690"/>
    <w:rsid w:val="00CE47F3"/>
    <w:rsid w:val="00CE4849"/>
    <w:rsid w:val="00CE4BC7"/>
    <w:rsid w:val="00CE4BDA"/>
    <w:rsid w:val="00CE5B21"/>
    <w:rsid w:val="00CE64C2"/>
    <w:rsid w:val="00CF0003"/>
    <w:rsid w:val="00CF040C"/>
    <w:rsid w:val="00CF0418"/>
    <w:rsid w:val="00CF0479"/>
    <w:rsid w:val="00CF0CB8"/>
    <w:rsid w:val="00CF1A78"/>
    <w:rsid w:val="00CF1D0B"/>
    <w:rsid w:val="00CF3386"/>
    <w:rsid w:val="00CF3629"/>
    <w:rsid w:val="00CF37E3"/>
    <w:rsid w:val="00CF3BAD"/>
    <w:rsid w:val="00CF52AC"/>
    <w:rsid w:val="00CF57A4"/>
    <w:rsid w:val="00CF677C"/>
    <w:rsid w:val="00CF7238"/>
    <w:rsid w:val="00D00907"/>
    <w:rsid w:val="00D00AA3"/>
    <w:rsid w:val="00D00E4F"/>
    <w:rsid w:val="00D02400"/>
    <w:rsid w:val="00D0271A"/>
    <w:rsid w:val="00D02A7F"/>
    <w:rsid w:val="00D02D0E"/>
    <w:rsid w:val="00D0351F"/>
    <w:rsid w:val="00D03FE0"/>
    <w:rsid w:val="00D05780"/>
    <w:rsid w:val="00D05F02"/>
    <w:rsid w:val="00D0741B"/>
    <w:rsid w:val="00D0770F"/>
    <w:rsid w:val="00D07F73"/>
    <w:rsid w:val="00D07F7C"/>
    <w:rsid w:val="00D106CB"/>
    <w:rsid w:val="00D108B0"/>
    <w:rsid w:val="00D10A7F"/>
    <w:rsid w:val="00D10DDF"/>
    <w:rsid w:val="00D1117F"/>
    <w:rsid w:val="00D1132D"/>
    <w:rsid w:val="00D11961"/>
    <w:rsid w:val="00D11FC9"/>
    <w:rsid w:val="00D1250C"/>
    <w:rsid w:val="00D13052"/>
    <w:rsid w:val="00D14776"/>
    <w:rsid w:val="00D14A23"/>
    <w:rsid w:val="00D162AA"/>
    <w:rsid w:val="00D16C4C"/>
    <w:rsid w:val="00D170E6"/>
    <w:rsid w:val="00D17992"/>
    <w:rsid w:val="00D17DBE"/>
    <w:rsid w:val="00D2002E"/>
    <w:rsid w:val="00D2041C"/>
    <w:rsid w:val="00D206B9"/>
    <w:rsid w:val="00D20E30"/>
    <w:rsid w:val="00D2188E"/>
    <w:rsid w:val="00D21BDE"/>
    <w:rsid w:val="00D22976"/>
    <w:rsid w:val="00D22F93"/>
    <w:rsid w:val="00D241F8"/>
    <w:rsid w:val="00D24291"/>
    <w:rsid w:val="00D24C85"/>
    <w:rsid w:val="00D25272"/>
    <w:rsid w:val="00D254F1"/>
    <w:rsid w:val="00D25ADE"/>
    <w:rsid w:val="00D26471"/>
    <w:rsid w:val="00D3014A"/>
    <w:rsid w:val="00D3061E"/>
    <w:rsid w:val="00D30B98"/>
    <w:rsid w:val="00D33837"/>
    <w:rsid w:val="00D34B00"/>
    <w:rsid w:val="00D34CB5"/>
    <w:rsid w:val="00D37D90"/>
    <w:rsid w:val="00D40510"/>
    <w:rsid w:val="00D40667"/>
    <w:rsid w:val="00D406CE"/>
    <w:rsid w:val="00D41A41"/>
    <w:rsid w:val="00D42765"/>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2AF"/>
    <w:rsid w:val="00D516BA"/>
    <w:rsid w:val="00D53BCE"/>
    <w:rsid w:val="00D54380"/>
    <w:rsid w:val="00D5486B"/>
    <w:rsid w:val="00D5552E"/>
    <w:rsid w:val="00D5575C"/>
    <w:rsid w:val="00D55979"/>
    <w:rsid w:val="00D567F3"/>
    <w:rsid w:val="00D61122"/>
    <w:rsid w:val="00D61E69"/>
    <w:rsid w:val="00D61F70"/>
    <w:rsid w:val="00D623CF"/>
    <w:rsid w:val="00D6515D"/>
    <w:rsid w:val="00D655B5"/>
    <w:rsid w:val="00D6603C"/>
    <w:rsid w:val="00D663D2"/>
    <w:rsid w:val="00D66760"/>
    <w:rsid w:val="00D66AAB"/>
    <w:rsid w:val="00D67055"/>
    <w:rsid w:val="00D67711"/>
    <w:rsid w:val="00D70B2F"/>
    <w:rsid w:val="00D7112F"/>
    <w:rsid w:val="00D71F03"/>
    <w:rsid w:val="00D733A0"/>
    <w:rsid w:val="00D7394F"/>
    <w:rsid w:val="00D744EF"/>
    <w:rsid w:val="00D745C7"/>
    <w:rsid w:val="00D747E2"/>
    <w:rsid w:val="00D74E80"/>
    <w:rsid w:val="00D75026"/>
    <w:rsid w:val="00D758FA"/>
    <w:rsid w:val="00D75DB6"/>
    <w:rsid w:val="00D75ECB"/>
    <w:rsid w:val="00D76A3C"/>
    <w:rsid w:val="00D76DFA"/>
    <w:rsid w:val="00D77A5F"/>
    <w:rsid w:val="00D77FBD"/>
    <w:rsid w:val="00D81888"/>
    <w:rsid w:val="00D82651"/>
    <w:rsid w:val="00D82A43"/>
    <w:rsid w:val="00D83115"/>
    <w:rsid w:val="00D848B9"/>
    <w:rsid w:val="00D84C4D"/>
    <w:rsid w:val="00D85A4A"/>
    <w:rsid w:val="00D863CD"/>
    <w:rsid w:val="00D8690B"/>
    <w:rsid w:val="00D86AE4"/>
    <w:rsid w:val="00D86AF6"/>
    <w:rsid w:val="00D86C21"/>
    <w:rsid w:val="00D86D96"/>
    <w:rsid w:val="00D87AC0"/>
    <w:rsid w:val="00D901CE"/>
    <w:rsid w:val="00D9042D"/>
    <w:rsid w:val="00D90F65"/>
    <w:rsid w:val="00D90FCB"/>
    <w:rsid w:val="00D9187A"/>
    <w:rsid w:val="00D918D5"/>
    <w:rsid w:val="00D92B17"/>
    <w:rsid w:val="00D93414"/>
    <w:rsid w:val="00D936F2"/>
    <w:rsid w:val="00D9435D"/>
    <w:rsid w:val="00D95981"/>
    <w:rsid w:val="00D95D96"/>
    <w:rsid w:val="00D96FA1"/>
    <w:rsid w:val="00D97447"/>
    <w:rsid w:val="00DA0D4D"/>
    <w:rsid w:val="00DA10CB"/>
    <w:rsid w:val="00DA133B"/>
    <w:rsid w:val="00DA137D"/>
    <w:rsid w:val="00DA1D34"/>
    <w:rsid w:val="00DA1E77"/>
    <w:rsid w:val="00DA1EEE"/>
    <w:rsid w:val="00DA25AC"/>
    <w:rsid w:val="00DA34F6"/>
    <w:rsid w:val="00DA35C1"/>
    <w:rsid w:val="00DA441D"/>
    <w:rsid w:val="00DA4958"/>
    <w:rsid w:val="00DA4C90"/>
    <w:rsid w:val="00DA55FE"/>
    <w:rsid w:val="00DA5AF6"/>
    <w:rsid w:val="00DA6446"/>
    <w:rsid w:val="00DA7159"/>
    <w:rsid w:val="00DA7450"/>
    <w:rsid w:val="00DA7B5D"/>
    <w:rsid w:val="00DA7D36"/>
    <w:rsid w:val="00DA7FDD"/>
    <w:rsid w:val="00DB00B2"/>
    <w:rsid w:val="00DB1860"/>
    <w:rsid w:val="00DB1AD5"/>
    <w:rsid w:val="00DB33BF"/>
    <w:rsid w:val="00DB3E13"/>
    <w:rsid w:val="00DB42B1"/>
    <w:rsid w:val="00DB498F"/>
    <w:rsid w:val="00DB6A93"/>
    <w:rsid w:val="00DB6CEF"/>
    <w:rsid w:val="00DB6ED5"/>
    <w:rsid w:val="00DB6FE5"/>
    <w:rsid w:val="00DB718F"/>
    <w:rsid w:val="00DB7C38"/>
    <w:rsid w:val="00DB7D1A"/>
    <w:rsid w:val="00DC0A39"/>
    <w:rsid w:val="00DC2A2B"/>
    <w:rsid w:val="00DC355C"/>
    <w:rsid w:val="00DC36EB"/>
    <w:rsid w:val="00DC45B7"/>
    <w:rsid w:val="00DC45BD"/>
    <w:rsid w:val="00DC4EAB"/>
    <w:rsid w:val="00DC654C"/>
    <w:rsid w:val="00DC66A2"/>
    <w:rsid w:val="00DC67EF"/>
    <w:rsid w:val="00DC67F2"/>
    <w:rsid w:val="00DC6A26"/>
    <w:rsid w:val="00DC7114"/>
    <w:rsid w:val="00DC76B5"/>
    <w:rsid w:val="00DC7F47"/>
    <w:rsid w:val="00DC7F63"/>
    <w:rsid w:val="00DD097F"/>
    <w:rsid w:val="00DD1583"/>
    <w:rsid w:val="00DD244A"/>
    <w:rsid w:val="00DD27CE"/>
    <w:rsid w:val="00DD33E6"/>
    <w:rsid w:val="00DD40D2"/>
    <w:rsid w:val="00DD502E"/>
    <w:rsid w:val="00DD511A"/>
    <w:rsid w:val="00DD56E7"/>
    <w:rsid w:val="00DD5E7B"/>
    <w:rsid w:val="00DD6215"/>
    <w:rsid w:val="00DD62EE"/>
    <w:rsid w:val="00DD7B75"/>
    <w:rsid w:val="00DD7F7A"/>
    <w:rsid w:val="00DD7F87"/>
    <w:rsid w:val="00DE07F6"/>
    <w:rsid w:val="00DE09FE"/>
    <w:rsid w:val="00DE0A18"/>
    <w:rsid w:val="00DE0B49"/>
    <w:rsid w:val="00DE0D7E"/>
    <w:rsid w:val="00DE0D8E"/>
    <w:rsid w:val="00DE1876"/>
    <w:rsid w:val="00DE320D"/>
    <w:rsid w:val="00DE3574"/>
    <w:rsid w:val="00DE3750"/>
    <w:rsid w:val="00DE3802"/>
    <w:rsid w:val="00DE5C92"/>
    <w:rsid w:val="00DE6192"/>
    <w:rsid w:val="00DE6476"/>
    <w:rsid w:val="00DE66D7"/>
    <w:rsid w:val="00DE6B75"/>
    <w:rsid w:val="00DE7362"/>
    <w:rsid w:val="00DE7BF0"/>
    <w:rsid w:val="00DE7CAA"/>
    <w:rsid w:val="00DF00C2"/>
    <w:rsid w:val="00DF0322"/>
    <w:rsid w:val="00DF1265"/>
    <w:rsid w:val="00DF1365"/>
    <w:rsid w:val="00DF256C"/>
    <w:rsid w:val="00DF26FF"/>
    <w:rsid w:val="00DF2D8D"/>
    <w:rsid w:val="00DF333E"/>
    <w:rsid w:val="00DF35E6"/>
    <w:rsid w:val="00DF3D3C"/>
    <w:rsid w:val="00DF4115"/>
    <w:rsid w:val="00DF4144"/>
    <w:rsid w:val="00DF42B0"/>
    <w:rsid w:val="00DF5485"/>
    <w:rsid w:val="00DF58E7"/>
    <w:rsid w:val="00DF5B0A"/>
    <w:rsid w:val="00DF72F9"/>
    <w:rsid w:val="00E00C2B"/>
    <w:rsid w:val="00E013CC"/>
    <w:rsid w:val="00E01B8D"/>
    <w:rsid w:val="00E01DC2"/>
    <w:rsid w:val="00E02176"/>
    <w:rsid w:val="00E0379D"/>
    <w:rsid w:val="00E03F67"/>
    <w:rsid w:val="00E04226"/>
    <w:rsid w:val="00E042DD"/>
    <w:rsid w:val="00E07FCE"/>
    <w:rsid w:val="00E117AA"/>
    <w:rsid w:val="00E11876"/>
    <w:rsid w:val="00E123D6"/>
    <w:rsid w:val="00E12827"/>
    <w:rsid w:val="00E128A6"/>
    <w:rsid w:val="00E1361A"/>
    <w:rsid w:val="00E1386E"/>
    <w:rsid w:val="00E13D60"/>
    <w:rsid w:val="00E145F5"/>
    <w:rsid w:val="00E147BE"/>
    <w:rsid w:val="00E15E0A"/>
    <w:rsid w:val="00E163DD"/>
    <w:rsid w:val="00E1654A"/>
    <w:rsid w:val="00E16DFE"/>
    <w:rsid w:val="00E16EE0"/>
    <w:rsid w:val="00E17520"/>
    <w:rsid w:val="00E178E0"/>
    <w:rsid w:val="00E206F4"/>
    <w:rsid w:val="00E221F4"/>
    <w:rsid w:val="00E22428"/>
    <w:rsid w:val="00E2249B"/>
    <w:rsid w:val="00E233CA"/>
    <w:rsid w:val="00E23CBB"/>
    <w:rsid w:val="00E23F27"/>
    <w:rsid w:val="00E25233"/>
    <w:rsid w:val="00E253F7"/>
    <w:rsid w:val="00E2675E"/>
    <w:rsid w:val="00E31B5B"/>
    <w:rsid w:val="00E32308"/>
    <w:rsid w:val="00E33B9B"/>
    <w:rsid w:val="00E33EF8"/>
    <w:rsid w:val="00E342EA"/>
    <w:rsid w:val="00E34A94"/>
    <w:rsid w:val="00E34DA2"/>
    <w:rsid w:val="00E34E0E"/>
    <w:rsid w:val="00E35EDE"/>
    <w:rsid w:val="00E36FDA"/>
    <w:rsid w:val="00E376A3"/>
    <w:rsid w:val="00E37A6E"/>
    <w:rsid w:val="00E37B59"/>
    <w:rsid w:val="00E37FC0"/>
    <w:rsid w:val="00E40B4D"/>
    <w:rsid w:val="00E41045"/>
    <w:rsid w:val="00E41442"/>
    <w:rsid w:val="00E41C9D"/>
    <w:rsid w:val="00E42373"/>
    <w:rsid w:val="00E4367E"/>
    <w:rsid w:val="00E43774"/>
    <w:rsid w:val="00E43AF1"/>
    <w:rsid w:val="00E43CF3"/>
    <w:rsid w:val="00E441D3"/>
    <w:rsid w:val="00E4425C"/>
    <w:rsid w:val="00E44260"/>
    <w:rsid w:val="00E448D8"/>
    <w:rsid w:val="00E4565E"/>
    <w:rsid w:val="00E457F2"/>
    <w:rsid w:val="00E46328"/>
    <w:rsid w:val="00E47151"/>
    <w:rsid w:val="00E47373"/>
    <w:rsid w:val="00E47A76"/>
    <w:rsid w:val="00E50712"/>
    <w:rsid w:val="00E50737"/>
    <w:rsid w:val="00E50BC1"/>
    <w:rsid w:val="00E50C40"/>
    <w:rsid w:val="00E51036"/>
    <w:rsid w:val="00E51216"/>
    <w:rsid w:val="00E51CB4"/>
    <w:rsid w:val="00E53160"/>
    <w:rsid w:val="00E53CEA"/>
    <w:rsid w:val="00E54843"/>
    <w:rsid w:val="00E55702"/>
    <w:rsid w:val="00E557FF"/>
    <w:rsid w:val="00E55B0E"/>
    <w:rsid w:val="00E561F4"/>
    <w:rsid w:val="00E56837"/>
    <w:rsid w:val="00E56852"/>
    <w:rsid w:val="00E56A42"/>
    <w:rsid w:val="00E56BCE"/>
    <w:rsid w:val="00E571F8"/>
    <w:rsid w:val="00E616F0"/>
    <w:rsid w:val="00E6213D"/>
    <w:rsid w:val="00E626E9"/>
    <w:rsid w:val="00E643AD"/>
    <w:rsid w:val="00E64D82"/>
    <w:rsid w:val="00E652F1"/>
    <w:rsid w:val="00E65DD5"/>
    <w:rsid w:val="00E66A62"/>
    <w:rsid w:val="00E66F98"/>
    <w:rsid w:val="00E670B2"/>
    <w:rsid w:val="00E67EEC"/>
    <w:rsid w:val="00E70C84"/>
    <w:rsid w:val="00E716B5"/>
    <w:rsid w:val="00E718A3"/>
    <w:rsid w:val="00E71C3F"/>
    <w:rsid w:val="00E7358C"/>
    <w:rsid w:val="00E73BED"/>
    <w:rsid w:val="00E73FB2"/>
    <w:rsid w:val="00E7431D"/>
    <w:rsid w:val="00E755B9"/>
    <w:rsid w:val="00E76058"/>
    <w:rsid w:val="00E76059"/>
    <w:rsid w:val="00E762FE"/>
    <w:rsid w:val="00E76A2F"/>
    <w:rsid w:val="00E76A7C"/>
    <w:rsid w:val="00E76DC8"/>
    <w:rsid w:val="00E775E0"/>
    <w:rsid w:val="00E802EB"/>
    <w:rsid w:val="00E80FDD"/>
    <w:rsid w:val="00E81A41"/>
    <w:rsid w:val="00E8240E"/>
    <w:rsid w:val="00E828B5"/>
    <w:rsid w:val="00E82F9E"/>
    <w:rsid w:val="00E84141"/>
    <w:rsid w:val="00E8667C"/>
    <w:rsid w:val="00E86C93"/>
    <w:rsid w:val="00E86D95"/>
    <w:rsid w:val="00E87501"/>
    <w:rsid w:val="00E87BEF"/>
    <w:rsid w:val="00E87D0C"/>
    <w:rsid w:val="00E87F25"/>
    <w:rsid w:val="00E87FCE"/>
    <w:rsid w:val="00E90B90"/>
    <w:rsid w:val="00E918CC"/>
    <w:rsid w:val="00E91E43"/>
    <w:rsid w:val="00E91F41"/>
    <w:rsid w:val="00E920EB"/>
    <w:rsid w:val="00E93654"/>
    <w:rsid w:val="00E93C5B"/>
    <w:rsid w:val="00E94A35"/>
    <w:rsid w:val="00E94FF0"/>
    <w:rsid w:val="00E95226"/>
    <w:rsid w:val="00E95D10"/>
    <w:rsid w:val="00E97356"/>
    <w:rsid w:val="00E97A78"/>
    <w:rsid w:val="00E9CF6D"/>
    <w:rsid w:val="00EA06FA"/>
    <w:rsid w:val="00EA102A"/>
    <w:rsid w:val="00EA129C"/>
    <w:rsid w:val="00EA1690"/>
    <w:rsid w:val="00EA16EB"/>
    <w:rsid w:val="00EA1F3F"/>
    <w:rsid w:val="00EA296E"/>
    <w:rsid w:val="00EA2F4B"/>
    <w:rsid w:val="00EA33A3"/>
    <w:rsid w:val="00EA36C6"/>
    <w:rsid w:val="00EA3785"/>
    <w:rsid w:val="00EA4CE8"/>
    <w:rsid w:val="00EA4D4F"/>
    <w:rsid w:val="00EA506F"/>
    <w:rsid w:val="00EA5190"/>
    <w:rsid w:val="00EA52CE"/>
    <w:rsid w:val="00EA53B4"/>
    <w:rsid w:val="00EA5A06"/>
    <w:rsid w:val="00EA5EA8"/>
    <w:rsid w:val="00EA5FBA"/>
    <w:rsid w:val="00EA6748"/>
    <w:rsid w:val="00EA732F"/>
    <w:rsid w:val="00EA7679"/>
    <w:rsid w:val="00EA77AD"/>
    <w:rsid w:val="00EB01D6"/>
    <w:rsid w:val="00EB0524"/>
    <w:rsid w:val="00EB0F7C"/>
    <w:rsid w:val="00EB3A40"/>
    <w:rsid w:val="00EB47E6"/>
    <w:rsid w:val="00EB51C6"/>
    <w:rsid w:val="00EB5725"/>
    <w:rsid w:val="00EB6D8D"/>
    <w:rsid w:val="00EB6DB1"/>
    <w:rsid w:val="00EB72EB"/>
    <w:rsid w:val="00EC153E"/>
    <w:rsid w:val="00EC1A40"/>
    <w:rsid w:val="00EC205C"/>
    <w:rsid w:val="00EC2CF7"/>
    <w:rsid w:val="00EC402C"/>
    <w:rsid w:val="00EC4413"/>
    <w:rsid w:val="00EC49B8"/>
    <w:rsid w:val="00EC51AF"/>
    <w:rsid w:val="00EC725A"/>
    <w:rsid w:val="00EC7F7E"/>
    <w:rsid w:val="00EC7FAC"/>
    <w:rsid w:val="00ED0D7F"/>
    <w:rsid w:val="00ED17FB"/>
    <w:rsid w:val="00ED25E9"/>
    <w:rsid w:val="00ED2691"/>
    <w:rsid w:val="00ED313B"/>
    <w:rsid w:val="00ED3440"/>
    <w:rsid w:val="00ED3559"/>
    <w:rsid w:val="00ED3F59"/>
    <w:rsid w:val="00ED4F7D"/>
    <w:rsid w:val="00ED5725"/>
    <w:rsid w:val="00ED5AD1"/>
    <w:rsid w:val="00ED7031"/>
    <w:rsid w:val="00EE02B1"/>
    <w:rsid w:val="00EE0AD1"/>
    <w:rsid w:val="00EE0FF3"/>
    <w:rsid w:val="00EE3060"/>
    <w:rsid w:val="00EE30ED"/>
    <w:rsid w:val="00EE3488"/>
    <w:rsid w:val="00EE3884"/>
    <w:rsid w:val="00EE3FFB"/>
    <w:rsid w:val="00EE4315"/>
    <w:rsid w:val="00EE52A8"/>
    <w:rsid w:val="00EE742C"/>
    <w:rsid w:val="00EE7866"/>
    <w:rsid w:val="00EF0803"/>
    <w:rsid w:val="00EF0BA5"/>
    <w:rsid w:val="00EF100B"/>
    <w:rsid w:val="00EF1125"/>
    <w:rsid w:val="00EF2433"/>
    <w:rsid w:val="00EF3DC6"/>
    <w:rsid w:val="00EF3E63"/>
    <w:rsid w:val="00EF430A"/>
    <w:rsid w:val="00EF4419"/>
    <w:rsid w:val="00EF4C48"/>
    <w:rsid w:val="00EF55A2"/>
    <w:rsid w:val="00EF5F9E"/>
    <w:rsid w:val="00EF7288"/>
    <w:rsid w:val="00F00154"/>
    <w:rsid w:val="00F01111"/>
    <w:rsid w:val="00F01489"/>
    <w:rsid w:val="00F01B05"/>
    <w:rsid w:val="00F01DC9"/>
    <w:rsid w:val="00F022DF"/>
    <w:rsid w:val="00F028A2"/>
    <w:rsid w:val="00F03611"/>
    <w:rsid w:val="00F0392A"/>
    <w:rsid w:val="00F03B35"/>
    <w:rsid w:val="00F04D5C"/>
    <w:rsid w:val="00F055AA"/>
    <w:rsid w:val="00F05950"/>
    <w:rsid w:val="00F0706E"/>
    <w:rsid w:val="00F07875"/>
    <w:rsid w:val="00F11E76"/>
    <w:rsid w:val="00F12031"/>
    <w:rsid w:val="00F141FB"/>
    <w:rsid w:val="00F15037"/>
    <w:rsid w:val="00F154C6"/>
    <w:rsid w:val="00F15B9A"/>
    <w:rsid w:val="00F172A8"/>
    <w:rsid w:val="00F17BAC"/>
    <w:rsid w:val="00F17C5E"/>
    <w:rsid w:val="00F202BE"/>
    <w:rsid w:val="00F204F3"/>
    <w:rsid w:val="00F20559"/>
    <w:rsid w:val="00F20624"/>
    <w:rsid w:val="00F21694"/>
    <w:rsid w:val="00F216AD"/>
    <w:rsid w:val="00F217DE"/>
    <w:rsid w:val="00F2229C"/>
    <w:rsid w:val="00F2231B"/>
    <w:rsid w:val="00F22A6D"/>
    <w:rsid w:val="00F231AE"/>
    <w:rsid w:val="00F23E9A"/>
    <w:rsid w:val="00F24EA2"/>
    <w:rsid w:val="00F259A1"/>
    <w:rsid w:val="00F25D6C"/>
    <w:rsid w:val="00F26E9B"/>
    <w:rsid w:val="00F26ED3"/>
    <w:rsid w:val="00F3009B"/>
    <w:rsid w:val="00F307A8"/>
    <w:rsid w:val="00F31060"/>
    <w:rsid w:val="00F31D1C"/>
    <w:rsid w:val="00F3255C"/>
    <w:rsid w:val="00F3351F"/>
    <w:rsid w:val="00F34375"/>
    <w:rsid w:val="00F3455B"/>
    <w:rsid w:val="00F34A19"/>
    <w:rsid w:val="00F361A8"/>
    <w:rsid w:val="00F36DB7"/>
    <w:rsid w:val="00F37489"/>
    <w:rsid w:val="00F37D74"/>
    <w:rsid w:val="00F40730"/>
    <w:rsid w:val="00F414B1"/>
    <w:rsid w:val="00F425FE"/>
    <w:rsid w:val="00F438BD"/>
    <w:rsid w:val="00F43A2D"/>
    <w:rsid w:val="00F442C8"/>
    <w:rsid w:val="00F44C91"/>
    <w:rsid w:val="00F44F9B"/>
    <w:rsid w:val="00F456E8"/>
    <w:rsid w:val="00F45A2D"/>
    <w:rsid w:val="00F45E47"/>
    <w:rsid w:val="00F466FD"/>
    <w:rsid w:val="00F47237"/>
    <w:rsid w:val="00F47DB5"/>
    <w:rsid w:val="00F50C29"/>
    <w:rsid w:val="00F50D49"/>
    <w:rsid w:val="00F51717"/>
    <w:rsid w:val="00F51826"/>
    <w:rsid w:val="00F522C6"/>
    <w:rsid w:val="00F523DF"/>
    <w:rsid w:val="00F52600"/>
    <w:rsid w:val="00F52EFB"/>
    <w:rsid w:val="00F5305E"/>
    <w:rsid w:val="00F5407A"/>
    <w:rsid w:val="00F549CB"/>
    <w:rsid w:val="00F55BE8"/>
    <w:rsid w:val="00F571F7"/>
    <w:rsid w:val="00F6029B"/>
    <w:rsid w:val="00F604EE"/>
    <w:rsid w:val="00F605AB"/>
    <w:rsid w:val="00F61CAF"/>
    <w:rsid w:val="00F61EC9"/>
    <w:rsid w:val="00F6207C"/>
    <w:rsid w:val="00F621CE"/>
    <w:rsid w:val="00F62B7A"/>
    <w:rsid w:val="00F62C47"/>
    <w:rsid w:val="00F6304B"/>
    <w:rsid w:val="00F63108"/>
    <w:rsid w:val="00F635C7"/>
    <w:rsid w:val="00F6397D"/>
    <w:rsid w:val="00F6399B"/>
    <w:rsid w:val="00F63D13"/>
    <w:rsid w:val="00F6439E"/>
    <w:rsid w:val="00F662A9"/>
    <w:rsid w:val="00F663A1"/>
    <w:rsid w:val="00F705FF"/>
    <w:rsid w:val="00F7067F"/>
    <w:rsid w:val="00F7126C"/>
    <w:rsid w:val="00F714C9"/>
    <w:rsid w:val="00F71FCD"/>
    <w:rsid w:val="00F72263"/>
    <w:rsid w:val="00F7293E"/>
    <w:rsid w:val="00F7429F"/>
    <w:rsid w:val="00F750E4"/>
    <w:rsid w:val="00F75526"/>
    <w:rsid w:val="00F756D7"/>
    <w:rsid w:val="00F75B92"/>
    <w:rsid w:val="00F76650"/>
    <w:rsid w:val="00F766F7"/>
    <w:rsid w:val="00F7783E"/>
    <w:rsid w:val="00F77F33"/>
    <w:rsid w:val="00F80EFF"/>
    <w:rsid w:val="00F810F4"/>
    <w:rsid w:val="00F812AA"/>
    <w:rsid w:val="00F82025"/>
    <w:rsid w:val="00F82280"/>
    <w:rsid w:val="00F825CA"/>
    <w:rsid w:val="00F8276C"/>
    <w:rsid w:val="00F827EE"/>
    <w:rsid w:val="00F82DEA"/>
    <w:rsid w:val="00F82F1C"/>
    <w:rsid w:val="00F83B7C"/>
    <w:rsid w:val="00F84037"/>
    <w:rsid w:val="00F8437E"/>
    <w:rsid w:val="00F84978"/>
    <w:rsid w:val="00F854D7"/>
    <w:rsid w:val="00F85A42"/>
    <w:rsid w:val="00F85F7A"/>
    <w:rsid w:val="00F8623C"/>
    <w:rsid w:val="00F9027D"/>
    <w:rsid w:val="00F91236"/>
    <w:rsid w:val="00F9187B"/>
    <w:rsid w:val="00F91B94"/>
    <w:rsid w:val="00F91CA5"/>
    <w:rsid w:val="00F92385"/>
    <w:rsid w:val="00F92C25"/>
    <w:rsid w:val="00F943F0"/>
    <w:rsid w:val="00F960F3"/>
    <w:rsid w:val="00F96D6E"/>
    <w:rsid w:val="00F97C11"/>
    <w:rsid w:val="00F97D2F"/>
    <w:rsid w:val="00FA1081"/>
    <w:rsid w:val="00FA171B"/>
    <w:rsid w:val="00FA1984"/>
    <w:rsid w:val="00FA1B4F"/>
    <w:rsid w:val="00FA1C01"/>
    <w:rsid w:val="00FA22FB"/>
    <w:rsid w:val="00FA2A52"/>
    <w:rsid w:val="00FA2D01"/>
    <w:rsid w:val="00FA2F80"/>
    <w:rsid w:val="00FA3255"/>
    <w:rsid w:val="00FA3FCC"/>
    <w:rsid w:val="00FA51CD"/>
    <w:rsid w:val="00FA5A0F"/>
    <w:rsid w:val="00FA5B45"/>
    <w:rsid w:val="00FA6738"/>
    <w:rsid w:val="00FA7FA2"/>
    <w:rsid w:val="00FB0729"/>
    <w:rsid w:val="00FB1B0A"/>
    <w:rsid w:val="00FB1D90"/>
    <w:rsid w:val="00FB2C54"/>
    <w:rsid w:val="00FB392A"/>
    <w:rsid w:val="00FB4625"/>
    <w:rsid w:val="00FB4CD8"/>
    <w:rsid w:val="00FB7253"/>
    <w:rsid w:val="00FC0985"/>
    <w:rsid w:val="00FC0C90"/>
    <w:rsid w:val="00FC0F42"/>
    <w:rsid w:val="00FC169B"/>
    <w:rsid w:val="00FC3A00"/>
    <w:rsid w:val="00FC47F9"/>
    <w:rsid w:val="00FC727D"/>
    <w:rsid w:val="00FC76EE"/>
    <w:rsid w:val="00FD080B"/>
    <w:rsid w:val="00FD119B"/>
    <w:rsid w:val="00FD1D8B"/>
    <w:rsid w:val="00FD2490"/>
    <w:rsid w:val="00FD2995"/>
    <w:rsid w:val="00FD7059"/>
    <w:rsid w:val="00FD7E99"/>
    <w:rsid w:val="00FE0849"/>
    <w:rsid w:val="00FE0DE4"/>
    <w:rsid w:val="00FE0FF1"/>
    <w:rsid w:val="00FE1D20"/>
    <w:rsid w:val="00FE2513"/>
    <w:rsid w:val="00FE3F3E"/>
    <w:rsid w:val="00FE3F80"/>
    <w:rsid w:val="00FE458C"/>
    <w:rsid w:val="00FE4A4A"/>
    <w:rsid w:val="00FE5580"/>
    <w:rsid w:val="00FE5BFA"/>
    <w:rsid w:val="00FE789F"/>
    <w:rsid w:val="00FF110C"/>
    <w:rsid w:val="00FF1BDD"/>
    <w:rsid w:val="00FF2C63"/>
    <w:rsid w:val="00FF3347"/>
    <w:rsid w:val="00FF3958"/>
    <w:rsid w:val="00FF3DAA"/>
    <w:rsid w:val="00FF3F48"/>
    <w:rsid w:val="00FF40DF"/>
    <w:rsid w:val="00FF4180"/>
    <w:rsid w:val="00FF4B32"/>
    <w:rsid w:val="00FF4B41"/>
    <w:rsid w:val="00FF4FE9"/>
    <w:rsid w:val="00FF548E"/>
    <w:rsid w:val="00FF5517"/>
    <w:rsid w:val="00FF5A4D"/>
    <w:rsid w:val="00FF647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C1BD3"/>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88405"/>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9C3072"/>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A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link w:val="DummyChar"/>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link w:val="WMPHeading1Char"/>
    <w:rsid w:val="00CC5F54"/>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paragraph" w:customStyle="1" w:styleId="Footnote">
    <w:name w:val="Footnote"/>
    <w:basedOn w:val="FootnoteText"/>
    <w:link w:val="FootnoteChar"/>
    <w:qFormat/>
    <w:rsid w:val="00342AE0"/>
    <w:pPr>
      <w:spacing w:after="0"/>
    </w:pPr>
    <w:rPr>
      <w:rFonts w:cstheme="minorHAnsi"/>
      <w:sz w:val="20"/>
      <w:szCs w:val="18"/>
    </w:rPr>
  </w:style>
  <w:style w:type="character" w:customStyle="1" w:styleId="FootnoteChar">
    <w:name w:val="Footnote Char"/>
    <w:basedOn w:val="FootnoteTextChar"/>
    <w:link w:val="Footnote"/>
    <w:rsid w:val="00342AE0"/>
    <w:rPr>
      <w:rFonts w:ascii="Book Antiqua" w:hAnsi="Book Antiqua" w:cstheme="minorHAnsi"/>
      <w:sz w:val="20"/>
      <w:szCs w:val="18"/>
    </w:rPr>
  </w:style>
  <w:style w:type="paragraph" w:customStyle="1" w:styleId="Header2">
    <w:name w:val="Header 2"/>
    <w:basedOn w:val="WMPHeading1"/>
    <w:link w:val="Header2Char"/>
    <w:qFormat/>
    <w:rsid w:val="00655232"/>
    <w:pPr>
      <w:ind w:left="504" w:hanging="504"/>
    </w:pPr>
    <w:rPr>
      <w:rFonts w:ascii="Book Antiqua" w:hAnsi="Book Antiqua"/>
    </w:rPr>
  </w:style>
  <w:style w:type="character" w:customStyle="1" w:styleId="DummyChar">
    <w:name w:val="Dummy Char"/>
    <w:basedOn w:val="DefaultParagraphFont"/>
    <w:link w:val="Dummy"/>
    <w:uiPriority w:val="19"/>
    <w:rsid w:val="007C7829"/>
    <w:rPr>
      <w:rFonts w:ascii="Arial" w:hAnsi="Arial" w:cs="Arial"/>
      <w:b/>
      <w:sz w:val="26"/>
      <w:szCs w:val="26"/>
    </w:rPr>
  </w:style>
  <w:style w:type="character" w:customStyle="1" w:styleId="WMPHeading1Char">
    <w:name w:val="WMP Heading 1 Char"/>
    <w:basedOn w:val="DummyChar"/>
    <w:link w:val="WMPHeading1"/>
    <w:rsid w:val="007C7829"/>
    <w:rPr>
      <w:rFonts w:ascii="Arial" w:hAnsi="Arial" w:cs="Arial"/>
      <w:b/>
      <w:sz w:val="26"/>
      <w:szCs w:val="26"/>
    </w:rPr>
  </w:style>
  <w:style w:type="character" w:customStyle="1" w:styleId="Header2Char">
    <w:name w:val="Header 2 Char"/>
    <w:basedOn w:val="WMPHeading1Char"/>
    <w:link w:val="Header2"/>
    <w:rsid w:val="00655232"/>
    <w:rPr>
      <w:rFonts w:ascii="Book Antiqua" w:hAnsi="Book Antiqua" w:cs="Arial"/>
      <w:b/>
      <w:sz w:val="26"/>
      <w:szCs w:val="26"/>
    </w:rPr>
  </w:style>
  <w:style w:type="paragraph" w:customStyle="1" w:styleId="Default">
    <w:name w:val="Default"/>
    <w:rsid w:val="00A6384A"/>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442266472">
      <w:bodyDiv w:val="1"/>
      <w:marLeft w:val="0"/>
      <w:marRight w:val="0"/>
      <w:marTop w:val="0"/>
      <w:marBottom w:val="0"/>
      <w:divBdr>
        <w:top w:val="none" w:sz="0" w:space="0" w:color="auto"/>
        <w:left w:val="none" w:sz="0" w:space="0" w:color="auto"/>
        <w:bottom w:val="none" w:sz="0" w:space="0" w:color="auto"/>
        <w:right w:val="none" w:sz="0" w:space="0" w:color="auto"/>
      </w:divBdr>
    </w:div>
    <w:div w:id="574360580">
      <w:bodyDiv w:val="1"/>
      <w:marLeft w:val="0"/>
      <w:marRight w:val="0"/>
      <w:marTop w:val="0"/>
      <w:marBottom w:val="0"/>
      <w:divBdr>
        <w:top w:val="none" w:sz="0" w:space="0" w:color="auto"/>
        <w:left w:val="none" w:sz="0" w:space="0" w:color="auto"/>
        <w:bottom w:val="none" w:sz="0" w:space="0" w:color="auto"/>
        <w:right w:val="none" w:sz="0" w:space="0" w:color="auto"/>
      </w:divBdr>
    </w:div>
    <w:div w:id="639382320">
      <w:bodyDiv w:val="1"/>
      <w:marLeft w:val="0"/>
      <w:marRight w:val="0"/>
      <w:marTop w:val="0"/>
      <w:marBottom w:val="0"/>
      <w:divBdr>
        <w:top w:val="none" w:sz="0" w:space="0" w:color="auto"/>
        <w:left w:val="none" w:sz="0" w:space="0" w:color="auto"/>
        <w:bottom w:val="none" w:sz="0" w:space="0" w:color="auto"/>
        <w:right w:val="none" w:sz="0" w:space="0" w:color="auto"/>
      </w:divBdr>
    </w:div>
    <w:div w:id="693576763">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143500037">
      <w:bodyDiv w:val="1"/>
      <w:marLeft w:val="0"/>
      <w:marRight w:val="0"/>
      <w:marTop w:val="0"/>
      <w:marBottom w:val="0"/>
      <w:divBdr>
        <w:top w:val="none" w:sz="0" w:space="0" w:color="auto"/>
        <w:left w:val="none" w:sz="0" w:space="0" w:color="auto"/>
        <w:bottom w:val="none" w:sz="0" w:space="0" w:color="auto"/>
        <w:right w:val="none" w:sz="0" w:space="0" w:color="auto"/>
      </w:divBdr>
    </w:div>
    <w:div w:id="1377385874">
      <w:bodyDiv w:val="1"/>
      <w:marLeft w:val="0"/>
      <w:marRight w:val="0"/>
      <w:marTop w:val="0"/>
      <w:marBottom w:val="0"/>
      <w:divBdr>
        <w:top w:val="none" w:sz="0" w:space="0" w:color="auto"/>
        <w:left w:val="none" w:sz="0" w:space="0" w:color="auto"/>
        <w:bottom w:val="none" w:sz="0" w:space="0" w:color="auto"/>
        <w:right w:val="none" w:sz="0" w:space="0" w:color="auto"/>
      </w:divBdr>
    </w:div>
    <w:div w:id="1381786664">
      <w:bodyDiv w:val="1"/>
      <w:marLeft w:val="0"/>
      <w:marRight w:val="0"/>
      <w:marTop w:val="0"/>
      <w:marBottom w:val="0"/>
      <w:divBdr>
        <w:top w:val="none" w:sz="0" w:space="0" w:color="auto"/>
        <w:left w:val="none" w:sz="0" w:space="0" w:color="auto"/>
        <w:bottom w:val="none" w:sz="0" w:space="0" w:color="auto"/>
        <w:right w:val="none" w:sz="0" w:space="0" w:color="auto"/>
      </w:divBdr>
    </w:div>
    <w:div w:id="1564363769">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yperlink" Target="http://docs.cpuc.ca.gov/PublishedDocs/Published/G000/M387/K708/387708478.pdf"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www.cpuc.ca.gov/wildfiremitigationplans"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hyperlink" Target="http://docs.cpuc.ca.gov/PublishedDocs/Published/G000/M401/K606/401606125.pdf" TargetMode="External" Id="Rcd7726e4269c49d8" /></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296/K598/296598822.PDF" TargetMode="External"/><Relationship Id="rId7" Type="http://schemas.openxmlformats.org/officeDocument/2006/relationships/hyperlink" Target="https://leginfo.legislature.ca.gov/faces/codes_displaySection.xhtml?lawCode=PUC&amp;sectionNum=8386" TargetMode="External"/><Relationship Id="rId2" Type="http://schemas.openxmlformats.org/officeDocument/2006/relationships/hyperlink" Target="https://archive.ph/20121211140110/http:/www.hort.purdue.edu/hort/courses/hort217/Nomenclature/description.htm" TargetMode="External"/><Relationship Id="rId1" Type="http://schemas.openxmlformats.org/officeDocument/2006/relationships/hyperlink" Target="https://www.cpuc.ca.gov/wildfiremitigationplans/" TargetMode="External"/><Relationship Id="rId6" Type="http://schemas.openxmlformats.org/officeDocument/2006/relationships/hyperlink" Target="https://www.cpuc.ca.gov/covid/" TargetMode="External"/><Relationship Id="rId5" Type="http://schemas.openxmlformats.org/officeDocument/2006/relationships/hyperlink" Target="http://covid19.ca.gov/img/Executive-Order-N-30-20.pdf" TargetMode="External"/><Relationship Id="rId4" Type="http://schemas.openxmlformats.org/officeDocument/2006/relationships/hyperlink" Target="https://www.pge.com/pge_global/common/pdfs/safety/emergency-preparedness/natural-disaster/wildfires/wildfire-mitigation-plan/2021-Wildfire-Safety-Plan-Err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Levels xmlns="9d37b37e-50d8-4124-968c-18a8d4a0a879" xsi:nil="true"/>
    <MigrationWizIdDocumentLibraryPermissions xmlns="9d37b37e-50d8-4124-968c-18a8d4a0a879" xsi:nil="true"/>
    <MigrationWizIdSecurityGroups xmlns="9d37b37e-50d8-4124-968c-18a8d4a0a879" xsi:nil="true"/>
    <_ip_UnifiedCompliancePolicyProperties xmlns="http://schemas.microsoft.com/sharepoint/v3" xsi:nil="true"/>
    <MigrationWizId xmlns="9d37b37e-50d8-4124-968c-18a8d4a0a879" xsi:nil="true"/>
    <MigrationWizIdPermissions xmlns="9d37b37e-50d8-4124-968c-18a8d4a0a87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FD7E3E11D3F44AA88923EE7AF1A3A" ma:contentTypeVersion="17" ma:contentTypeDescription="Create a new document." ma:contentTypeScope="" ma:versionID="1522984fb482c0e05821f8ceb5916e1c">
  <xsd:schema xmlns:xsd="http://www.w3.org/2001/XMLSchema" xmlns:xs="http://www.w3.org/2001/XMLSchema" xmlns:p="http://schemas.microsoft.com/office/2006/metadata/properties" xmlns:ns1="http://schemas.microsoft.com/sharepoint/v3" xmlns:ns3="9d37b37e-50d8-4124-968c-18a8d4a0a879" xmlns:ns4="bf1d4f96-69c4-47a6-97a8-64f3667b6722" targetNamespace="http://schemas.microsoft.com/office/2006/metadata/properties" ma:root="true" ma:fieldsID="f329cabbc862ad539adc51bf55f7840f" ns1:_="" ns3:_="" ns4:_="">
    <xsd:import namespace="http://schemas.microsoft.com/sharepoint/v3"/>
    <xsd:import namespace="9d37b37e-50d8-4124-968c-18a8d4a0a879"/>
    <xsd:import namespace="bf1d4f96-69c4-47a6-97a8-64f3667b6722"/>
    <xsd:element name="properties">
      <xsd:complexType>
        <xsd:sequence>
          <xsd:element name="documentManagement">
            <xsd:complexType>
              <xsd:all>
                <xsd:element ref="ns3:MediaServiceMetadata" minOccurs="0"/>
                <xsd:element ref="ns3:MediaServiceFastMetadata"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7b37e-50d8-4124-968c-18a8d4a0a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d4f96-69c4-47a6-97a8-64f3667b67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 ds:uri="http://schemas.microsoft.com/sharepoint/v3"/>
    <ds:schemaRef ds:uri="9d37b37e-50d8-4124-968c-18a8d4a0a879"/>
  </ds:schemaRefs>
</ds:datastoreItem>
</file>

<file path=customXml/itemProps2.xml><?xml version="1.0" encoding="utf-8"?>
<ds:datastoreItem xmlns:ds="http://schemas.openxmlformats.org/officeDocument/2006/customXml" ds:itemID="{155D7CC2-D63F-4103-B0A8-82075EA5824E}">
  <ds:schemaRefs>
    <ds:schemaRef ds:uri="http://schemas.openxmlformats.org/officeDocument/2006/bibliography"/>
  </ds:schemaRefs>
</ds:datastoreItem>
</file>

<file path=customXml/itemProps3.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4.xml><?xml version="1.0" encoding="utf-8"?>
<ds:datastoreItem xmlns:ds="http://schemas.openxmlformats.org/officeDocument/2006/customXml" ds:itemID="{3775E5C0-DBA9-4A38-893B-D086C1E4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37b37e-50d8-4124-968c-18a8d4a0a879"/>
    <ds:schemaRef ds:uri="bf1d4f96-69c4-47a6-97a8-64f3667b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47</ap:Pages>
  <ap:Words>11260</ap:Words>
  <ap:Characters>64185</ap:Characters>
  <ap:Application>Microsoft Office Word</ap:Application>
  <ap:DocSecurity>0</ap:DocSecurity>
  <ap:Lines>534</ap:Lines>
  <ap:Paragraphs>150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75295</ap:CharactersWithSpaces>
  <ap:SharedDoc>false</ap:SharedDoc>
  <ap:HLinks>
    <vt:vector baseType="variant" size="144">
      <vt:variant>
        <vt:i4>4194307</vt:i4>
      </vt:variant>
      <vt:variant>
        <vt:i4>99</vt:i4>
      </vt:variant>
      <vt:variant>
        <vt:i4>0</vt:i4>
      </vt:variant>
      <vt:variant>
        <vt:i4>5</vt:i4>
      </vt:variant>
      <vt:variant>
        <vt:lpwstr>http://docs.cpuc.ca.gov/PublishedDocs/Published/G000/M387/K708/387708478.pdf</vt:lpwstr>
      </vt:variant>
      <vt:variant>
        <vt:lpwstr/>
      </vt:variant>
      <vt:variant>
        <vt:i4>7012395</vt:i4>
      </vt:variant>
      <vt:variant>
        <vt:i4>96</vt:i4>
      </vt:variant>
      <vt:variant>
        <vt:i4>0</vt:i4>
      </vt:variant>
      <vt:variant>
        <vt:i4>5</vt:i4>
      </vt:variant>
      <vt:variant>
        <vt:lpwstr>http://www.cpuc.ca.gov/wildfiremitigationplans</vt:lpwstr>
      </vt:variant>
      <vt:variant>
        <vt:lpwstr/>
      </vt:variant>
      <vt:variant>
        <vt:i4>1966139</vt:i4>
      </vt:variant>
      <vt:variant>
        <vt:i4>86</vt:i4>
      </vt:variant>
      <vt:variant>
        <vt:i4>0</vt:i4>
      </vt:variant>
      <vt:variant>
        <vt:i4>5</vt:i4>
      </vt:variant>
      <vt:variant>
        <vt:lpwstr/>
      </vt:variant>
      <vt:variant>
        <vt:lpwstr>_Toc74124699</vt:lpwstr>
      </vt:variant>
      <vt:variant>
        <vt:i4>2031675</vt:i4>
      </vt:variant>
      <vt:variant>
        <vt:i4>80</vt:i4>
      </vt:variant>
      <vt:variant>
        <vt:i4>0</vt:i4>
      </vt:variant>
      <vt:variant>
        <vt:i4>5</vt:i4>
      </vt:variant>
      <vt:variant>
        <vt:lpwstr/>
      </vt:variant>
      <vt:variant>
        <vt:lpwstr>_Toc74124698</vt:lpwstr>
      </vt:variant>
      <vt:variant>
        <vt:i4>1048635</vt:i4>
      </vt:variant>
      <vt:variant>
        <vt:i4>74</vt:i4>
      </vt:variant>
      <vt:variant>
        <vt:i4>0</vt:i4>
      </vt:variant>
      <vt:variant>
        <vt:i4>5</vt:i4>
      </vt:variant>
      <vt:variant>
        <vt:lpwstr/>
      </vt:variant>
      <vt:variant>
        <vt:lpwstr>_Toc74124697</vt:lpwstr>
      </vt:variant>
      <vt:variant>
        <vt:i4>1114171</vt:i4>
      </vt:variant>
      <vt:variant>
        <vt:i4>68</vt:i4>
      </vt:variant>
      <vt:variant>
        <vt:i4>0</vt:i4>
      </vt:variant>
      <vt:variant>
        <vt:i4>5</vt:i4>
      </vt:variant>
      <vt:variant>
        <vt:lpwstr/>
      </vt:variant>
      <vt:variant>
        <vt:lpwstr>_Toc74124696</vt:lpwstr>
      </vt:variant>
      <vt:variant>
        <vt:i4>1179707</vt:i4>
      </vt:variant>
      <vt:variant>
        <vt:i4>62</vt:i4>
      </vt:variant>
      <vt:variant>
        <vt:i4>0</vt:i4>
      </vt:variant>
      <vt:variant>
        <vt:i4>5</vt:i4>
      </vt:variant>
      <vt:variant>
        <vt:lpwstr/>
      </vt:variant>
      <vt:variant>
        <vt:lpwstr>_Toc74124695</vt:lpwstr>
      </vt:variant>
      <vt:variant>
        <vt:i4>1245243</vt:i4>
      </vt:variant>
      <vt:variant>
        <vt:i4>56</vt:i4>
      </vt:variant>
      <vt:variant>
        <vt:i4>0</vt:i4>
      </vt:variant>
      <vt:variant>
        <vt:i4>5</vt:i4>
      </vt:variant>
      <vt:variant>
        <vt:lpwstr/>
      </vt:variant>
      <vt:variant>
        <vt:lpwstr>_Toc74124694</vt:lpwstr>
      </vt:variant>
      <vt:variant>
        <vt:i4>1310779</vt:i4>
      </vt:variant>
      <vt:variant>
        <vt:i4>50</vt:i4>
      </vt:variant>
      <vt:variant>
        <vt:i4>0</vt:i4>
      </vt:variant>
      <vt:variant>
        <vt:i4>5</vt:i4>
      </vt:variant>
      <vt:variant>
        <vt:lpwstr/>
      </vt:variant>
      <vt:variant>
        <vt:lpwstr>_Toc74124693</vt:lpwstr>
      </vt:variant>
      <vt:variant>
        <vt:i4>1376315</vt:i4>
      </vt:variant>
      <vt:variant>
        <vt:i4>44</vt:i4>
      </vt:variant>
      <vt:variant>
        <vt:i4>0</vt:i4>
      </vt:variant>
      <vt:variant>
        <vt:i4>5</vt:i4>
      </vt:variant>
      <vt:variant>
        <vt:lpwstr/>
      </vt:variant>
      <vt:variant>
        <vt:lpwstr>_Toc74124692</vt:lpwstr>
      </vt:variant>
      <vt:variant>
        <vt:i4>1441851</vt:i4>
      </vt:variant>
      <vt:variant>
        <vt:i4>38</vt:i4>
      </vt:variant>
      <vt:variant>
        <vt:i4>0</vt:i4>
      </vt:variant>
      <vt:variant>
        <vt:i4>5</vt:i4>
      </vt:variant>
      <vt:variant>
        <vt:lpwstr/>
      </vt:variant>
      <vt:variant>
        <vt:lpwstr>_Toc74124691</vt:lpwstr>
      </vt:variant>
      <vt:variant>
        <vt:i4>1507387</vt:i4>
      </vt:variant>
      <vt:variant>
        <vt:i4>32</vt:i4>
      </vt:variant>
      <vt:variant>
        <vt:i4>0</vt:i4>
      </vt:variant>
      <vt:variant>
        <vt:i4>5</vt:i4>
      </vt:variant>
      <vt:variant>
        <vt:lpwstr/>
      </vt:variant>
      <vt:variant>
        <vt:lpwstr>_Toc74124690</vt:lpwstr>
      </vt:variant>
      <vt:variant>
        <vt:i4>1966138</vt:i4>
      </vt:variant>
      <vt:variant>
        <vt:i4>26</vt:i4>
      </vt:variant>
      <vt:variant>
        <vt:i4>0</vt:i4>
      </vt:variant>
      <vt:variant>
        <vt:i4>5</vt:i4>
      </vt:variant>
      <vt:variant>
        <vt:lpwstr/>
      </vt:variant>
      <vt:variant>
        <vt:lpwstr>_Toc74124689</vt:lpwstr>
      </vt:variant>
      <vt:variant>
        <vt:i4>2031674</vt:i4>
      </vt:variant>
      <vt:variant>
        <vt:i4>20</vt:i4>
      </vt:variant>
      <vt:variant>
        <vt:i4>0</vt:i4>
      </vt:variant>
      <vt:variant>
        <vt:i4>5</vt:i4>
      </vt:variant>
      <vt:variant>
        <vt:lpwstr/>
      </vt:variant>
      <vt:variant>
        <vt:lpwstr>_Toc74124688</vt:lpwstr>
      </vt:variant>
      <vt:variant>
        <vt:i4>1048634</vt:i4>
      </vt:variant>
      <vt:variant>
        <vt:i4>14</vt:i4>
      </vt:variant>
      <vt:variant>
        <vt:i4>0</vt:i4>
      </vt:variant>
      <vt:variant>
        <vt:i4>5</vt:i4>
      </vt:variant>
      <vt:variant>
        <vt:lpwstr/>
      </vt:variant>
      <vt:variant>
        <vt:lpwstr>_Toc74124687</vt:lpwstr>
      </vt:variant>
      <vt:variant>
        <vt:i4>1114170</vt:i4>
      </vt:variant>
      <vt:variant>
        <vt:i4>8</vt:i4>
      </vt:variant>
      <vt:variant>
        <vt:i4>0</vt:i4>
      </vt:variant>
      <vt:variant>
        <vt:i4>5</vt:i4>
      </vt:variant>
      <vt:variant>
        <vt:lpwstr/>
      </vt:variant>
      <vt:variant>
        <vt:lpwstr>_Toc74124686</vt:lpwstr>
      </vt:variant>
      <vt:variant>
        <vt:i4>1179706</vt:i4>
      </vt:variant>
      <vt:variant>
        <vt:i4>2</vt:i4>
      </vt:variant>
      <vt:variant>
        <vt:i4>0</vt:i4>
      </vt:variant>
      <vt:variant>
        <vt:i4>5</vt:i4>
      </vt:variant>
      <vt:variant>
        <vt:lpwstr/>
      </vt:variant>
      <vt:variant>
        <vt:lpwstr>_Toc74124685</vt:lpwstr>
      </vt:variant>
      <vt:variant>
        <vt:i4>7471185</vt:i4>
      </vt:variant>
      <vt:variant>
        <vt:i4>18</vt:i4>
      </vt:variant>
      <vt:variant>
        <vt:i4>0</vt:i4>
      </vt:variant>
      <vt:variant>
        <vt:i4>5</vt:i4>
      </vt:variant>
      <vt:variant>
        <vt:lpwstr>https://leginfo.legislature.ca.gov/faces/codes_displaySection.xhtml?lawCode=PUC&amp;sectionNum=8386</vt:lpwstr>
      </vt:variant>
      <vt:variant>
        <vt:lpwstr/>
      </vt:variant>
      <vt:variant>
        <vt:i4>8323193</vt:i4>
      </vt:variant>
      <vt:variant>
        <vt:i4>15</vt:i4>
      </vt:variant>
      <vt:variant>
        <vt:i4>0</vt:i4>
      </vt:variant>
      <vt:variant>
        <vt:i4>5</vt:i4>
      </vt:variant>
      <vt:variant>
        <vt:lpwstr>https://www.cpuc.ca.gov/covid/</vt:lpwstr>
      </vt:variant>
      <vt:variant>
        <vt:lpwstr/>
      </vt:variant>
      <vt:variant>
        <vt:i4>4653150</vt:i4>
      </vt:variant>
      <vt:variant>
        <vt:i4>12</vt:i4>
      </vt:variant>
      <vt:variant>
        <vt:i4>0</vt:i4>
      </vt:variant>
      <vt:variant>
        <vt:i4>5</vt:i4>
      </vt:variant>
      <vt:variant>
        <vt:lpwstr>http://covid19.ca.gov/img/Executive-Order-N-30-20.pdf</vt:lpwstr>
      </vt:variant>
      <vt:variant>
        <vt:lpwstr/>
      </vt:variant>
      <vt:variant>
        <vt:i4>4063299</vt:i4>
      </vt:variant>
      <vt:variant>
        <vt:i4>9</vt:i4>
      </vt:variant>
      <vt:variant>
        <vt:i4>0</vt:i4>
      </vt:variant>
      <vt:variant>
        <vt:i4>5</vt:i4>
      </vt:variant>
      <vt:variant>
        <vt:lpwstr>https://www.pge.com/pge_global/common/pdfs/safety/emergency-preparedness/natural-disaster/wildfires/wildfire-mitigation-plan/2021-Wildfire-Safety-Plan-Errata.pdf</vt:lpwstr>
      </vt:variant>
      <vt:variant>
        <vt:lpwstr/>
      </vt:variant>
      <vt:variant>
        <vt:i4>1310785</vt:i4>
      </vt:variant>
      <vt:variant>
        <vt:i4>6</vt:i4>
      </vt:variant>
      <vt:variant>
        <vt:i4>0</vt:i4>
      </vt:variant>
      <vt:variant>
        <vt:i4>5</vt:i4>
      </vt:variant>
      <vt:variant>
        <vt:lpwstr>https://docs.cpuc.ca.gov/PublishedDocs/Published/G000/M296/K598/296598822.PDF</vt:lpwstr>
      </vt:variant>
      <vt:variant>
        <vt:lpwstr/>
      </vt:variant>
      <vt:variant>
        <vt:i4>4718678</vt:i4>
      </vt:variant>
      <vt:variant>
        <vt:i4>3</vt:i4>
      </vt:variant>
      <vt:variant>
        <vt:i4>0</vt:i4>
      </vt:variant>
      <vt:variant>
        <vt:i4>5</vt:i4>
      </vt:variant>
      <vt:variant>
        <vt:lpwstr>https://archive.ph/20121211140110/http:/www.hort.purdue.edu/hort/courses/hort217/Nomenclature/description.htm</vt:lpwstr>
      </vt:variant>
      <vt:variant>
        <vt:lpwstr/>
      </vt:variant>
      <vt:variant>
        <vt:i4>1835008</vt:i4>
      </vt:variant>
      <vt:variant>
        <vt:i4>0</vt:i4>
      </vt:variant>
      <vt:variant>
        <vt:i4>0</vt:i4>
      </vt:variant>
      <vt:variant>
        <vt:i4>5</vt:i4>
      </vt:variant>
      <vt:variant>
        <vt:lpwstr>https://www.cpuc.ca.gov/wildfiremitigationplans/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2021-08-24T15:25:14Z</dcterms:created>
  <dcterms:modified xsi:type="dcterms:W3CDTF">2021-08-24T15:25:14Z</dcterms:modified>
</cp:coreProperties>
</file>