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54EB4" w:rsidR="00B60421" w:rsidP="00F32A33" w:rsidRDefault="00563F43" w14:paraId="5B0F2169" w14:textId="233871CF">
      <w:pPr>
        <w:tabs>
          <w:tab w:val="center" w:pos="4680"/>
          <w:tab w:val="right" w:pos="9360"/>
        </w:tabs>
        <w:spacing w:line="240" w:lineRule="auto"/>
        <w:ind w:firstLine="0"/>
      </w:pPr>
      <w:r>
        <w:t>ALJ</w:t>
      </w:r>
      <w:r w:rsidRPr="00054EB4" w:rsidR="00DA7B5D">
        <w:t>/</w:t>
      </w:r>
      <w:r>
        <w:t>KWZ</w:t>
      </w:r>
      <w:r w:rsidRPr="00054EB4" w:rsidR="00DA7B5D">
        <w:t>/</w:t>
      </w:r>
      <w:r w:rsidR="00D27A5C">
        <w:t>JMO/gp2</w:t>
      </w:r>
      <w:r w:rsidR="00F32A33">
        <w:t>/</w:t>
      </w:r>
      <w:proofErr w:type="spellStart"/>
      <w:r w:rsidR="00F32A33">
        <w:t>lil</w:t>
      </w:r>
      <w:proofErr w:type="spellEnd"/>
      <w:r w:rsidR="00D27A5C">
        <w:tab/>
      </w:r>
      <w:r w:rsidR="00D27A5C">
        <w:rPr>
          <w:rFonts w:ascii="Arial" w:hAnsi="Arial" w:cs="Arial"/>
          <w:b/>
          <w:sz w:val="32"/>
          <w:szCs w:val="32"/>
        </w:rPr>
        <w:t xml:space="preserve">PROPOSED </w:t>
      </w:r>
      <w:r w:rsidRPr="00054EB4" w:rsidR="00DA7B5D">
        <w:rPr>
          <w:rFonts w:ascii="Arial" w:hAnsi="Arial" w:cs="Arial"/>
          <w:b/>
          <w:sz w:val="32"/>
          <w:szCs w:val="32"/>
        </w:rPr>
        <w:t>DECISION</w:t>
      </w:r>
      <w:r w:rsidR="00F32A33">
        <w:rPr>
          <w:rFonts w:ascii="Arial" w:hAnsi="Arial" w:cs="Arial"/>
          <w:b/>
          <w:sz w:val="32"/>
          <w:szCs w:val="32"/>
        </w:rPr>
        <w:br/>
      </w:r>
      <w:r w:rsidRPr="00054EB4" w:rsidR="00DA7B5D">
        <w:tab/>
      </w:r>
      <w:r w:rsidR="00F32A33">
        <w:tab/>
      </w:r>
      <w:r w:rsidRPr="00054EB4" w:rsidR="00DA7B5D">
        <w:rPr>
          <w:b/>
        </w:rPr>
        <w:t>Agenda ID #</w:t>
      </w:r>
      <w:r w:rsidRPr="006D1061" w:rsidR="006D1061">
        <w:rPr>
          <w:b/>
        </w:rPr>
        <w:t>19604</w:t>
      </w:r>
      <w:r w:rsidR="00D27A5C">
        <w:rPr>
          <w:b/>
        </w:rPr>
        <w:t xml:space="preserve"> (Rev.</w:t>
      </w:r>
      <w:r w:rsidR="00F32A33">
        <w:rPr>
          <w:b/>
        </w:rPr>
        <w:t xml:space="preserve"> </w:t>
      </w:r>
      <w:r w:rsidR="00BE478E">
        <w:rPr>
          <w:b/>
        </w:rPr>
        <w:t>2</w:t>
      </w:r>
      <w:r w:rsidR="00D27A5C">
        <w:rPr>
          <w:b/>
        </w:rPr>
        <w:t xml:space="preserve">) </w:t>
      </w:r>
    </w:p>
    <w:p w:rsidR="00DA7B5D" w:rsidP="00632207" w:rsidRDefault="00563F43" w14:paraId="6E819A06" w14:textId="6C17F136">
      <w:pPr>
        <w:spacing w:line="240" w:lineRule="auto"/>
        <w:jc w:val="right"/>
        <w:rPr>
          <w:b/>
        </w:rPr>
      </w:pPr>
      <w:proofErr w:type="spellStart"/>
      <w:r>
        <w:rPr>
          <w:b/>
        </w:rPr>
        <w:t>Ratesetting</w:t>
      </w:r>
      <w:proofErr w:type="spellEnd"/>
    </w:p>
    <w:p w:rsidRPr="00054EB4" w:rsidR="00D27A5C" w:rsidP="00632207" w:rsidRDefault="00F32A33" w14:paraId="7B7B1A98" w14:textId="44B4FEA6">
      <w:pPr>
        <w:spacing w:line="240" w:lineRule="auto"/>
        <w:jc w:val="right"/>
        <w:rPr>
          <w:b/>
        </w:rPr>
      </w:pPr>
      <w:r>
        <w:rPr>
          <w:b/>
        </w:rPr>
        <w:t>8/5</w:t>
      </w:r>
      <w:r w:rsidR="00D27A5C">
        <w:rPr>
          <w:b/>
        </w:rPr>
        <w:t>/2021</w:t>
      </w:r>
      <w:r w:rsidR="00BE478E">
        <w:rPr>
          <w:b/>
        </w:rPr>
        <w:t xml:space="preserve">  Item #5</w:t>
      </w:r>
    </w:p>
    <w:p w:rsidRPr="00054EB4" w:rsidR="00DA7B5D" w:rsidP="00563F43" w:rsidRDefault="00DA7B5D" w14:paraId="7CFED30F" w14:textId="77777777">
      <w:pPr>
        <w:spacing w:line="240" w:lineRule="auto"/>
        <w:ind w:firstLine="0"/>
      </w:pPr>
    </w:p>
    <w:p w:rsidRPr="00563F43" w:rsidR="00DA7B5D" w:rsidP="00563F43" w:rsidRDefault="00DA7B5D" w14:paraId="56F3E274" w14:textId="384BAC8A">
      <w:pPr>
        <w:spacing w:line="240" w:lineRule="auto"/>
        <w:ind w:left="1080" w:hanging="1080"/>
        <w:rPr>
          <w:b/>
          <w:bCs/>
        </w:rPr>
      </w:pPr>
      <w:r w:rsidRPr="00054EB4">
        <w:t xml:space="preserve">Decision </w:t>
      </w:r>
      <w:r w:rsidR="00563F43">
        <w:rPr>
          <w:b/>
          <w:bCs/>
          <w:u w:val="single"/>
        </w:rPr>
        <w:t>PROPOSED DECISION OF ALJS WATTS-ZAGHA AND MCKINNEY</w:t>
      </w:r>
      <w:r w:rsidR="00563F43">
        <w:rPr>
          <w:b/>
          <w:bCs/>
        </w:rPr>
        <w:t xml:space="preserve"> (Mailed </w:t>
      </w:r>
      <w:r w:rsidR="00D7674E">
        <w:rPr>
          <w:b/>
          <w:bCs/>
        </w:rPr>
        <w:t>6</w:t>
      </w:r>
      <w:r w:rsidR="00563F43">
        <w:rPr>
          <w:b/>
          <w:bCs/>
        </w:rPr>
        <w:t>/</w:t>
      </w:r>
      <w:r w:rsidR="00D7674E">
        <w:rPr>
          <w:b/>
          <w:bCs/>
        </w:rPr>
        <w:t>9</w:t>
      </w:r>
      <w:r w:rsidR="00563F43">
        <w:rPr>
          <w:b/>
          <w:bCs/>
        </w:rPr>
        <w:t>/2021)</w:t>
      </w:r>
    </w:p>
    <w:p w:rsidRPr="00054EB4" w:rsidR="00563F43" w:rsidP="00563F43" w:rsidRDefault="00563F43" w14:paraId="11AE9A8B" w14:textId="77777777">
      <w:pPr>
        <w:spacing w:line="240" w:lineRule="auto"/>
        <w:ind w:left="1080" w:hanging="1080"/>
      </w:pPr>
    </w:p>
    <w:p w:rsidRPr="00054EB4" w:rsidR="00DA7B5D" w:rsidP="00BB0243" w:rsidRDefault="00DA7B5D" w14:paraId="66D2A6FD" w14:textId="77777777">
      <w:pPr>
        <w:spacing w:line="240" w:lineRule="auto"/>
        <w:ind w:firstLine="0"/>
        <w:jc w:val="center"/>
        <w:rPr>
          <w:rFonts w:ascii="Arial" w:hAnsi="Arial" w:cs="Arial"/>
          <w:sz w:val="24"/>
          <w:szCs w:val="24"/>
        </w:rPr>
      </w:pPr>
      <w:r w:rsidRPr="00054EB4">
        <w:rPr>
          <w:rFonts w:ascii="Arial" w:hAnsi="Arial" w:cs="Arial"/>
          <w:b/>
          <w:sz w:val="24"/>
          <w:szCs w:val="24"/>
        </w:rPr>
        <w:t>BEFORE THE PUBLIC UTILITIES COMMISSION OF THE STATE OF CALIFORNIA</w:t>
      </w:r>
    </w:p>
    <w:p w:rsidRPr="00054EB4" w:rsidR="00DA7B5D" w:rsidP="008F0116" w:rsidRDefault="00DA7B5D" w14:paraId="3A5D1366" w14:textId="77777777">
      <w:pPr>
        <w:spacing w:line="240" w:lineRule="auto"/>
        <w:ind w:firstLine="0"/>
        <w:rPr>
          <w:rFonts w:ascii="Arial" w:hAnsi="Arial" w:cs="Arial"/>
          <w:sz w:val="24"/>
          <w:szCs w:val="24"/>
        </w:rPr>
      </w:pPr>
    </w:p>
    <w:tbl>
      <w:tblPr>
        <w:tblStyle w:val="TableGrid"/>
        <w:tblW w:w="0" w:type="auto"/>
        <w:tblLook w:val="04A0" w:firstRow="1" w:lastRow="0" w:firstColumn="1" w:lastColumn="0" w:noHBand="0" w:noVBand="1"/>
      </w:tblPr>
      <w:tblGrid>
        <w:gridCol w:w="4860"/>
        <w:gridCol w:w="4490"/>
      </w:tblGrid>
      <w:tr w:rsidRPr="00054EB4" w:rsidR="00DA7B5D" w:rsidTr="00563F43" w14:paraId="19AB78D0" w14:textId="77777777">
        <w:tc>
          <w:tcPr>
            <w:tcW w:w="4860" w:type="dxa"/>
            <w:tcBorders>
              <w:top w:val="nil"/>
              <w:left w:val="nil"/>
              <w:bottom w:val="single" w:color="auto" w:sz="4" w:space="0"/>
              <w:right w:val="single" w:color="auto" w:sz="4" w:space="0"/>
            </w:tcBorders>
          </w:tcPr>
          <w:p w:rsidRPr="00054EB4" w:rsidR="00DA7B5D" w:rsidP="00C10B5F" w:rsidRDefault="00CA6764" w14:paraId="1FBE0194" w14:textId="66040743">
            <w:pPr>
              <w:spacing w:line="240" w:lineRule="auto"/>
              <w:ind w:firstLine="0"/>
              <w:rPr>
                <w:rFonts w:cs="Arial"/>
                <w:szCs w:val="26"/>
              </w:rPr>
            </w:pPr>
            <w:r w:rsidRPr="00CA6764">
              <w:rPr>
                <w:rFonts w:cs="Arial"/>
                <w:szCs w:val="26"/>
              </w:rPr>
              <w:t>Joint Application of California-American Water Company (U210W) and East Pasadena Water Company (U331W) for an Order Authorizing East Pasadena Water Company to Sell and California-American Water to Purchase the Water Utility Assets of East Pasadena Water Company.</w:t>
            </w:r>
            <w:r>
              <w:rPr>
                <w:rFonts w:cs="Arial"/>
                <w:szCs w:val="26"/>
              </w:rPr>
              <w:br/>
            </w:r>
          </w:p>
        </w:tc>
        <w:tc>
          <w:tcPr>
            <w:tcW w:w="4490" w:type="dxa"/>
            <w:tcBorders>
              <w:top w:val="nil"/>
              <w:left w:val="single" w:color="auto" w:sz="4" w:space="0"/>
              <w:bottom w:val="nil"/>
              <w:right w:val="nil"/>
            </w:tcBorders>
            <w:vAlign w:val="center"/>
          </w:tcPr>
          <w:p w:rsidRPr="00054EB4" w:rsidR="00134EC1" w:rsidP="00563F43" w:rsidRDefault="00134EC1" w14:paraId="574F5638" w14:textId="6175B5F7">
            <w:pPr>
              <w:spacing w:line="240" w:lineRule="auto"/>
              <w:ind w:firstLine="0"/>
              <w:jc w:val="center"/>
              <w:rPr>
                <w:rFonts w:cs="Arial"/>
                <w:szCs w:val="26"/>
              </w:rPr>
            </w:pPr>
            <w:r w:rsidRPr="00054EB4">
              <w:rPr>
                <w:rFonts w:cs="Arial"/>
                <w:szCs w:val="26"/>
              </w:rPr>
              <w:t>Application 20-04-003</w:t>
            </w:r>
          </w:p>
        </w:tc>
      </w:tr>
    </w:tbl>
    <w:p w:rsidRPr="00054EB4" w:rsidR="00DA7B5D" w:rsidP="008F0116" w:rsidRDefault="00DA7B5D" w14:paraId="62468E90" w14:textId="77777777">
      <w:pPr>
        <w:spacing w:line="240" w:lineRule="auto"/>
        <w:ind w:firstLine="0"/>
        <w:rPr>
          <w:rFonts w:ascii="Arial" w:hAnsi="Arial" w:cs="Arial"/>
          <w:sz w:val="24"/>
          <w:szCs w:val="24"/>
        </w:rPr>
      </w:pPr>
    </w:p>
    <w:p w:rsidRPr="00054EB4" w:rsidR="004B3E16" w:rsidP="00563F43" w:rsidRDefault="004B3E16" w14:paraId="6656BAC5" w14:textId="284814EC">
      <w:pPr>
        <w:ind w:firstLine="0"/>
        <w:rPr>
          <w:rFonts w:ascii="Arial" w:hAnsi="Arial" w:cs="Arial"/>
          <w:b/>
          <w:bCs/>
        </w:rPr>
      </w:pPr>
    </w:p>
    <w:p w:rsidRPr="00054EB4" w:rsidR="004B3E16" w:rsidP="00563F43" w:rsidRDefault="004B3E16" w14:paraId="70577726" w14:textId="78506C6B">
      <w:pPr>
        <w:pStyle w:val="Main"/>
      </w:pPr>
      <w:r w:rsidRPr="00054EB4">
        <w:t>DECISION APPROVING</w:t>
      </w:r>
      <w:r w:rsidRPr="00054EB4" w:rsidR="00886B96">
        <w:t xml:space="preserve"> </w:t>
      </w:r>
      <w:r w:rsidRPr="00054EB4" w:rsidR="006B12B3">
        <w:t xml:space="preserve">THE </w:t>
      </w:r>
      <w:r w:rsidRPr="00054EB4">
        <w:t xml:space="preserve">SALE OF EAST PASADENA </w:t>
      </w:r>
      <w:r w:rsidR="00D509EA">
        <w:br/>
      </w:r>
      <w:r w:rsidRPr="00054EB4">
        <w:t xml:space="preserve">WATER COMPANY </w:t>
      </w:r>
      <w:r w:rsidRPr="00054EB4" w:rsidR="00F2431B">
        <w:t xml:space="preserve">UTILITY </w:t>
      </w:r>
      <w:r w:rsidRPr="00054EB4" w:rsidR="00A257E9">
        <w:t xml:space="preserve">ASSETS </w:t>
      </w:r>
      <w:r w:rsidRPr="00054EB4">
        <w:t xml:space="preserve">TO CALIFORNIA-AMERICAN </w:t>
      </w:r>
      <w:r w:rsidR="00D509EA">
        <w:br/>
      </w:r>
      <w:r w:rsidRPr="00054EB4">
        <w:t>WATER COMPANY INC.</w:t>
      </w:r>
    </w:p>
    <w:p w:rsidRPr="00054EB4" w:rsidR="0024328F" w:rsidP="0024328F" w:rsidRDefault="0024328F" w14:paraId="56FC30B2" w14:textId="77777777"/>
    <w:p w:rsidR="00563F43" w:rsidRDefault="00563F43" w14:paraId="5A0CCBD5" w14:textId="77777777">
      <w:pPr>
        <w:spacing w:after="160" w:line="259" w:lineRule="auto"/>
        <w:ind w:firstLine="0"/>
        <w:sectPr w:rsidR="00563F43" w:rsidSect="00BA05C9">
          <w:headerReference w:type="default" r:id="rId11"/>
          <w:footerReference w:type="first" r:id="rId12"/>
          <w:pgSz w:w="12240" w:h="15840"/>
          <w:pgMar w:top="1728" w:right="1440" w:bottom="1440" w:left="1440" w:header="720" w:footer="720" w:gutter="0"/>
          <w:pgNumType w:start="1"/>
          <w:cols w:space="720"/>
          <w:titlePg/>
          <w:docGrid w:linePitch="360"/>
        </w:sectPr>
      </w:pPr>
    </w:p>
    <w:p w:rsidRPr="001E2A62" w:rsidR="00563F43" w:rsidP="00563F43" w:rsidRDefault="00563F43" w14:paraId="463383AF" w14:textId="77777777">
      <w:pPr>
        <w:pStyle w:val="Main"/>
        <w:rPr>
          <w:rFonts w:ascii="Book Antiqua" w:hAnsi="Book Antiqua"/>
        </w:rPr>
      </w:pPr>
      <w:r w:rsidRPr="001E2A62">
        <w:rPr>
          <w:rFonts w:ascii="Book Antiqua" w:hAnsi="Book Antiqua"/>
        </w:rPr>
        <w:lastRenderedPageBreak/>
        <w:t>TABLE OF CONTENTS</w:t>
      </w:r>
    </w:p>
    <w:p w:rsidRPr="00D50119" w:rsidR="00563F43" w:rsidP="00563F43" w:rsidRDefault="00563F43" w14:paraId="414F991B" w14:textId="77777777">
      <w:pPr>
        <w:tabs>
          <w:tab w:val="right" w:pos="9360"/>
        </w:tabs>
        <w:ind w:firstLine="0"/>
      </w:pPr>
      <w:r w:rsidRPr="00D50119">
        <w:rPr>
          <w:b/>
        </w:rPr>
        <w:t>Title</w:t>
      </w:r>
      <w:r>
        <w:tab/>
      </w:r>
      <w:r w:rsidRPr="00D50119">
        <w:rPr>
          <w:b/>
        </w:rPr>
        <w:t>Page</w:t>
      </w:r>
    </w:p>
    <w:sdt>
      <w:sdtPr>
        <w:id w:val="-1224440197"/>
        <w:docPartObj>
          <w:docPartGallery w:val="Table of Contents"/>
          <w:docPartUnique/>
        </w:docPartObj>
      </w:sdtPr>
      <w:sdtEndPr>
        <w:rPr>
          <w:bCs w:val="0"/>
          <w:iCs w:val="0"/>
          <w:noProof/>
          <w:szCs w:val="26"/>
        </w:rPr>
      </w:sdtEndPr>
      <w:sdtContent>
        <w:p w:rsidR="00D27A5C" w:rsidP="00636FD3" w:rsidRDefault="00CA2F55" w14:paraId="495EE0C0" w14:textId="0C9A3F1B">
          <w:pPr>
            <w:pStyle w:val="TOC1"/>
            <w:tabs>
              <w:tab w:val="right" w:leader="dot" w:pos="9350"/>
            </w:tabs>
            <w:ind w:left="0" w:firstLine="0"/>
            <w:rPr>
              <w:rFonts w:asciiTheme="minorHAnsi" w:hAnsiTheme="minorHAnsi" w:eastAsiaTheme="minorEastAsia" w:cstheme="minorBidi"/>
              <w:bCs w:val="0"/>
              <w:iCs w:val="0"/>
              <w:noProof/>
              <w:sz w:val="22"/>
              <w:szCs w:val="22"/>
            </w:rPr>
          </w:pPr>
          <w:r>
            <w:rPr>
              <w:bCs w:val="0"/>
              <w:iCs w:val="0"/>
              <w:szCs w:val="26"/>
            </w:rPr>
            <w:fldChar w:fldCharType="begin"/>
          </w:r>
          <w:r>
            <w:rPr>
              <w:bCs w:val="0"/>
              <w:iCs w:val="0"/>
              <w:szCs w:val="26"/>
            </w:rPr>
            <w:instrText xml:space="preserve"> TOC \o "1-3" \h \z \u </w:instrText>
          </w:r>
          <w:r>
            <w:rPr>
              <w:bCs w:val="0"/>
              <w:iCs w:val="0"/>
              <w:szCs w:val="26"/>
            </w:rPr>
            <w:fldChar w:fldCharType="separate"/>
          </w:r>
          <w:hyperlink w:history="1" w:anchor="_Toc76995732">
            <w:r w:rsidRPr="00C71CA9" w:rsidR="00D27A5C">
              <w:rPr>
                <w:rStyle w:val="Hyperlink"/>
                <w:noProof/>
              </w:rPr>
              <w:t>DECISION APPROVING THE SALE OF EAST PASADENA WATER COMPANY UTILITY ASSETS TO CALIFORNIA-AMERICAN WATER COMPANY INC.</w:t>
            </w:r>
            <w:r w:rsidR="00D27A5C">
              <w:rPr>
                <w:noProof/>
                <w:webHidden/>
              </w:rPr>
              <w:tab/>
            </w:r>
            <w:r w:rsidR="00D27A5C">
              <w:rPr>
                <w:noProof/>
                <w:webHidden/>
              </w:rPr>
              <w:fldChar w:fldCharType="begin"/>
            </w:r>
            <w:r w:rsidR="00D27A5C">
              <w:rPr>
                <w:noProof/>
                <w:webHidden/>
              </w:rPr>
              <w:instrText xml:space="preserve"> PAGEREF _Toc76995732 \h </w:instrText>
            </w:r>
            <w:r w:rsidR="00D27A5C">
              <w:rPr>
                <w:noProof/>
                <w:webHidden/>
              </w:rPr>
            </w:r>
            <w:r w:rsidR="00D27A5C">
              <w:rPr>
                <w:noProof/>
                <w:webHidden/>
              </w:rPr>
              <w:fldChar w:fldCharType="separate"/>
            </w:r>
            <w:r w:rsidR="00506E52">
              <w:rPr>
                <w:noProof/>
                <w:webHidden/>
              </w:rPr>
              <w:t>2</w:t>
            </w:r>
            <w:r w:rsidR="00D27A5C">
              <w:rPr>
                <w:noProof/>
                <w:webHidden/>
              </w:rPr>
              <w:fldChar w:fldCharType="end"/>
            </w:r>
          </w:hyperlink>
        </w:p>
        <w:p w:rsidR="00D27A5C" w:rsidRDefault="00667333" w14:paraId="57E1111F" w14:textId="7F69F463">
          <w:pPr>
            <w:pStyle w:val="TOC1"/>
            <w:tabs>
              <w:tab w:val="right" w:leader="dot" w:pos="9350"/>
            </w:tabs>
            <w:rPr>
              <w:rFonts w:asciiTheme="minorHAnsi" w:hAnsiTheme="minorHAnsi" w:eastAsiaTheme="minorEastAsia" w:cstheme="minorBidi"/>
              <w:bCs w:val="0"/>
              <w:iCs w:val="0"/>
              <w:noProof/>
              <w:sz w:val="22"/>
              <w:szCs w:val="22"/>
            </w:rPr>
          </w:pPr>
          <w:hyperlink w:history="1" w:anchor="_Toc76995733">
            <w:r w:rsidRPr="00C71CA9" w:rsidR="00D27A5C">
              <w:rPr>
                <w:rStyle w:val="Hyperlink"/>
                <w:noProof/>
              </w:rPr>
              <w:t>Summary</w:t>
            </w:r>
            <w:r w:rsidR="00D27A5C">
              <w:rPr>
                <w:noProof/>
                <w:webHidden/>
              </w:rPr>
              <w:tab/>
            </w:r>
            <w:r w:rsidR="00D27A5C">
              <w:rPr>
                <w:noProof/>
                <w:webHidden/>
              </w:rPr>
              <w:fldChar w:fldCharType="begin"/>
            </w:r>
            <w:r w:rsidR="00D27A5C">
              <w:rPr>
                <w:noProof/>
                <w:webHidden/>
              </w:rPr>
              <w:instrText xml:space="preserve"> PAGEREF _Toc76995733 \h </w:instrText>
            </w:r>
            <w:r w:rsidR="00D27A5C">
              <w:rPr>
                <w:noProof/>
                <w:webHidden/>
              </w:rPr>
            </w:r>
            <w:r w:rsidR="00D27A5C">
              <w:rPr>
                <w:noProof/>
                <w:webHidden/>
              </w:rPr>
              <w:fldChar w:fldCharType="separate"/>
            </w:r>
            <w:r w:rsidR="00506E52">
              <w:rPr>
                <w:noProof/>
                <w:webHidden/>
              </w:rPr>
              <w:t>2</w:t>
            </w:r>
            <w:r w:rsidR="00D27A5C">
              <w:rPr>
                <w:noProof/>
                <w:webHidden/>
              </w:rPr>
              <w:fldChar w:fldCharType="end"/>
            </w:r>
          </w:hyperlink>
        </w:p>
        <w:p w:rsidR="00D27A5C" w:rsidRDefault="00667333" w14:paraId="705AB743" w14:textId="660B3684">
          <w:pPr>
            <w:pStyle w:val="TOC1"/>
            <w:tabs>
              <w:tab w:val="right" w:leader="dot" w:pos="9350"/>
            </w:tabs>
            <w:rPr>
              <w:rFonts w:asciiTheme="minorHAnsi" w:hAnsiTheme="minorHAnsi" w:eastAsiaTheme="minorEastAsia" w:cstheme="minorBidi"/>
              <w:bCs w:val="0"/>
              <w:iCs w:val="0"/>
              <w:noProof/>
              <w:sz w:val="22"/>
              <w:szCs w:val="22"/>
            </w:rPr>
          </w:pPr>
          <w:hyperlink w:history="1" w:anchor="_Toc76995734">
            <w:r w:rsidRPr="00C71CA9" w:rsidR="00D27A5C">
              <w:rPr>
                <w:rStyle w:val="Hyperlink"/>
                <w:noProof/>
              </w:rPr>
              <w:t>1.</w:t>
            </w:r>
            <w:r w:rsidR="00D27A5C">
              <w:rPr>
                <w:rFonts w:asciiTheme="minorHAnsi" w:hAnsiTheme="minorHAnsi" w:eastAsiaTheme="minorEastAsia" w:cstheme="minorBidi"/>
                <w:bCs w:val="0"/>
                <w:iCs w:val="0"/>
                <w:noProof/>
                <w:sz w:val="22"/>
                <w:szCs w:val="22"/>
              </w:rPr>
              <w:tab/>
            </w:r>
            <w:r w:rsidRPr="00C71CA9" w:rsidR="00D27A5C">
              <w:rPr>
                <w:rStyle w:val="Hyperlink"/>
                <w:noProof/>
              </w:rPr>
              <w:t>Background</w:t>
            </w:r>
            <w:r w:rsidR="00D27A5C">
              <w:rPr>
                <w:noProof/>
                <w:webHidden/>
              </w:rPr>
              <w:tab/>
            </w:r>
            <w:r w:rsidR="00D27A5C">
              <w:rPr>
                <w:noProof/>
                <w:webHidden/>
              </w:rPr>
              <w:fldChar w:fldCharType="begin"/>
            </w:r>
            <w:r w:rsidR="00D27A5C">
              <w:rPr>
                <w:noProof/>
                <w:webHidden/>
              </w:rPr>
              <w:instrText xml:space="preserve"> PAGEREF _Toc76995734 \h </w:instrText>
            </w:r>
            <w:r w:rsidR="00D27A5C">
              <w:rPr>
                <w:noProof/>
                <w:webHidden/>
              </w:rPr>
            </w:r>
            <w:r w:rsidR="00D27A5C">
              <w:rPr>
                <w:noProof/>
                <w:webHidden/>
              </w:rPr>
              <w:fldChar w:fldCharType="separate"/>
            </w:r>
            <w:r w:rsidR="00506E52">
              <w:rPr>
                <w:noProof/>
                <w:webHidden/>
              </w:rPr>
              <w:t>2</w:t>
            </w:r>
            <w:r w:rsidR="00D27A5C">
              <w:rPr>
                <w:noProof/>
                <w:webHidden/>
              </w:rPr>
              <w:fldChar w:fldCharType="end"/>
            </w:r>
          </w:hyperlink>
        </w:p>
        <w:p w:rsidR="00D27A5C" w:rsidP="00F32A33" w:rsidRDefault="00667333" w14:paraId="63357FD9" w14:textId="2AEFB7AF">
          <w:pPr>
            <w:pStyle w:val="TOC2"/>
            <w:tabs>
              <w:tab w:val="right" w:leader="dot" w:pos="9350"/>
            </w:tabs>
            <w:ind w:left="1080" w:hanging="630"/>
            <w:rPr>
              <w:rFonts w:asciiTheme="minorHAnsi" w:hAnsiTheme="minorHAnsi" w:eastAsiaTheme="minorEastAsia" w:cstheme="minorBidi"/>
              <w:bCs w:val="0"/>
              <w:noProof/>
              <w:sz w:val="22"/>
            </w:rPr>
          </w:pPr>
          <w:hyperlink w:history="1" w:anchor="_Toc76995735">
            <w:r w:rsidRPr="00C71CA9" w:rsidR="00D27A5C">
              <w:rPr>
                <w:rStyle w:val="Hyperlink"/>
                <w:noProof/>
              </w:rPr>
              <w:t>1.1.</w:t>
            </w:r>
            <w:r w:rsidR="00D27A5C">
              <w:rPr>
                <w:rFonts w:asciiTheme="minorHAnsi" w:hAnsiTheme="minorHAnsi" w:eastAsiaTheme="minorEastAsia" w:cstheme="minorBidi"/>
                <w:bCs w:val="0"/>
                <w:noProof/>
                <w:sz w:val="22"/>
              </w:rPr>
              <w:tab/>
            </w:r>
            <w:r w:rsidRPr="00C71CA9" w:rsidR="00D27A5C">
              <w:rPr>
                <w:rStyle w:val="Hyperlink"/>
                <w:noProof/>
              </w:rPr>
              <w:t>Procedural Background</w:t>
            </w:r>
            <w:r w:rsidR="00D27A5C">
              <w:rPr>
                <w:noProof/>
                <w:webHidden/>
              </w:rPr>
              <w:tab/>
            </w:r>
            <w:r w:rsidR="00D27A5C">
              <w:rPr>
                <w:noProof/>
                <w:webHidden/>
              </w:rPr>
              <w:fldChar w:fldCharType="begin"/>
            </w:r>
            <w:r w:rsidR="00D27A5C">
              <w:rPr>
                <w:noProof/>
                <w:webHidden/>
              </w:rPr>
              <w:instrText xml:space="preserve"> PAGEREF _Toc76995735 \h </w:instrText>
            </w:r>
            <w:r w:rsidR="00D27A5C">
              <w:rPr>
                <w:noProof/>
                <w:webHidden/>
              </w:rPr>
            </w:r>
            <w:r w:rsidR="00D27A5C">
              <w:rPr>
                <w:noProof/>
                <w:webHidden/>
              </w:rPr>
              <w:fldChar w:fldCharType="separate"/>
            </w:r>
            <w:r w:rsidR="00506E52">
              <w:rPr>
                <w:noProof/>
                <w:webHidden/>
              </w:rPr>
              <w:t>2</w:t>
            </w:r>
            <w:r w:rsidR="00D27A5C">
              <w:rPr>
                <w:noProof/>
                <w:webHidden/>
              </w:rPr>
              <w:fldChar w:fldCharType="end"/>
            </w:r>
          </w:hyperlink>
        </w:p>
        <w:p w:rsidR="00D27A5C" w:rsidP="00F32A33" w:rsidRDefault="00667333" w14:paraId="16768113" w14:textId="12F2E662">
          <w:pPr>
            <w:pStyle w:val="TOC2"/>
            <w:tabs>
              <w:tab w:val="right" w:leader="dot" w:pos="9350"/>
            </w:tabs>
            <w:ind w:left="1080" w:hanging="630"/>
            <w:rPr>
              <w:rFonts w:asciiTheme="minorHAnsi" w:hAnsiTheme="minorHAnsi" w:eastAsiaTheme="minorEastAsia" w:cstheme="minorBidi"/>
              <w:bCs w:val="0"/>
              <w:noProof/>
              <w:sz w:val="22"/>
            </w:rPr>
          </w:pPr>
          <w:hyperlink w:history="1" w:anchor="_Toc76995736">
            <w:r w:rsidRPr="00C71CA9" w:rsidR="00D27A5C">
              <w:rPr>
                <w:rStyle w:val="Hyperlink"/>
                <w:noProof/>
              </w:rPr>
              <w:t>1.2.</w:t>
            </w:r>
            <w:r w:rsidR="00D27A5C">
              <w:rPr>
                <w:rFonts w:asciiTheme="minorHAnsi" w:hAnsiTheme="minorHAnsi" w:eastAsiaTheme="minorEastAsia" w:cstheme="minorBidi"/>
                <w:bCs w:val="0"/>
                <w:noProof/>
                <w:sz w:val="22"/>
              </w:rPr>
              <w:tab/>
            </w:r>
            <w:r w:rsidRPr="00C71CA9" w:rsidR="00D27A5C">
              <w:rPr>
                <w:rStyle w:val="Hyperlink"/>
                <w:noProof/>
              </w:rPr>
              <w:t>Joint Applicants</w:t>
            </w:r>
            <w:r w:rsidR="00D27A5C">
              <w:rPr>
                <w:noProof/>
                <w:webHidden/>
              </w:rPr>
              <w:tab/>
            </w:r>
            <w:r w:rsidR="00D27A5C">
              <w:rPr>
                <w:noProof/>
                <w:webHidden/>
              </w:rPr>
              <w:fldChar w:fldCharType="begin"/>
            </w:r>
            <w:r w:rsidR="00D27A5C">
              <w:rPr>
                <w:noProof/>
                <w:webHidden/>
              </w:rPr>
              <w:instrText xml:space="preserve"> PAGEREF _Toc76995736 \h </w:instrText>
            </w:r>
            <w:r w:rsidR="00D27A5C">
              <w:rPr>
                <w:noProof/>
                <w:webHidden/>
              </w:rPr>
            </w:r>
            <w:r w:rsidR="00D27A5C">
              <w:rPr>
                <w:noProof/>
                <w:webHidden/>
              </w:rPr>
              <w:fldChar w:fldCharType="separate"/>
            </w:r>
            <w:r w:rsidR="00506E52">
              <w:rPr>
                <w:noProof/>
                <w:webHidden/>
              </w:rPr>
              <w:t>4</w:t>
            </w:r>
            <w:r w:rsidR="00D27A5C">
              <w:rPr>
                <w:noProof/>
                <w:webHidden/>
              </w:rPr>
              <w:fldChar w:fldCharType="end"/>
            </w:r>
          </w:hyperlink>
        </w:p>
        <w:p w:rsidR="00D27A5C" w:rsidP="00F32A33" w:rsidRDefault="00667333" w14:paraId="5B427631" w14:textId="13EF4125">
          <w:pPr>
            <w:pStyle w:val="TOC2"/>
            <w:tabs>
              <w:tab w:val="right" w:leader="dot" w:pos="9350"/>
            </w:tabs>
            <w:ind w:left="1080" w:hanging="630"/>
            <w:rPr>
              <w:rFonts w:asciiTheme="minorHAnsi" w:hAnsiTheme="minorHAnsi" w:eastAsiaTheme="minorEastAsia" w:cstheme="minorBidi"/>
              <w:bCs w:val="0"/>
              <w:noProof/>
              <w:sz w:val="22"/>
            </w:rPr>
          </w:pPr>
          <w:hyperlink w:history="1" w:anchor="_Toc76995737">
            <w:r w:rsidRPr="00C71CA9" w:rsidR="00D27A5C">
              <w:rPr>
                <w:rStyle w:val="Hyperlink"/>
                <w:noProof/>
              </w:rPr>
              <w:t>1.3.</w:t>
            </w:r>
            <w:r w:rsidR="00D27A5C">
              <w:rPr>
                <w:rFonts w:asciiTheme="minorHAnsi" w:hAnsiTheme="minorHAnsi" w:eastAsiaTheme="minorEastAsia" w:cstheme="minorBidi"/>
                <w:bCs w:val="0"/>
                <w:noProof/>
                <w:sz w:val="22"/>
              </w:rPr>
              <w:tab/>
            </w:r>
            <w:r w:rsidRPr="00C71CA9" w:rsidR="00D27A5C">
              <w:rPr>
                <w:rStyle w:val="Hyperlink"/>
                <w:noProof/>
              </w:rPr>
              <w:t>Application and Proposed Acquisition Terms</w:t>
            </w:r>
            <w:r w:rsidR="00D27A5C">
              <w:rPr>
                <w:noProof/>
                <w:webHidden/>
              </w:rPr>
              <w:tab/>
            </w:r>
            <w:r w:rsidR="00D27A5C">
              <w:rPr>
                <w:noProof/>
                <w:webHidden/>
              </w:rPr>
              <w:fldChar w:fldCharType="begin"/>
            </w:r>
            <w:r w:rsidR="00D27A5C">
              <w:rPr>
                <w:noProof/>
                <w:webHidden/>
              </w:rPr>
              <w:instrText xml:space="preserve"> PAGEREF _Toc76995737 \h </w:instrText>
            </w:r>
            <w:r w:rsidR="00D27A5C">
              <w:rPr>
                <w:noProof/>
                <w:webHidden/>
              </w:rPr>
            </w:r>
            <w:r w:rsidR="00D27A5C">
              <w:rPr>
                <w:noProof/>
                <w:webHidden/>
              </w:rPr>
              <w:fldChar w:fldCharType="separate"/>
            </w:r>
            <w:r w:rsidR="00506E52">
              <w:rPr>
                <w:noProof/>
                <w:webHidden/>
              </w:rPr>
              <w:t>4</w:t>
            </w:r>
            <w:r w:rsidR="00D27A5C">
              <w:rPr>
                <w:noProof/>
                <w:webHidden/>
              </w:rPr>
              <w:fldChar w:fldCharType="end"/>
            </w:r>
          </w:hyperlink>
        </w:p>
        <w:p w:rsidR="00D27A5C" w:rsidP="00F32A33" w:rsidRDefault="00667333" w14:paraId="1FBD09CC" w14:textId="5242E025">
          <w:pPr>
            <w:pStyle w:val="TOC2"/>
            <w:tabs>
              <w:tab w:val="right" w:leader="dot" w:pos="9350"/>
            </w:tabs>
            <w:ind w:left="1080" w:hanging="630"/>
            <w:rPr>
              <w:rFonts w:asciiTheme="minorHAnsi" w:hAnsiTheme="minorHAnsi" w:eastAsiaTheme="minorEastAsia" w:cstheme="minorBidi"/>
              <w:bCs w:val="0"/>
              <w:noProof/>
              <w:sz w:val="22"/>
            </w:rPr>
          </w:pPr>
          <w:hyperlink w:history="1" w:anchor="_Toc76995738">
            <w:r w:rsidRPr="00C71CA9" w:rsidR="00D27A5C">
              <w:rPr>
                <w:rStyle w:val="Hyperlink"/>
                <w:noProof/>
              </w:rPr>
              <w:t>1.4.</w:t>
            </w:r>
            <w:r w:rsidR="00D27A5C">
              <w:rPr>
                <w:rFonts w:asciiTheme="minorHAnsi" w:hAnsiTheme="minorHAnsi" w:eastAsiaTheme="minorEastAsia" w:cstheme="minorBidi"/>
                <w:bCs w:val="0"/>
                <w:noProof/>
                <w:sz w:val="22"/>
              </w:rPr>
              <w:tab/>
            </w:r>
            <w:r w:rsidRPr="00C71CA9" w:rsidR="00D27A5C">
              <w:rPr>
                <w:rStyle w:val="Hyperlink"/>
                <w:noProof/>
              </w:rPr>
              <w:t>Public Advocates Office Objects to the Application</w:t>
            </w:r>
            <w:r w:rsidR="00D27A5C">
              <w:rPr>
                <w:noProof/>
                <w:webHidden/>
              </w:rPr>
              <w:tab/>
            </w:r>
            <w:r w:rsidR="00D27A5C">
              <w:rPr>
                <w:noProof/>
                <w:webHidden/>
              </w:rPr>
              <w:fldChar w:fldCharType="begin"/>
            </w:r>
            <w:r w:rsidR="00D27A5C">
              <w:rPr>
                <w:noProof/>
                <w:webHidden/>
              </w:rPr>
              <w:instrText xml:space="preserve"> PAGEREF _Toc76995738 \h </w:instrText>
            </w:r>
            <w:r w:rsidR="00D27A5C">
              <w:rPr>
                <w:noProof/>
                <w:webHidden/>
              </w:rPr>
            </w:r>
            <w:r w:rsidR="00D27A5C">
              <w:rPr>
                <w:noProof/>
                <w:webHidden/>
              </w:rPr>
              <w:fldChar w:fldCharType="separate"/>
            </w:r>
            <w:r w:rsidR="00506E52">
              <w:rPr>
                <w:noProof/>
                <w:webHidden/>
              </w:rPr>
              <w:t>6</w:t>
            </w:r>
            <w:r w:rsidR="00D27A5C">
              <w:rPr>
                <w:noProof/>
                <w:webHidden/>
              </w:rPr>
              <w:fldChar w:fldCharType="end"/>
            </w:r>
          </w:hyperlink>
        </w:p>
        <w:p w:rsidR="00D27A5C" w:rsidRDefault="00667333" w14:paraId="322DA257" w14:textId="0CFBACFA">
          <w:pPr>
            <w:pStyle w:val="TOC1"/>
            <w:tabs>
              <w:tab w:val="right" w:leader="dot" w:pos="9350"/>
            </w:tabs>
            <w:rPr>
              <w:rFonts w:asciiTheme="minorHAnsi" w:hAnsiTheme="minorHAnsi" w:eastAsiaTheme="minorEastAsia" w:cstheme="minorBidi"/>
              <w:bCs w:val="0"/>
              <w:iCs w:val="0"/>
              <w:noProof/>
              <w:sz w:val="22"/>
              <w:szCs w:val="22"/>
            </w:rPr>
          </w:pPr>
          <w:hyperlink w:history="1" w:anchor="_Toc76995739">
            <w:r w:rsidRPr="00C71CA9" w:rsidR="00D27A5C">
              <w:rPr>
                <w:rStyle w:val="Hyperlink"/>
                <w:noProof/>
              </w:rPr>
              <w:t>2.</w:t>
            </w:r>
            <w:r w:rsidR="00D27A5C">
              <w:rPr>
                <w:rFonts w:asciiTheme="minorHAnsi" w:hAnsiTheme="minorHAnsi" w:eastAsiaTheme="minorEastAsia" w:cstheme="minorBidi"/>
                <w:bCs w:val="0"/>
                <w:iCs w:val="0"/>
                <w:noProof/>
                <w:sz w:val="22"/>
                <w:szCs w:val="22"/>
              </w:rPr>
              <w:tab/>
            </w:r>
            <w:r w:rsidRPr="00C71CA9" w:rsidR="00D27A5C">
              <w:rPr>
                <w:rStyle w:val="Hyperlink"/>
                <w:noProof/>
              </w:rPr>
              <w:t>Issues Before the Commission</w:t>
            </w:r>
            <w:r w:rsidR="00D27A5C">
              <w:rPr>
                <w:noProof/>
                <w:webHidden/>
              </w:rPr>
              <w:tab/>
            </w:r>
            <w:r w:rsidR="00D27A5C">
              <w:rPr>
                <w:noProof/>
                <w:webHidden/>
              </w:rPr>
              <w:fldChar w:fldCharType="begin"/>
            </w:r>
            <w:r w:rsidR="00D27A5C">
              <w:rPr>
                <w:noProof/>
                <w:webHidden/>
              </w:rPr>
              <w:instrText xml:space="preserve"> PAGEREF _Toc76995739 \h </w:instrText>
            </w:r>
            <w:r w:rsidR="00D27A5C">
              <w:rPr>
                <w:noProof/>
                <w:webHidden/>
              </w:rPr>
            </w:r>
            <w:r w:rsidR="00D27A5C">
              <w:rPr>
                <w:noProof/>
                <w:webHidden/>
              </w:rPr>
              <w:fldChar w:fldCharType="separate"/>
            </w:r>
            <w:r w:rsidR="00506E52">
              <w:rPr>
                <w:noProof/>
                <w:webHidden/>
              </w:rPr>
              <w:t>6</w:t>
            </w:r>
            <w:r w:rsidR="00D27A5C">
              <w:rPr>
                <w:noProof/>
                <w:webHidden/>
              </w:rPr>
              <w:fldChar w:fldCharType="end"/>
            </w:r>
          </w:hyperlink>
        </w:p>
        <w:p w:rsidRPr="00F32A33" w:rsidR="00D27A5C" w:rsidP="00F32A33" w:rsidRDefault="00667333" w14:paraId="1BB9A52C" w14:textId="3B87B253">
          <w:pPr>
            <w:pStyle w:val="TOC1"/>
            <w:tabs>
              <w:tab w:val="right" w:leader="dot" w:pos="9350"/>
            </w:tabs>
            <w:rPr>
              <w:rFonts w:asciiTheme="minorHAnsi" w:hAnsiTheme="minorHAnsi" w:eastAsiaTheme="minorEastAsia" w:cstheme="minorBidi"/>
              <w:bCs w:val="0"/>
              <w:iCs w:val="0"/>
              <w:noProof/>
              <w:sz w:val="22"/>
              <w:szCs w:val="22"/>
            </w:rPr>
          </w:pPr>
          <w:hyperlink w:history="1" w:anchor="_Toc76995740">
            <w:r w:rsidRPr="00C71CA9" w:rsidR="00D27A5C">
              <w:rPr>
                <w:rStyle w:val="Hyperlink"/>
                <w:noProof/>
              </w:rPr>
              <w:t>3.</w:t>
            </w:r>
            <w:r w:rsidR="00D27A5C">
              <w:rPr>
                <w:rFonts w:asciiTheme="minorHAnsi" w:hAnsiTheme="minorHAnsi" w:eastAsiaTheme="minorEastAsia" w:cstheme="minorBidi"/>
                <w:bCs w:val="0"/>
                <w:iCs w:val="0"/>
                <w:noProof/>
                <w:sz w:val="22"/>
                <w:szCs w:val="22"/>
              </w:rPr>
              <w:tab/>
            </w:r>
            <w:r w:rsidRPr="00C71CA9" w:rsidR="00D27A5C">
              <w:rPr>
                <w:rStyle w:val="Hyperlink"/>
                <w:noProof/>
              </w:rPr>
              <w:t>Applicable Legal Framework</w:t>
            </w:r>
            <w:r w:rsidR="00D27A5C">
              <w:rPr>
                <w:noProof/>
                <w:webHidden/>
              </w:rPr>
              <w:tab/>
            </w:r>
            <w:r w:rsidR="00D27A5C">
              <w:rPr>
                <w:noProof/>
                <w:webHidden/>
              </w:rPr>
              <w:fldChar w:fldCharType="begin"/>
            </w:r>
            <w:r w:rsidR="00D27A5C">
              <w:rPr>
                <w:noProof/>
                <w:webHidden/>
              </w:rPr>
              <w:instrText xml:space="preserve"> PAGEREF _Toc76995740 \h </w:instrText>
            </w:r>
            <w:r w:rsidR="00D27A5C">
              <w:rPr>
                <w:noProof/>
                <w:webHidden/>
              </w:rPr>
            </w:r>
            <w:r w:rsidR="00D27A5C">
              <w:rPr>
                <w:noProof/>
                <w:webHidden/>
              </w:rPr>
              <w:fldChar w:fldCharType="separate"/>
            </w:r>
            <w:r w:rsidR="00506E52">
              <w:rPr>
                <w:noProof/>
                <w:webHidden/>
              </w:rPr>
              <w:t>7</w:t>
            </w:r>
            <w:r w:rsidR="00D27A5C">
              <w:rPr>
                <w:noProof/>
                <w:webHidden/>
              </w:rPr>
              <w:fldChar w:fldCharType="end"/>
            </w:r>
          </w:hyperlink>
        </w:p>
        <w:p w:rsidR="00D27A5C" w:rsidP="00F32A33" w:rsidRDefault="00667333" w14:paraId="3C0239FD" w14:textId="0EE08715">
          <w:pPr>
            <w:pStyle w:val="TOC2"/>
            <w:tabs>
              <w:tab w:val="right" w:leader="dot" w:pos="9350"/>
            </w:tabs>
            <w:ind w:left="1080" w:hanging="630"/>
            <w:rPr>
              <w:rFonts w:asciiTheme="minorHAnsi" w:hAnsiTheme="minorHAnsi" w:eastAsiaTheme="minorEastAsia" w:cstheme="minorBidi"/>
              <w:bCs w:val="0"/>
              <w:noProof/>
              <w:sz w:val="22"/>
            </w:rPr>
          </w:pPr>
          <w:hyperlink w:history="1" w:anchor="_Toc76995741">
            <w:r w:rsidRPr="00C71CA9" w:rsidR="00D27A5C">
              <w:rPr>
                <w:rStyle w:val="Hyperlink"/>
                <w:noProof/>
              </w:rPr>
              <w:t>3.1.</w:t>
            </w:r>
            <w:r w:rsidR="00D27A5C">
              <w:rPr>
                <w:rFonts w:asciiTheme="minorHAnsi" w:hAnsiTheme="minorHAnsi" w:eastAsiaTheme="minorEastAsia" w:cstheme="minorBidi"/>
                <w:bCs w:val="0"/>
                <w:noProof/>
                <w:sz w:val="22"/>
              </w:rPr>
              <w:tab/>
            </w:r>
            <w:r w:rsidRPr="00C71CA9" w:rsidR="00D27A5C">
              <w:rPr>
                <w:rStyle w:val="Hyperlink"/>
                <w:noProof/>
              </w:rPr>
              <w:t xml:space="preserve">Sections 851 </w:t>
            </w:r>
            <w:r w:rsidRPr="00C71CA9" w:rsidR="00D27A5C">
              <w:rPr>
                <w:rStyle w:val="Hyperlink"/>
                <w:i/>
                <w:iCs/>
                <w:noProof/>
              </w:rPr>
              <w:t>et seq.</w:t>
            </w:r>
            <w:r w:rsidR="00D27A5C">
              <w:rPr>
                <w:noProof/>
                <w:webHidden/>
              </w:rPr>
              <w:tab/>
            </w:r>
            <w:r w:rsidR="00D27A5C">
              <w:rPr>
                <w:noProof/>
                <w:webHidden/>
              </w:rPr>
              <w:fldChar w:fldCharType="begin"/>
            </w:r>
            <w:r w:rsidR="00D27A5C">
              <w:rPr>
                <w:noProof/>
                <w:webHidden/>
              </w:rPr>
              <w:instrText xml:space="preserve"> PAGEREF _Toc76995741 \h </w:instrText>
            </w:r>
            <w:r w:rsidR="00D27A5C">
              <w:rPr>
                <w:noProof/>
                <w:webHidden/>
              </w:rPr>
            </w:r>
            <w:r w:rsidR="00D27A5C">
              <w:rPr>
                <w:noProof/>
                <w:webHidden/>
              </w:rPr>
              <w:fldChar w:fldCharType="separate"/>
            </w:r>
            <w:r w:rsidR="00506E52">
              <w:rPr>
                <w:noProof/>
                <w:webHidden/>
              </w:rPr>
              <w:t>8</w:t>
            </w:r>
            <w:r w:rsidR="00D27A5C">
              <w:rPr>
                <w:noProof/>
                <w:webHidden/>
              </w:rPr>
              <w:fldChar w:fldCharType="end"/>
            </w:r>
          </w:hyperlink>
        </w:p>
        <w:p w:rsidR="00D27A5C" w:rsidP="00F32A33" w:rsidRDefault="00667333" w14:paraId="3C7770CF" w14:textId="2591DAD6">
          <w:pPr>
            <w:pStyle w:val="TOC2"/>
            <w:tabs>
              <w:tab w:val="right" w:leader="dot" w:pos="9350"/>
            </w:tabs>
            <w:ind w:left="1080" w:hanging="630"/>
            <w:rPr>
              <w:rFonts w:asciiTheme="minorHAnsi" w:hAnsiTheme="minorHAnsi" w:eastAsiaTheme="minorEastAsia" w:cstheme="minorBidi"/>
              <w:bCs w:val="0"/>
              <w:noProof/>
              <w:sz w:val="22"/>
            </w:rPr>
          </w:pPr>
          <w:hyperlink w:history="1" w:anchor="_Toc76995742">
            <w:r w:rsidRPr="00C71CA9" w:rsidR="00D27A5C">
              <w:rPr>
                <w:rStyle w:val="Hyperlink"/>
                <w:noProof/>
              </w:rPr>
              <w:t>3.2.</w:t>
            </w:r>
            <w:r w:rsidR="00D27A5C">
              <w:rPr>
                <w:rFonts w:asciiTheme="minorHAnsi" w:hAnsiTheme="minorHAnsi" w:eastAsiaTheme="minorEastAsia" w:cstheme="minorBidi"/>
                <w:bCs w:val="0"/>
                <w:noProof/>
                <w:sz w:val="22"/>
              </w:rPr>
              <w:tab/>
            </w:r>
            <w:r w:rsidRPr="00C71CA9" w:rsidR="00D27A5C">
              <w:rPr>
                <w:rStyle w:val="Hyperlink"/>
                <w:noProof/>
              </w:rPr>
              <w:t>Sections 2718 -2720</w:t>
            </w:r>
            <w:r w:rsidR="00D27A5C">
              <w:rPr>
                <w:noProof/>
                <w:webHidden/>
              </w:rPr>
              <w:tab/>
            </w:r>
            <w:r w:rsidR="00D27A5C">
              <w:rPr>
                <w:noProof/>
                <w:webHidden/>
              </w:rPr>
              <w:fldChar w:fldCharType="begin"/>
            </w:r>
            <w:r w:rsidR="00D27A5C">
              <w:rPr>
                <w:noProof/>
                <w:webHidden/>
              </w:rPr>
              <w:instrText xml:space="preserve"> PAGEREF _Toc76995742 \h </w:instrText>
            </w:r>
            <w:r w:rsidR="00D27A5C">
              <w:rPr>
                <w:noProof/>
                <w:webHidden/>
              </w:rPr>
            </w:r>
            <w:r w:rsidR="00D27A5C">
              <w:rPr>
                <w:noProof/>
                <w:webHidden/>
              </w:rPr>
              <w:fldChar w:fldCharType="separate"/>
            </w:r>
            <w:r w:rsidR="00506E52">
              <w:rPr>
                <w:noProof/>
                <w:webHidden/>
              </w:rPr>
              <w:t>9</w:t>
            </w:r>
            <w:r w:rsidR="00D27A5C">
              <w:rPr>
                <w:noProof/>
                <w:webHidden/>
              </w:rPr>
              <w:fldChar w:fldCharType="end"/>
            </w:r>
          </w:hyperlink>
        </w:p>
        <w:p w:rsidR="00D27A5C" w:rsidP="00F32A33" w:rsidRDefault="00667333" w14:paraId="4D2F7D21" w14:textId="4C941970">
          <w:pPr>
            <w:pStyle w:val="TOC2"/>
            <w:tabs>
              <w:tab w:val="right" w:leader="dot" w:pos="9350"/>
            </w:tabs>
            <w:ind w:left="1080" w:hanging="630"/>
            <w:rPr>
              <w:rFonts w:asciiTheme="minorHAnsi" w:hAnsiTheme="minorHAnsi" w:eastAsiaTheme="minorEastAsia" w:cstheme="minorBidi"/>
              <w:bCs w:val="0"/>
              <w:noProof/>
              <w:sz w:val="22"/>
            </w:rPr>
          </w:pPr>
          <w:hyperlink w:history="1" w:anchor="_Toc76995743">
            <w:r w:rsidRPr="00C71CA9" w:rsidR="00D27A5C">
              <w:rPr>
                <w:rStyle w:val="Hyperlink"/>
                <w:noProof/>
              </w:rPr>
              <w:t>3.3.</w:t>
            </w:r>
            <w:r w:rsidR="00D27A5C">
              <w:rPr>
                <w:rFonts w:asciiTheme="minorHAnsi" w:hAnsiTheme="minorHAnsi" w:eastAsiaTheme="minorEastAsia" w:cstheme="minorBidi"/>
                <w:bCs w:val="0"/>
                <w:noProof/>
                <w:sz w:val="22"/>
              </w:rPr>
              <w:tab/>
            </w:r>
            <w:r w:rsidRPr="00C71CA9" w:rsidR="00D27A5C">
              <w:rPr>
                <w:rStyle w:val="Hyperlink"/>
                <w:noProof/>
              </w:rPr>
              <w:t>Public Interest Review and Ratepayer Indifference Standard</w:t>
            </w:r>
            <w:r w:rsidR="00D27A5C">
              <w:rPr>
                <w:noProof/>
                <w:webHidden/>
              </w:rPr>
              <w:tab/>
            </w:r>
            <w:r w:rsidR="00D27A5C">
              <w:rPr>
                <w:noProof/>
                <w:webHidden/>
              </w:rPr>
              <w:fldChar w:fldCharType="begin"/>
            </w:r>
            <w:r w:rsidR="00D27A5C">
              <w:rPr>
                <w:noProof/>
                <w:webHidden/>
              </w:rPr>
              <w:instrText xml:space="preserve"> PAGEREF _Toc76995743 \h </w:instrText>
            </w:r>
            <w:r w:rsidR="00D27A5C">
              <w:rPr>
                <w:noProof/>
                <w:webHidden/>
              </w:rPr>
            </w:r>
            <w:r w:rsidR="00D27A5C">
              <w:rPr>
                <w:noProof/>
                <w:webHidden/>
              </w:rPr>
              <w:fldChar w:fldCharType="separate"/>
            </w:r>
            <w:r w:rsidR="00506E52">
              <w:rPr>
                <w:noProof/>
                <w:webHidden/>
              </w:rPr>
              <w:t>11</w:t>
            </w:r>
            <w:r w:rsidR="00D27A5C">
              <w:rPr>
                <w:noProof/>
                <w:webHidden/>
              </w:rPr>
              <w:fldChar w:fldCharType="end"/>
            </w:r>
          </w:hyperlink>
        </w:p>
        <w:p w:rsidR="00D27A5C" w:rsidP="00F32A33" w:rsidRDefault="00667333" w14:paraId="31E04337" w14:textId="40221DAE">
          <w:pPr>
            <w:pStyle w:val="TOC2"/>
            <w:tabs>
              <w:tab w:val="right" w:leader="dot" w:pos="9350"/>
            </w:tabs>
            <w:ind w:left="1080" w:hanging="630"/>
            <w:rPr>
              <w:rFonts w:asciiTheme="minorHAnsi" w:hAnsiTheme="minorHAnsi" w:eastAsiaTheme="minorEastAsia" w:cstheme="minorBidi"/>
              <w:bCs w:val="0"/>
              <w:noProof/>
              <w:sz w:val="22"/>
            </w:rPr>
          </w:pPr>
          <w:hyperlink w:history="1" w:anchor="_Toc76995744">
            <w:r w:rsidRPr="00C71CA9" w:rsidR="00D27A5C">
              <w:rPr>
                <w:rStyle w:val="Hyperlink"/>
                <w:noProof/>
              </w:rPr>
              <w:t>3.4.</w:t>
            </w:r>
            <w:r w:rsidR="00D27A5C">
              <w:rPr>
                <w:rFonts w:asciiTheme="minorHAnsi" w:hAnsiTheme="minorHAnsi" w:eastAsiaTheme="minorEastAsia" w:cstheme="minorBidi"/>
                <w:bCs w:val="0"/>
                <w:noProof/>
                <w:sz w:val="22"/>
              </w:rPr>
              <w:tab/>
            </w:r>
            <w:r w:rsidRPr="00C71CA9" w:rsidR="00D27A5C">
              <w:rPr>
                <w:rStyle w:val="Hyperlink"/>
                <w:noProof/>
              </w:rPr>
              <w:t xml:space="preserve">Post-Transaction Ratemaking Under Section 2720 and </w:t>
            </w:r>
            <w:r w:rsidR="00F32A33">
              <w:rPr>
                <w:rStyle w:val="Hyperlink"/>
                <w:noProof/>
              </w:rPr>
              <w:br/>
            </w:r>
            <w:r w:rsidRPr="00C71CA9" w:rsidR="00D27A5C">
              <w:rPr>
                <w:rStyle w:val="Hyperlink"/>
                <w:noProof/>
              </w:rPr>
              <w:t>Sections 451 </w:t>
            </w:r>
            <w:r w:rsidRPr="00C71CA9" w:rsidR="00D27A5C">
              <w:rPr>
                <w:rStyle w:val="Hyperlink"/>
                <w:i/>
                <w:iCs/>
                <w:noProof/>
              </w:rPr>
              <w:t>et seq.</w:t>
            </w:r>
            <w:r w:rsidR="00D27A5C">
              <w:rPr>
                <w:noProof/>
                <w:webHidden/>
              </w:rPr>
              <w:tab/>
            </w:r>
            <w:r w:rsidR="00D27A5C">
              <w:rPr>
                <w:noProof/>
                <w:webHidden/>
              </w:rPr>
              <w:fldChar w:fldCharType="begin"/>
            </w:r>
            <w:r w:rsidR="00D27A5C">
              <w:rPr>
                <w:noProof/>
                <w:webHidden/>
              </w:rPr>
              <w:instrText xml:space="preserve"> PAGEREF _Toc76995744 \h </w:instrText>
            </w:r>
            <w:r w:rsidR="00D27A5C">
              <w:rPr>
                <w:noProof/>
                <w:webHidden/>
              </w:rPr>
            </w:r>
            <w:r w:rsidR="00D27A5C">
              <w:rPr>
                <w:noProof/>
                <w:webHidden/>
              </w:rPr>
              <w:fldChar w:fldCharType="separate"/>
            </w:r>
            <w:r w:rsidR="00506E52">
              <w:rPr>
                <w:noProof/>
                <w:webHidden/>
              </w:rPr>
              <w:t>12</w:t>
            </w:r>
            <w:r w:rsidR="00D27A5C">
              <w:rPr>
                <w:noProof/>
                <w:webHidden/>
              </w:rPr>
              <w:fldChar w:fldCharType="end"/>
            </w:r>
          </w:hyperlink>
        </w:p>
        <w:p w:rsidR="00D27A5C" w:rsidRDefault="00667333" w14:paraId="037F61DC" w14:textId="4261EAFE">
          <w:pPr>
            <w:pStyle w:val="TOC1"/>
            <w:tabs>
              <w:tab w:val="right" w:leader="dot" w:pos="9350"/>
            </w:tabs>
            <w:rPr>
              <w:rFonts w:asciiTheme="minorHAnsi" w:hAnsiTheme="minorHAnsi" w:eastAsiaTheme="minorEastAsia" w:cstheme="minorBidi"/>
              <w:bCs w:val="0"/>
              <w:iCs w:val="0"/>
              <w:noProof/>
              <w:sz w:val="22"/>
              <w:szCs w:val="22"/>
            </w:rPr>
          </w:pPr>
          <w:hyperlink w:history="1" w:anchor="_Toc76995745">
            <w:r w:rsidRPr="00C71CA9" w:rsidR="00D27A5C">
              <w:rPr>
                <w:rStyle w:val="Hyperlink"/>
                <w:noProof/>
              </w:rPr>
              <w:t>4.</w:t>
            </w:r>
            <w:r w:rsidR="00D27A5C">
              <w:rPr>
                <w:rFonts w:asciiTheme="minorHAnsi" w:hAnsiTheme="minorHAnsi" w:eastAsiaTheme="minorEastAsia" w:cstheme="minorBidi"/>
                <w:bCs w:val="0"/>
                <w:iCs w:val="0"/>
                <w:noProof/>
                <w:sz w:val="22"/>
                <w:szCs w:val="22"/>
              </w:rPr>
              <w:tab/>
            </w:r>
            <w:r w:rsidRPr="00C71CA9" w:rsidR="00D27A5C">
              <w:rPr>
                <w:rStyle w:val="Hyperlink"/>
                <w:noProof/>
              </w:rPr>
              <w:t>Discussion</w:t>
            </w:r>
            <w:r w:rsidR="00D27A5C">
              <w:rPr>
                <w:noProof/>
                <w:webHidden/>
              </w:rPr>
              <w:tab/>
            </w:r>
            <w:r w:rsidR="00D27A5C">
              <w:rPr>
                <w:noProof/>
                <w:webHidden/>
              </w:rPr>
              <w:fldChar w:fldCharType="begin"/>
            </w:r>
            <w:r w:rsidR="00D27A5C">
              <w:rPr>
                <w:noProof/>
                <w:webHidden/>
              </w:rPr>
              <w:instrText xml:space="preserve"> PAGEREF _Toc76995745 \h </w:instrText>
            </w:r>
            <w:r w:rsidR="00D27A5C">
              <w:rPr>
                <w:noProof/>
                <w:webHidden/>
              </w:rPr>
            </w:r>
            <w:r w:rsidR="00D27A5C">
              <w:rPr>
                <w:noProof/>
                <w:webHidden/>
              </w:rPr>
              <w:fldChar w:fldCharType="separate"/>
            </w:r>
            <w:r w:rsidR="00506E52">
              <w:rPr>
                <w:noProof/>
                <w:webHidden/>
              </w:rPr>
              <w:t>13</w:t>
            </w:r>
            <w:r w:rsidR="00D27A5C">
              <w:rPr>
                <w:noProof/>
                <w:webHidden/>
              </w:rPr>
              <w:fldChar w:fldCharType="end"/>
            </w:r>
          </w:hyperlink>
        </w:p>
        <w:p w:rsidR="00D27A5C" w:rsidP="00F32A33" w:rsidRDefault="00667333" w14:paraId="48D9F656" w14:textId="039C4606">
          <w:pPr>
            <w:pStyle w:val="TOC2"/>
            <w:tabs>
              <w:tab w:val="right" w:leader="dot" w:pos="9350"/>
            </w:tabs>
            <w:ind w:left="1080" w:hanging="630"/>
            <w:rPr>
              <w:rFonts w:asciiTheme="minorHAnsi" w:hAnsiTheme="minorHAnsi" w:eastAsiaTheme="minorEastAsia" w:cstheme="minorBidi"/>
              <w:bCs w:val="0"/>
              <w:noProof/>
              <w:sz w:val="22"/>
            </w:rPr>
          </w:pPr>
          <w:hyperlink w:history="1" w:anchor="_Toc76995766">
            <w:r w:rsidRPr="00C71CA9" w:rsidR="00D27A5C">
              <w:rPr>
                <w:rStyle w:val="Hyperlink"/>
                <w:noProof/>
              </w:rPr>
              <w:t>4.1.</w:t>
            </w:r>
            <w:r w:rsidR="00D27A5C">
              <w:rPr>
                <w:rFonts w:asciiTheme="minorHAnsi" w:hAnsiTheme="minorHAnsi" w:eastAsiaTheme="minorEastAsia" w:cstheme="minorBidi"/>
                <w:bCs w:val="0"/>
                <w:noProof/>
                <w:sz w:val="22"/>
              </w:rPr>
              <w:tab/>
            </w:r>
            <w:r w:rsidRPr="00C71CA9" w:rsidR="00D27A5C">
              <w:rPr>
                <w:rStyle w:val="Hyperlink"/>
                <w:noProof/>
              </w:rPr>
              <w:t>Purchase Price as the Fair Market Value</w:t>
            </w:r>
            <w:r w:rsidR="00D27A5C">
              <w:rPr>
                <w:noProof/>
                <w:webHidden/>
              </w:rPr>
              <w:tab/>
            </w:r>
            <w:r w:rsidR="00D27A5C">
              <w:rPr>
                <w:noProof/>
                <w:webHidden/>
              </w:rPr>
              <w:fldChar w:fldCharType="begin"/>
            </w:r>
            <w:r w:rsidR="00D27A5C">
              <w:rPr>
                <w:noProof/>
                <w:webHidden/>
              </w:rPr>
              <w:instrText xml:space="preserve"> PAGEREF _Toc76995766 \h </w:instrText>
            </w:r>
            <w:r w:rsidR="00D27A5C">
              <w:rPr>
                <w:noProof/>
                <w:webHidden/>
              </w:rPr>
            </w:r>
            <w:r w:rsidR="00D27A5C">
              <w:rPr>
                <w:noProof/>
                <w:webHidden/>
              </w:rPr>
              <w:fldChar w:fldCharType="separate"/>
            </w:r>
            <w:r w:rsidR="00506E52">
              <w:rPr>
                <w:noProof/>
                <w:webHidden/>
              </w:rPr>
              <w:t>14</w:t>
            </w:r>
            <w:r w:rsidR="00D27A5C">
              <w:rPr>
                <w:noProof/>
                <w:webHidden/>
              </w:rPr>
              <w:fldChar w:fldCharType="end"/>
            </w:r>
          </w:hyperlink>
        </w:p>
        <w:p w:rsidR="00D27A5C" w:rsidP="00F32A33" w:rsidRDefault="00667333" w14:paraId="6CCC0AAB" w14:textId="51681D9B">
          <w:pPr>
            <w:pStyle w:val="TOC2"/>
            <w:tabs>
              <w:tab w:val="right" w:leader="dot" w:pos="9350"/>
            </w:tabs>
            <w:ind w:left="1080" w:hanging="630"/>
            <w:rPr>
              <w:rFonts w:asciiTheme="minorHAnsi" w:hAnsiTheme="minorHAnsi" w:eastAsiaTheme="minorEastAsia" w:cstheme="minorBidi"/>
              <w:bCs w:val="0"/>
              <w:noProof/>
              <w:sz w:val="22"/>
            </w:rPr>
          </w:pPr>
          <w:hyperlink w:history="1" w:anchor="_Toc76995767">
            <w:r w:rsidRPr="00C71CA9" w:rsidR="00D27A5C">
              <w:rPr>
                <w:rStyle w:val="Hyperlink"/>
                <w:noProof/>
              </w:rPr>
              <w:t>4.2.</w:t>
            </w:r>
            <w:r w:rsidR="00D27A5C">
              <w:rPr>
                <w:rFonts w:asciiTheme="minorHAnsi" w:hAnsiTheme="minorHAnsi" w:eastAsiaTheme="minorEastAsia" w:cstheme="minorBidi"/>
                <w:bCs w:val="0"/>
                <w:noProof/>
                <w:sz w:val="22"/>
              </w:rPr>
              <w:tab/>
            </w:r>
            <w:r w:rsidRPr="00C71CA9" w:rsidR="00D27A5C">
              <w:rPr>
                <w:rStyle w:val="Hyperlink"/>
                <w:noProof/>
              </w:rPr>
              <w:t>Rate Impacts of the Purchase Price in Rate Base</w:t>
            </w:r>
            <w:r w:rsidR="00D27A5C">
              <w:rPr>
                <w:noProof/>
                <w:webHidden/>
              </w:rPr>
              <w:tab/>
            </w:r>
            <w:r w:rsidR="00D27A5C">
              <w:rPr>
                <w:noProof/>
                <w:webHidden/>
              </w:rPr>
              <w:fldChar w:fldCharType="begin"/>
            </w:r>
            <w:r w:rsidR="00D27A5C">
              <w:rPr>
                <w:noProof/>
                <w:webHidden/>
              </w:rPr>
              <w:instrText xml:space="preserve"> PAGEREF _Toc76995767 \h </w:instrText>
            </w:r>
            <w:r w:rsidR="00D27A5C">
              <w:rPr>
                <w:noProof/>
                <w:webHidden/>
              </w:rPr>
            </w:r>
            <w:r w:rsidR="00D27A5C">
              <w:rPr>
                <w:noProof/>
                <w:webHidden/>
              </w:rPr>
              <w:fldChar w:fldCharType="separate"/>
            </w:r>
            <w:r w:rsidR="00506E52">
              <w:rPr>
                <w:noProof/>
                <w:webHidden/>
              </w:rPr>
              <w:t>16</w:t>
            </w:r>
            <w:r w:rsidR="00D27A5C">
              <w:rPr>
                <w:noProof/>
                <w:webHidden/>
              </w:rPr>
              <w:fldChar w:fldCharType="end"/>
            </w:r>
          </w:hyperlink>
        </w:p>
        <w:p w:rsidR="00D27A5C" w:rsidP="00F32A33" w:rsidRDefault="00667333" w14:paraId="6AC2429F" w14:textId="492245CF">
          <w:pPr>
            <w:pStyle w:val="TOC2"/>
            <w:tabs>
              <w:tab w:val="right" w:leader="dot" w:pos="9350"/>
            </w:tabs>
            <w:ind w:left="1080" w:hanging="630"/>
            <w:rPr>
              <w:rFonts w:asciiTheme="minorHAnsi" w:hAnsiTheme="minorHAnsi" w:eastAsiaTheme="minorEastAsia" w:cstheme="minorBidi"/>
              <w:bCs w:val="0"/>
              <w:noProof/>
              <w:sz w:val="22"/>
            </w:rPr>
          </w:pPr>
          <w:hyperlink w:history="1" w:anchor="_Toc76995768">
            <w:r w:rsidRPr="00C71CA9" w:rsidR="00D27A5C">
              <w:rPr>
                <w:rStyle w:val="Hyperlink"/>
                <w:noProof/>
              </w:rPr>
              <w:t>4.3.</w:t>
            </w:r>
            <w:r w:rsidR="00D27A5C">
              <w:rPr>
                <w:rFonts w:asciiTheme="minorHAnsi" w:hAnsiTheme="minorHAnsi" w:eastAsiaTheme="minorEastAsia" w:cstheme="minorBidi"/>
                <w:bCs w:val="0"/>
                <w:noProof/>
                <w:sz w:val="22"/>
              </w:rPr>
              <w:tab/>
            </w:r>
            <w:r w:rsidRPr="00C71CA9" w:rsidR="00D27A5C">
              <w:rPr>
                <w:rStyle w:val="Hyperlink"/>
                <w:noProof/>
              </w:rPr>
              <w:t>Allocation of Rate Base</w:t>
            </w:r>
            <w:r w:rsidR="00D27A5C">
              <w:rPr>
                <w:noProof/>
                <w:webHidden/>
              </w:rPr>
              <w:tab/>
            </w:r>
            <w:r w:rsidR="00D27A5C">
              <w:rPr>
                <w:noProof/>
                <w:webHidden/>
              </w:rPr>
              <w:fldChar w:fldCharType="begin"/>
            </w:r>
            <w:r w:rsidR="00D27A5C">
              <w:rPr>
                <w:noProof/>
                <w:webHidden/>
              </w:rPr>
              <w:instrText xml:space="preserve"> PAGEREF _Toc76995768 \h </w:instrText>
            </w:r>
            <w:r w:rsidR="00D27A5C">
              <w:rPr>
                <w:noProof/>
                <w:webHidden/>
              </w:rPr>
            </w:r>
            <w:r w:rsidR="00D27A5C">
              <w:rPr>
                <w:noProof/>
                <w:webHidden/>
              </w:rPr>
              <w:fldChar w:fldCharType="separate"/>
            </w:r>
            <w:r w:rsidR="00506E52">
              <w:rPr>
                <w:noProof/>
                <w:webHidden/>
              </w:rPr>
              <w:t>23</w:t>
            </w:r>
            <w:r w:rsidR="00D27A5C">
              <w:rPr>
                <w:noProof/>
                <w:webHidden/>
              </w:rPr>
              <w:fldChar w:fldCharType="end"/>
            </w:r>
          </w:hyperlink>
        </w:p>
        <w:p w:rsidR="00D27A5C" w:rsidP="00F32A33" w:rsidRDefault="00667333" w14:paraId="3982BB62" w14:textId="68D0EA28">
          <w:pPr>
            <w:pStyle w:val="TOC2"/>
            <w:tabs>
              <w:tab w:val="right" w:leader="dot" w:pos="9350"/>
            </w:tabs>
            <w:ind w:left="1080" w:hanging="630"/>
            <w:rPr>
              <w:rFonts w:asciiTheme="minorHAnsi" w:hAnsiTheme="minorHAnsi" w:eastAsiaTheme="minorEastAsia" w:cstheme="minorBidi"/>
              <w:bCs w:val="0"/>
              <w:noProof/>
              <w:sz w:val="22"/>
            </w:rPr>
          </w:pPr>
          <w:hyperlink w:history="1" w:anchor="_Toc76995769">
            <w:r w:rsidRPr="00C71CA9" w:rsidR="00D27A5C">
              <w:rPr>
                <w:rStyle w:val="Hyperlink"/>
                <w:noProof/>
              </w:rPr>
              <w:t>4.4.</w:t>
            </w:r>
            <w:r w:rsidR="00D27A5C">
              <w:rPr>
                <w:rFonts w:asciiTheme="minorHAnsi" w:hAnsiTheme="minorHAnsi" w:eastAsiaTheme="minorEastAsia" w:cstheme="minorBidi"/>
                <w:bCs w:val="0"/>
                <w:noProof/>
                <w:sz w:val="22"/>
              </w:rPr>
              <w:tab/>
            </w:r>
            <w:r w:rsidRPr="00C71CA9" w:rsidR="00D27A5C">
              <w:rPr>
                <w:rStyle w:val="Hyperlink"/>
                <w:noProof/>
              </w:rPr>
              <w:t>Operational Consolidation of East Pasadena Service Area with Cal</w:t>
            </w:r>
            <w:r w:rsidRPr="00C71CA9" w:rsidR="00D27A5C">
              <w:rPr>
                <w:rStyle w:val="Hyperlink"/>
                <w:noProof/>
              </w:rPr>
              <w:noBreakHyphen/>
              <w:t>Am’s Existing Service Area</w:t>
            </w:r>
            <w:r w:rsidR="00D27A5C">
              <w:rPr>
                <w:noProof/>
                <w:webHidden/>
              </w:rPr>
              <w:tab/>
            </w:r>
            <w:r w:rsidR="00D27A5C">
              <w:rPr>
                <w:noProof/>
                <w:webHidden/>
              </w:rPr>
              <w:fldChar w:fldCharType="begin"/>
            </w:r>
            <w:r w:rsidR="00D27A5C">
              <w:rPr>
                <w:noProof/>
                <w:webHidden/>
              </w:rPr>
              <w:instrText xml:space="preserve"> PAGEREF _Toc76995769 \h </w:instrText>
            </w:r>
            <w:r w:rsidR="00D27A5C">
              <w:rPr>
                <w:noProof/>
                <w:webHidden/>
              </w:rPr>
            </w:r>
            <w:r w:rsidR="00D27A5C">
              <w:rPr>
                <w:noProof/>
                <w:webHidden/>
              </w:rPr>
              <w:fldChar w:fldCharType="separate"/>
            </w:r>
            <w:r w:rsidR="00506E52">
              <w:rPr>
                <w:noProof/>
                <w:webHidden/>
              </w:rPr>
              <w:t>25</w:t>
            </w:r>
            <w:r w:rsidR="00D27A5C">
              <w:rPr>
                <w:noProof/>
                <w:webHidden/>
              </w:rPr>
              <w:fldChar w:fldCharType="end"/>
            </w:r>
          </w:hyperlink>
        </w:p>
        <w:p w:rsidR="00D27A5C" w:rsidP="00F32A33" w:rsidRDefault="00667333" w14:paraId="675B6E79" w14:textId="6E0B0886">
          <w:pPr>
            <w:pStyle w:val="TOC2"/>
            <w:tabs>
              <w:tab w:val="right" w:leader="dot" w:pos="9350"/>
            </w:tabs>
            <w:ind w:left="1080" w:hanging="630"/>
            <w:rPr>
              <w:rFonts w:asciiTheme="minorHAnsi" w:hAnsiTheme="minorHAnsi" w:eastAsiaTheme="minorEastAsia" w:cstheme="minorBidi"/>
              <w:bCs w:val="0"/>
              <w:noProof/>
              <w:sz w:val="22"/>
            </w:rPr>
          </w:pPr>
          <w:hyperlink w:history="1" w:anchor="_Toc76995770">
            <w:r w:rsidRPr="00C71CA9" w:rsidR="00D27A5C">
              <w:rPr>
                <w:rStyle w:val="Hyperlink"/>
                <w:noProof/>
              </w:rPr>
              <w:t>4.5.</w:t>
            </w:r>
            <w:r w:rsidR="00D27A5C">
              <w:rPr>
                <w:rFonts w:asciiTheme="minorHAnsi" w:hAnsiTheme="minorHAnsi" w:eastAsiaTheme="minorEastAsia" w:cstheme="minorBidi"/>
                <w:bCs w:val="0"/>
                <w:noProof/>
                <w:sz w:val="22"/>
              </w:rPr>
              <w:tab/>
            </w:r>
            <w:r w:rsidRPr="00C71CA9" w:rsidR="00D27A5C">
              <w:rPr>
                <w:rStyle w:val="Hyperlink"/>
                <w:noProof/>
              </w:rPr>
              <w:t xml:space="preserve">Certain Specific Gain-On-Sale Rules are Not Applicable to </w:t>
            </w:r>
            <w:r w:rsidR="00F32A33">
              <w:rPr>
                <w:rStyle w:val="Hyperlink"/>
                <w:noProof/>
              </w:rPr>
              <w:br/>
            </w:r>
            <w:r w:rsidRPr="00C71CA9" w:rsidR="00D27A5C">
              <w:rPr>
                <w:rStyle w:val="Hyperlink"/>
                <w:noProof/>
              </w:rPr>
              <w:t>the Proposed Transaction</w:t>
            </w:r>
            <w:r w:rsidR="00D27A5C">
              <w:rPr>
                <w:noProof/>
                <w:webHidden/>
              </w:rPr>
              <w:tab/>
            </w:r>
            <w:r w:rsidR="00D27A5C">
              <w:rPr>
                <w:noProof/>
                <w:webHidden/>
              </w:rPr>
              <w:fldChar w:fldCharType="begin"/>
            </w:r>
            <w:r w:rsidR="00D27A5C">
              <w:rPr>
                <w:noProof/>
                <w:webHidden/>
              </w:rPr>
              <w:instrText xml:space="preserve"> PAGEREF _Toc76995770 \h </w:instrText>
            </w:r>
            <w:r w:rsidR="00D27A5C">
              <w:rPr>
                <w:noProof/>
                <w:webHidden/>
              </w:rPr>
            </w:r>
            <w:r w:rsidR="00D27A5C">
              <w:rPr>
                <w:noProof/>
                <w:webHidden/>
              </w:rPr>
              <w:fldChar w:fldCharType="separate"/>
            </w:r>
            <w:r w:rsidR="00506E52">
              <w:rPr>
                <w:noProof/>
                <w:webHidden/>
              </w:rPr>
              <w:t>26</w:t>
            </w:r>
            <w:r w:rsidR="00D27A5C">
              <w:rPr>
                <w:noProof/>
                <w:webHidden/>
              </w:rPr>
              <w:fldChar w:fldCharType="end"/>
            </w:r>
          </w:hyperlink>
        </w:p>
        <w:p w:rsidR="00D27A5C" w:rsidP="00F32A33" w:rsidRDefault="00667333" w14:paraId="39AA09EC" w14:textId="2F2E4B96">
          <w:pPr>
            <w:pStyle w:val="TOC2"/>
            <w:tabs>
              <w:tab w:val="right" w:leader="dot" w:pos="9350"/>
            </w:tabs>
            <w:ind w:left="1080" w:hanging="630"/>
            <w:rPr>
              <w:rFonts w:asciiTheme="minorHAnsi" w:hAnsiTheme="minorHAnsi" w:eastAsiaTheme="minorEastAsia" w:cstheme="minorBidi"/>
              <w:bCs w:val="0"/>
              <w:noProof/>
              <w:sz w:val="22"/>
            </w:rPr>
          </w:pPr>
          <w:hyperlink w:history="1" w:anchor="_Toc76995771">
            <w:r w:rsidRPr="00C71CA9" w:rsidR="00D27A5C">
              <w:rPr>
                <w:rStyle w:val="Hyperlink"/>
                <w:noProof/>
              </w:rPr>
              <w:t>4.6.</w:t>
            </w:r>
            <w:r w:rsidR="00D27A5C">
              <w:rPr>
                <w:rFonts w:asciiTheme="minorHAnsi" w:hAnsiTheme="minorHAnsi" w:eastAsiaTheme="minorEastAsia" w:cstheme="minorBidi"/>
                <w:bCs w:val="0"/>
                <w:noProof/>
                <w:sz w:val="22"/>
              </w:rPr>
              <w:tab/>
            </w:r>
            <w:r w:rsidRPr="00C71CA9" w:rsidR="00D27A5C">
              <w:rPr>
                <w:rStyle w:val="Hyperlink"/>
                <w:noProof/>
              </w:rPr>
              <w:t>The Proposed Transaction is in the Public Interest</w:t>
            </w:r>
            <w:r w:rsidR="00D27A5C">
              <w:rPr>
                <w:noProof/>
                <w:webHidden/>
              </w:rPr>
              <w:tab/>
            </w:r>
            <w:r w:rsidR="00D27A5C">
              <w:rPr>
                <w:noProof/>
                <w:webHidden/>
              </w:rPr>
              <w:fldChar w:fldCharType="begin"/>
            </w:r>
            <w:r w:rsidR="00D27A5C">
              <w:rPr>
                <w:noProof/>
                <w:webHidden/>
              </w:rPr>
              <w:instrText xml:space="preserve"> PAGEREF _Toc76995771 \h </w:instrText>
            </w:r>
            <w:r w:rsidR="00D27A5C">
              <w:rPr>
                <w:noProof/>
                <w:webHidden/>
              </w:rPr>
            </w:r>
            <w:r w:rsidR="00D27A5C">
              <w:rPr>
                <w:noProof/>
                <w:webHidden/>
              </w:rPr>
              <w:fldChar w:fldCharType="separate"/>
            </w:r>
            <w:r w:rsidR="00506E52">
              <w:rPr>
                <w:noProof/>
                <w:webHidden/>
              </w:rPr>
              <w:t>29</w:t>
            </w:r>
            <w:r w:rsidR="00D27A5C">
              <w:rPr>
                <w:noProof/>
                <w:webHidden/>
              </w:rPr>
              <w:fldChar w:fldCharType="end"/>
            </w:r>
          </w:hyperlink>
        </w:p>
        <w:p w:rsidR="00D27A5C" w:rsidP="00F32A33" w:rsidRDefault="00667333" w14:paraId="4B4B8723" w14:textId="497E92E4">
          <w:pPr>
            <w:pStyle w:val="TOC2"/>
            <w:tabs>
              <w:tab w:val="right" w:leader="dot" w:pos="9350"/>
            </w:tabs>
            <w:ind w:left="1080" w:hanging="630"/>
            <w:rPr>
              <w:rFonts w:asciiTheme="minorHAnsi" w:hAnsiTheme="minorHAnsi" w:eastAsiaTheme="minorEastAsia" w:cstheme="minorBidi"/>
              <w:bCs w:val="0"/>
              <w:noProof/>
              <w:sz w:val="22"/>
            </w:rPr>
          </w:pPr>
          <w:hyperlink w:history="1" w:anchor="_Toc76995772">
            <w:r w:rsidRPr="00C71CA9" w:rsidR="00D27A5C">
              <w:rPr>
                <w:rStyle w:val="Hyperlink"/>
                <w:rFonts w:eastAsia="Book Antiqua"/>
                <w:noProof/>
              </w:rPr>
              <w:t>4.7.</w:t>
            </w:r>
            <w:r w:rsidR="00D27A5C">
              <w:rPr>
                <w:rFonts w:asciiTheme="minorHAnsi" w:hAnsiTheme="minorHAnsi" w:eastAsiaTheme="minorEastAsia" w:cstheme="minorBidi"/>
                <w:bCs w:val="0"/>
                <w:noProof/>
                <w:sz w:val="22"/>
              </w:rPr>
              <w:tab/>
            </w:r>
            <w:r w:rsidRPr="00C71CA9" w:rsidR="00D27A5C">
              <w:rPr>
                <w:rStyle w:val="Hyperlink"/>
                <w:noProof/>
              </w:rPr>
              <w:t>New and Modified Memorandum Accounts</w:t>
            </w:r>
            <w:r w:rsidR="00D27A5C">
              <w:rPr>
                <w:noProof/>
                <w:webHidden/>
              </w:rPr>
              <w:tab/>
            </w:r>
            <w:r w:rsidR="00D27A5C">
              <w:rPr>
                <w:noProof/>
                <w:webHidden/>
              </w:rPr>
              <w:fldChar w:fldCharType="begin"/>
            </w:r>
            <w:r w:rsidR="00D27A5C">
              <w:rPr>
                <w:noProof/>
                <w:webHidden/>
              </w:rPr>
              <w:instrText xml:space="preserve"> PAGEREF _Toc76995772 \h </w:instrText>
            </w:r>
            <w:r w:rsidR="00D27A5C">
              <w:rPr>
                <w:noProof/>
                <w:webHidden/>
              </w:rPr>
            </w:r>
            <w:r w:rsidR="00D27A5C">
              <w:rPr>
                <w:noProof/>
                <w:webHidden/>
              </w:rPr>
              <w:fldChar w:fldCharType="separate"/>
            </w:r>
            <w:r w:rsidR="00506E52">
              <w:rPr>
                <w:noProof/>
                <w:webHidden/>
              </w:rPr>
              <w:t>32</w:t>
            </w:r>
            <w:r w:rsidR="00D27A5C">
              <w:rPr>
                <w:noProof/>
                <w:webHidden/>
              </w:rPr>
              <w:fldChar w:fldCharType="end"/>
            </w:r>
          </w:hyperlink>
        </w:p>
        <w:p w:rsidRPr="00F32A33" w:rsidR="00D27A5C" w:rsidP="00F32A33" w:rsidRDefault="00667333" w14:paraId="2B8C32D7" w14:textId="093EEF82">
          <w:pPr>
            <w:pStyle w:val="TOC2"/>
            <w:tabs>
              <w:tab w:val="right" w:leader="dot" w:pos="9350"/>
            </w:tabs>
            <w:ind w:left="1890" w:hanging="810"/>
            <w:rPr>
              <w:rFonts w:asciiTheme="minorHAnsi" w:hAnsiTheme="minorHAnsi" w:eastAsiaTheme="minorEastAsia" w:cstheme="minorBidi"/>
              <w:bCs w:val="0"/>
              <w:noProof/>
              <w:sz w:val="22"/>
            </w:rPr>
          </w:pPr>
          <w:hyperlink w:history="1" w:anchor="_Toc76995773">
            <w:r w:rsidRPr="00C71CA9" w:rsidR="00D27A5C">
              <w:rPr>
                <w:rStyle w:val="Hyperlink"/>
                <w:noProof/>
              </w:rPr>
              <w:t>4.7.1.</w:t>
            </w:r>
            <w:r w:rsidR="00D27A5C">
              <w:rPr>
                <w:rFonts w:asciiTheme="minorHAnsi" w:hAnsiTheme="minorHAnsi" w:eastAsiaTheme="minorEastAsia" w:cstheme="minorBidi"/>
                <w:noProof/>
                <w:sz w:val="22"/>
              </w:rPr>
              <w:tab/>
            </w:r>
            <w:r w:rsidRPr="00C71CA9" w:rsidR="00D27A5C">
              <w:rPr>
                <w:rStyle w:val="Hyperlink"/>
                <w:noProof/>
              </w:rPr>
              <w:t xml:space="preserve">The East Pasadena Acquisition Contingency Memorandum </w:t>
            </w:r>
            <w:r w:rsidR="00F32A33">
              <w:rPr>
                <w:rStyle w:val="Hyperlink"/>
                <w:noProof/>
              </w:rPr>
              <w:br/>
            </w:r>
            <w:r w:rsidRPr="00C71CA9" w:rsidR="00D27A5C">
              <w:rPr>
                <w:rStyle w:val="Hyperlink"/>
                <w:noProof/>
              </w:rPr>
              <w:t>Account</w:t>
            </w:r>
            <w:r w:rsidR="00D27A5C">
              <w:rPr>
                <w:noProof/>
                <w:webHidden/>
              </w:rPr>
              <w:tab/>
            </w:r>
            <w:r w:rsidR="00D27A5C">
              <w:rPr>
                <w:noProof/>
                <w:webHidden/>
              </w:rPr>
              <w:fldChar w:fldCharType="begin"/>
            </w:r>
            <w:r w:rsidR="00D27A5C">
              <w:rPr>
                <w:noProof/>
                <w:webHidden/>
              </w:rPr>
              <w:instrText xml:space="preserve"> PAGEREF _Toc76995773 \h </w:instrText>
            </w:r>
            <w:r w:rsidR="00D27A5C">
              <w:rPr>
                <w:noProof/>
                <w:webHidden/>
              </w:rPr>
            </w:r>
            <w:r w:rsidR="00D27A5C">
              <w:rPr>
                <w:noProof/>
                <w:webHidden/>
              </w:rPr>
              <w:fldChar w:fldCharType="separate"/>
            </w:r>
            <w:r w:rsidR="00506E52">
              <w:rPr>
                <w:noProof/>
                <w:webHidden/>
              </w:rPr>
              <w:t>33</w:t>
            </w:r>
            <w:r w:rsidR="00D27A5C">
              <w:rPr>
                <w:noProof/>
                <w:webHidden/>
              </w:rPr>
              <w:fldChar w:fldCharType="end"/>
            </w:r>
          </w:hyperlink>
        </w:p>
        <w:p w:rsidRPr="00F32A33" w:rsidR="00D27A5C" w:rsidP="00F32A33" w:rsidRDefault="00667333" w14:paraId="3C8735E0" w14:textId="0F3736F3">
          <w:pPr>
            <w:pStyle w:val="TOC2"/>
            <w:tabs>
              <w:tab w:val="right" w:leader="dot" w:pos="9350"/>
            </w:tabs>
            <w:ind w:left="1890" w:hanging="810"/>
            <w:rPr>
              <w:rFonts w:asciiTheme="minorHAnsi" w:hAnsiTheme="minorHAnsi" w:eastAsiaTheme="minorEastAsia" w:cstheme="minorBidi"/>
              <w:bCs w:val="0"/>
              <w:noProof/>
              <w:sz w:val="22"/>
            </w:rPr>
          </w:pPr>
          <w:hyperlink w:history="1" w:anchor="_Toc76995774">
            <w:r w:rsidRPr="00C71CA9" w:rsidR="00D27A5C">
              <w:rPr>
                <w:rStyle w:val="Hyperlink"/>
                <w:noProof/>
              </w:rPr>
              <w:t>4.7.2.</w:t>
            </w:r>
            <w:r w:rsidR="00D27A5C">
              <w:rPr>
                <w:rFonts w:asciiTheme="minorHAnsi" w:hAnsiTheme="minorHAnsi" w:eastAsiaTheme="minorEastAsia" w:cstheme="minorBidi"/>
                <w:noProof/>
                <w:sz w:val="22"/>
              </w:rPr>
              <w:tab/>
            </w:r>
            <w:r w:rsidRPr="00C71CA9" w:rsidR="00D27A5C">
              <w:rPr>
                <w:rStyle w:val="Hyperlink"/>
                <w:noProof/>
              </w:rPr>
              <w:t>The East Pasadena Transaction Cost Memorandum Account</w:t>
            </w:r>
            <w:r w:rsidR="00D27A5C">
              <w:rPr>
                <w:noProof/>
                <w:webHidden/>
              </w:rPr>
              <w:tab/>
            </w:r>
            <w:r w:rsidR="00D27A5C">
              <w:rPr>
                <w:noProof/>
                <w:webHidden/>
              </w:rPr>
              <w:fldChar w:fldCharType="begin"/>
            </w:r>
            <w:r w:rsidR="00D27A5C">
              <w:rPr>
                <w:noProof/>
                <w:webHidden/>
              </w:rPr>
              <w:instrText xml:space="preserve"> PAGEREF _Toc76995774 \h </w:instrText>
            </w:r>
            <w:r w:rsidR="00D27A5C">
              <w:rPr>
                <w:noProof/>
                <w:webHidden/>
              </w:rPr>
            </w:r>
            <w:r w:rsidR="00D27A5C">
              <w:rPr>
                <w:noProof/>
                <w:webHidden/>
              </w:rPr>
              <w:fldChar w:fldCharType="separate"/>
            </w:r>
            <w:r w:rsidR="00506E52">
              <w:rPr>
                <w:noProof/>
                <w:webHidden/>
              </w:rPr>
              <w:t>34</w:t>
            </w:r>
            <w:r w:rsidR="00D27A5C">
              <w:rPr>
                <w:noProof/>
                <w:webHidden/>
              </w:rPr>
              <w:fldChar w:fldCharType="end"/>
            </w:r>
          </w:hyperlink>
        </w:p>
        <w:p w:rsidRPr="00F32A33" w:rsidR="00D27A5C" w:rsidP="00F32A33" w:rsidRDefault="00667333" w14:paraId="2A2AAF10" w14:textId="099B161F">
          <w:pPr>
            <w:pStyle w:val="TOC2"/>
            <w:tabs>
              <w:tab w:val="right" w:leader="dot" w:pos="9350"/>
            </w:tabs>
            <w:ind w:left="1890" w:hanging="810"/>
            <w:rPr>
              <w:rFonts w:asciiTheme="minorHAnsi" w:hAnsiTheme="minorHAnsi" w:eastAsiaTheme="minorEastAsia" w:cstheme="minorBidi"/>
              <w:bCs w:val="0"/>
              <w:noProof/>
              <w:sz w:val="22"/>
            </w:rPr>
          </w:pPr>
          <w:hyperlink w:history="1" w:anchor="_Toc76995775">
            <w:r w:rsidRPr="00C71CA9" w:rsidR="00D27A5C">
              <w:rPr>
                <w:rStyle w:val="Hyperlink"/>
                <w:noProof/>
              </w:rPr>
              <w:t>4.7.3.</w:t>
            </w:r>
            <w:r w:rsidR="00D27A5C">
              <w:rPr>
                <w:rFonts w:asciiTheme="minorHAnsi" w:hAnsiTheme="minorHAnsi" w:eastAsiaTheme="minorEastAsia" w:cstheme="minorBidi"/>
                <w:noProof/>
                <w:sz w:val="22"/>
              </w:rPr>
              <w:tab/>
            </w:r>
            <w:r w:rsidRPr="00C71CA9" w:rsidR="00D27A5C">
              <w:rPr>
                <w:rStyle w:val="Hyperlink"/>
                <w:noProof/>
              </w:rPr>
              <w:t xml:space="preserve">Inclusion of East Pasadena in the Existing Memorandum </w:t>
            </w:r>
            <w:r w:rsidR="00F32A33">
              <w:rPr>
                <w:rStyle w:val="Hyperlink"/>
                <w:noProof/>
              </w:rPr>
              <w:br/>
            </w:r>
            <w:r w:rsidRPr="00C71CA9" w:rsidR="00D27A5C">
              <w:rPr>
                <w:rStyle w:val="Hyperlink"/>
                <w:noProof/>
              </w:rPr>
              <w:t xml:space="preserve">Account for Environmental Improvements and Compliance </w:t>
            </w:r>
            <w:r w:rsidR="00F32A33">
              <w:rPr>
                <w:rStyle w:val="Hyperlink"/>
                <w:noProof/>
              </w:rPr>
              <w:br/>
            </w:r>
            <w:r w:rsidRPr="00C71CA9" w:rsidR="00D27A5C">
              <w:rPr>
                <w:rStyle w:val="Hyperlink"/>
                <w:noProof/>
              </w:rPr>
              <w:t>Issues for Acquisitions</w:t>
            </w:r>
            <w:r w:rsidR="00D27A5C">
              <w:rPr>
                <w:noProof/>
                <w:webHidden/>
              </w:rPr>
              <w:tab/>
            </w:r>
            <w:r w:rsidR="00D27A5C">
              <w:rPr>
                <w:noProof/>
                <w:webHidden/>
              </w:rPr>
              <w:fldChar w:fldCharType="begin"/>
            </w:r>
            <w:r w:rsidR="00D27A5C">
              <w:rPr>
                <w:noProof/>
                <w:webHidden/>
              </w:rPr>
              <w:instrText xml:space="preserve"> PAGEREF _Toc76995775 \h </w:instrText>
            </w:r>
            <w:r w:rsidR="00D27A5C">
              <w:rPr>
                <w:noProof/>
                <w:webHidden/>
              </w:rPr>
            </w:r>
            <w:r w:rsidR="00D27A5C">
              <w:rPr>
                <w:noProof/>
                <w:webHidden/>
              </w:rPr>
              <w:fldChar w:fldCharType="separate"/>
            </w:r>
            <w:r w:rsidR="00506E52">
              <w:rPr>
                <w:noProof/>
                <w:webHidden/>
              </w:rPr>
              <w:t>36</w:t>
            </w:r>
            <w:r w:rsidR="00D27A5C">
              <w:rPr>
                <w:noProof/>
                <w:webHidden/>
              </w:rPr>
              <w:fldChar w:fldCharType="end"/>
            </w:r>
          </w:hyperlink>
        </w:p>
        <w:p w:rsidR="00D27A5C" w:rsidRDefault="00667333" w14:paraId="428AC6BD" w14:textId="5FA573BD">
          <w:pPr>
            <w:pStyle w:val="TOC1"/>
            <w:tabs>
              <w:tab w:val="right" w:leader="dot" w:pos="9350"/>
            </w:tabs>
            <w:rPr>
              <w:rFonts w:asciiTheme="minorHAnsi" w:hAnsiTheme="minorHAnsi" w:eastAsiaTheme="minorEastAsia" w:cstheme="minorBidi"/>
              <w:bCs w:val="0"/>
              <w:iCs w:val="0"/>
              <w:noProof/>
              <w:sz w:val="22"/>
              <w:szCs w:val="22"/>
            </w:rPr>
          </w:pPr>
          <w:hyperlink w:history="1" w:anchor="_Toc76995776">
            <w:r w:rsidRPr="00C71CA9" w:rsidR="00D27A5C">
              <w:rPr>
                <w:rStyle w:val="Hyperlink"/>
                <w:noProof/>
              </w:rPr>
              <w:t>5.</w:t>
            </w:r>
            <w:r w:rsidR="00D27A5C">
              <w:rPr>
                <w:rFonts w:asciiTheme="minorHAnsi" w:hAnsiTheme="minorHAnsi" w:eastAsiaTheme="minorEastAsia" w:cstheme="minorBidi"/>
                <w:bCs w:val="0"/>
                <w:iCs w:val="0"/>
                <w:noProof/>
                <w:sz w:val="22"/>
                <w:szCs w:val="22"/>
              </w:rPr>
              <w:tab/>
            </w:r>
            <w:r w:rsidRPr="00C71CA9" w:rsidR="00D27A5C">
              <w:rPr>
                <w:rStyle w:val="Hyperlink"/>
                <w:noProof/>
              </w:rPr>
              <w:t>Interim Rate Relief Until the Next GRC</w:t>
            </w:r>
            <w:r w:rsidR="00D27A5C">
              <w:rPr>
                <w:noProof/>
                <w:webHidden/>
              </w:rPr>
              <w:tab/>
            </w:r>
            <w:r w:rsidR="00D27A5C">
              <w:rPr>
                <w:noProof/>
                <w:webHidden/>
              </w:rPr>
              <w:fldChar w:fldCharType="begin"/>
            </w:r>
            <w:r w:rsidR="00D27A5C">
              <w:rPr>
                <w:noProof/>
                <w:webHidden/>
              </w:rPr>
              <w:instrText xml:space="preserve"> PAGEREF _Toc76995776 \h </w:instrText>
            </w:r>
            <w:r w:rsidR="00D27A5C">
              <w:rPr>
                <w:noProof/>
                <w:webHidden/>
              </w:rPr>
            </w:r>
            <w:r w:rsidR="00D27A5C">
              <w:rPr>
                <w:noProof/>
                <w:webHidden/>
              </w:rPr>
              <w:fldChar w:fldCharType="separate"/>
            </w:r>
            <w:r w:rsidR="00506E52">
              <w:rPr>
                <w:noProof/>
                <w:webHidden/>
              </w:rPr>
              <w:t>36</w:t>
            </w:r>
            <w:r w:rsidR="00D27A5C">
              <w:rPr>
                <w:noProof/>
                <w:webHidden/>
              </w:rPr>
              <w:fldChar w:fldCharType="end"/>
            </w:r>
          </w:hyperlink>
        </w:p>
        <w:p w:rsidR="00D27A5C" w:rsidRDefault="00667333" w14:paraId="60F716E7" w14:textId="547FDA92">
          <w:pPr>
            <w:pStyle w:val="TOC1"/>
            <w:tabs>
              <w:tab w:val="right" w:leader="dot" w:pos="9350"/>
            </w:tabs>
            <w:rPr>
              <w:rFonts w:asciiTheme="minorHAnsi" w:hAnsiTheme="minorHAnsi" w:eastAsiaTheme="minorEastAsia" w:cstheme="minorBidi"/>
              <w:bCs w:val="0"/>
              <w:iCs w:val="0"/>
              <w:noProof/>
              <w:sz w:val="22"/>
              <w:szCs w:val="22"/>
            </w:rPr>
          </w:pPr>
          <w:hyperlink w:history="1" w:anchor="_Toc76995777">
            <w:r w:rsidRPr="00C71CA9" w:rsidR="00D27A5C">
              <w:rPr>
                <w:rStyle w:val="Hyperlink"/>
                <w:noProof/>
              </w:rPr>
              <w:t>6.</w:t>
            </w:r>
            <w:r w:rsidR="00D27A5C">
              <w:rPr>
                <w:rFonts w:asciiTheme="minorHAnsi" w:hAnsiTheme="minorHAnsi" w:eastAsiaTheme="minorEastAsia" w:cstheme="minorBidi"/>
                <w:bCs w:val="0"/>
                <w:iCs w:val="0"/>
                <w:noProof/>
                <w:sz w:val="22"/>
                <w:szCs w:val="22"/>
              </w:rPr>
              <w:tab/>
            </w:r>
            <w:r w:rsidRPr="00C71CA9" w:rsidR="00D27A5C">
              <w:rPr>
                <w:rStyle w:val="Hyperlink"/>
                <w:noProof/>
              </w:rPr>
              <w:t>Certificate of Public</w:t>
            </w:r>
            <w:r w:rsidRPr="00C71CA9" w:rsidR="00D27A5C">
              <w:rPr>
                <w:rStyle w:val="Hyperlink"/>
                <w:rFonts w:cs="Arial"/>
                <w:noProof/>
              </w:rPr>
              <w:t xml:space="preserve"> Convenience and Necessity</w:t>
            </w:r>
            <w:r w:rsidR="00D27A5C">
              <w:rPr>
                <w:noProof/>
                <w:webHidden/>
              </w:rPr>
              <w:tab/>
            </w:r>
            <w:r w:rsidR="00D27A5C">
              <w:rPr>
                <w:noProof/>
                <w:webHidden/>
              </w:rPr>
              <w:fldChar w:fldCharType="begin"/>
            </w:r>
            <w:r w:rsidR="00D27A5C">
              <w:rPr>
                <w:noProof/>
                <w:webHidden/>
              </w:rPr>
              <w:instrText xml:space="preserve"> PAGEREF _Toc76995777 \h </w:instrText>
            </w:r>
            <w:r w:rsidR="00D27A5C">
              <w:rPr>
                <w:noProof/>
                <w:webHidden/>
              </w:rPr>
            </w:r>
            <w:r w:rsidR="00D27A5C">
              <w:rPr>
                <w:noProof/>
                <w:webHidden/>
              </w:rPr>
              <w:fldChar w:fldCharType="separate"/>
            </w:r>
            <w:r w:rsidR="00506E52">
              <w:rPr>
                <w:noProof/>
                <w:webHidden/>
              </w:rPr>
              <w:t>37</w:t>
            </w:r>
            <w:r w:rsidR="00D27A5C">
              <w:rPr>
                <w:noProof/>
                <w:webHidden/>
              </w:rPr>
              <w:fldChar w:fldCharType="end"/>
            </w:r>
          </w:hyperlink>
        </w:p>
        <w:p w:rsidR="00D27A5C" w:rsidRDefault="00667333" w14:paraId="02367862" w14:textId="4006106D">
          <w:pPr>
            <w:pStyle w:val="TOC1"/>
            <w:tabs>
              <w:tab w:val="right" w:leader="dot" w:pos="9350"/>
            </w:tabs>
            <w:rPr>
              <w:rFonts w:asciiTheme="minorHAnsi" w:hAnsiTheme="minorHAnsi" w:eastAsiaTheme="minorEastAsia" w:cstheme="minorBidi"/>
              <w:bCs w:val="0"/>
              <w:iCs w:val="0"/>
              <w:noProof/>
              <w:sz w:val="22"/>
              <w:szCs w:val="22"/>
            </w:rPr>
          </w:pPr>
          <w:hyperlink w:history="1" w:anchor="_Toc76995778">
            <w:r w:rsidRPr="00C71CA9" w:rsidR="00D27A5C">
              <w:rPr>
                <w:rStyle w:val="Hyperlink"/>
                <w:noProof/>
              </w:rPr>
              <w:t>7.</w:t>
            </w:r>
            <w:r w:rsidR="00D27A5C">
              <w:rPr>
                <w:rFonts w:asciiTheme="minorHAnsi" w:hAnsiTheme="minorHAnsi" w:eastAsiaTheme="minorEastAsia" w:cstheme="minorBidi"/>
                <w:bCs w:val="0"/>
                <w:iCs w:val="0"/>
                <w:noProof/>
                <w:sz w:val="22"/>
                <w:szCs w:val="22"/>
              </w:rPr>
              <w:tab/>
            </w:r>
            <w:r w:rsidRPr="00C71CA9" w:rsidR="00D27A5C">
              <w:rPr>
                <w:rStyle w:val="Hyperlink"/>
                <w:noProof/>
              </w:rPr>
              <w:t>The California Environmental Quality Act</w:t>
            </w:r>
            <w:r w:rsidR="00D27A5C">
              <w:rPr>
                <w:noProof/>
                <w:webHidden/>
              </w:rPr>
              <w:tab/>
            </w:r>
            <w:r w:rsidR="00D27A5C">
              <w:rPr>
                <w:noProof/>
                <w:webHidden/>
              </w:rPr>
              <w:fldChar w:fldCharType="begin"/>
            </w:r>
            <w:r w:rsidR="00D27A5C">
              <w:rPr>
                <w:noProof/>
                <w:webHidden/>
              </w:rPr>
              <w:instrText xml:space="preserve"> PAGEREF _Toc76995778 \h </w:instrText>
            </w:r>
            <w:r w:rsidR="00D27A5C">
              <w:rPr>
                <w:noProof/>
                <w:webHidden/>
              </w:rPr>
            </w:r>
            <w:r w:rsidR="00D27A5C">
              <w:rPr>
                <w:noProof/>
                <w:webHidden/>
              </w:rPr>
              <w:fldChar w:fldCharType="separate"/>
            </w:r>
            <w:r w:rsidR="00506E52">
              <w:rPr>
                <w:noProof/>
                <w:webHidden/>
              </w:rPr>
              <w:t>37</w:t>
            </w:r>
            <w:r w:rsidR="00D27A5C">
              <w:rPr>
                <w:noProof/>
                <w:webHidden/>
              </w:rPr>
              <w:fldChar w:fldCharType="end"/>
            </w:r>
          </w:hyperlink>
        </w:p>
        <w:p w:rsidR="00D27A5C" w:rsidRDefault="00667333" w14:paraId="7EB5009E" w14:textId="51688C6D">
          <w:pPr>
            <w:pStyle w:val="TOC1"/>
            <w:tabs>
              <w:tab w:val="right" w:leader="dot" w:pos="9350"/>
            </w:tabs>
            <w:rPr>
              <w:rFonts w:asciiTheme="minorHAnsi" w:hAnsiTheme="minorHAnsi" w:eastAsiaTheme="minorEastAsia" w:cstheme="minorBidi"/>
              <w:bCs w:val="0"/>
              <w:iCs w:val="0"/>
              <w:noProof/>
              <w:sz w:val="22"/>
              <w:szCs w:val="22"/>
            </w:rPr>
          </w:pPr>
          <w:hyperlink w:history="1" w:anchor="_Toc76995779">
            <w:r w:rsidRPr="00C71CA9" w:rsidR="00D27A5C">
              <w:rPr>
                <w:rStyle w:val="Hyperlink"/>
                <w:noProof/>
              </w:rPr>
              <w:t>8.</w:t>
            </w:r>
            <w:r w:rsidR="00D27A5C">
              <w:rPr>
                <w:rFonts w:asciiTheme="minorHAnsi" w:hAnsiTheme="minorHAnsi" w:eastAsiaTheme="minorEastAsia" w:cstheme="minorBidi"/>
                <w:bCs w:val="0"/>
                <w:iCs w:val="0"/>
                <w:noProof/>
                <w:sz w:val="22"/>
                <w:szCs w:val="22"/>
              </w:rPr>
              <w:tab/>
            </w:r>
            <w:r w:rsidRPr="00C71CA9" w:rsidR="00D27A5C">
              <w:rPr>
                <w:rStyle w:val="Hyperlink"/>
                <w:noProof/>
              </w:rPr>
              <w:t>Safety Considerations</w:t>
            </w:r>
            <w:r w:rsidR="00D27A5C">
              <w:rPr>
                <w:noProof/>
                <w:webHidden/>
              </w:rPr>
              <w:tab/>
            </w:r>
            <w:r w:rsidR="00D27A5C">
              <w:rPr>
                <w:noProof/>
                <w:webHidden/>
              </w:rPr>
              <w:fldChar w:fldCharType="begin"/>
            </w:r>
            <w:r w:rsidR="00D27A5C">
              <w:rPr>
                <w:noProof/>
                <w:webHidden/>
              </w:rPr>
              <w:instrText xml:space="preserve"> PAGEREF _Toc76995779 \h </w:instrText>
            </w:r>
            <w:r w:rsidR="00D27A5C">
              <w:rPr>
                <w:noProof/>
                <w:webHidden/>
              </w:rPr>
            </w:r>
            <w:r w:rsidR="00D27A5C">
              <w:rPr>
                <w:noProof/>
                <w:webHidden/>
              </w:rPr>
              <w:fldChar w:fldCharType="separate"/>
            </w:r>
            <w:r w:rsidR="00506E52">
              <w:rPr>
                <w:noProof/>
                <w:webHidden/>
              </w:rPr>
              <w:t>38</w:t>
            </w:r>
            <w:r w:rsidR="00D27A5C">
              <w:rPr>
                <w:noProof/>
                <w:webHidden/>
              </w:rPr>
              <w:fldChar w:fldCharType="end"/>
            </w:r>
          </w:hyperlink>
        </w:p>
        <w:p w:rsidR="00D27A5C" w:rsidRDefault="00667333" w14:paraId="00E5B660" w14:textId="1C24332F">
          <w:pPr>
            <w:pStyle w:val="TOC1"/>
            <w:tabs>
              <w:tab w:val="right" w:leader="dot" w:pos="9350"/>
            </w:tabs>
            <w:rPr>
              <w:rFonts w:asciiTheme="minorHAnsi" w:hAnsiTheme="minorHAnsi" w:eastAsiaTheme="minorEastAsia" w:cstheme="minorBidi"/>
              <w:bCs w:val="0"/>
              <w:iCs w:val="0"/>
              <w:noProof/>
              <w:sz w:val="22"/>
              <w:szCs w:val="22"/>
            </w:rPr>
          </w:pPr>
          <w:hyperlink w:history="1" w:anchor="_Toc76995780">
            <w:r w:rsidRPr="00C71CA9" w:rsidR="00D27A5C">
              <w:rPr>
                <w:rStyle w:val="Hyperlink"/>
                <w:noProof/>
              </w:rPr>
              <w:t>9.</w:t>
            </w:r>
            <w:r w:rsidR="00D27A5C">
              <w:rPr>
                <w:rFonts w:asciiTheme="minorHAnsi" w:hAnsiTheme="minorHAnsi" w:eastAsiaTheme="minorEastAsia" w:cstheme="minorBidi"/>
                <w:bCs w:val="0"/>
                <w:iCs w:val="0"/>
                <w:noProof/>
                <w:sz w:val="22"/>
                <w:szCs w:val="22"/>
              </w:rPr>
              <w:tab/>
            </w:r>
            <w:r w:rsidRPr="00C71CA9" w:rsidR="00D27A5C">
              <w:rPr>
                <w:rStyle w:val="Hyperlink"/>
                <w:noProof/>
              </w:rPr>
              <w:t>Comments on Proposed Decision</w:t>
            </w:r>
            <w:r w:rsidR="00D27A5C">
              <w:rPr>
                <w:noProof/>
                <w:webHidden/>
              </w:rPr>
              <w:tab/>
            </w:r>
            <w:r w:rsidR="00D27A5C">
              <w:rPr>
                <w:noProof/>
                <w:webHidden/>
              </w:rPr>
              <w:fldChar w:fldCharType="begin"/>
            </w:r>
            <w:r w:rsidR="00D27A5C">
              <w:rPr>
                <w:noProof/>
                <w:webHidden/>
              </w:rPr>
              <w:instrText xml:space="preserve"> PAGEREF _Toc76995780 \h </w:instrText>
            </w:r>
            <w:r w:rsidR="00D27A5C">
              <w:rPr>
                <w:noProof/>
                <w:webHidden/>
              </w:rPr>
            </w:r>
            <w:r w:rsidR="00D27A5C">
              <w:rPr>
                <w:noProof/>
                <w:webHidden/>
              </w:rPr>
              <w:fldChar w:fldCharType="separate"/>
            </w:r>
            <w:r w:rsidR="00506E52">
              <w:rPr>
                <w:noProof/>
                <w:webHidden/>
              </w:rPr>
              <w:t>38</w:t>
            </w:r>
            <w:r w:rsidR="00D27A5C">
              <w:rPr>
                <w:noProof/>
                <w:webHidden/>
              </w:rPr>
              <w:fldChar w:fldCharType="end"/>
            </w:r>
          </w:hyperlink>
        </w:p>
        <w:p w:rsidR="00D27A5C" w:rsidRDefault="00667333" w14:paraId="07922691" w14:textId="4BC19D6C">
          <w:pPr>
            <w:pStyle w:val="TOC1"/>
            <w:tabs>
              <w:tab w:val="right" w:leader="dot" w:pos="9350"/>
            </w:tabs>
            <w:rPr>
              <w:rFonts w:asciiTheme="minorHAnsi" w:hAnsiTheme="minorHAnsi" w:eastAsiaTheme="minorEastAsia" w:cstheme="minorBidi"/>
              <w:bCs w:val="0"/>
              <w:iCs w:val="0"/>
              <w:noProof/>
              <w:sz w:val="22"/>
              <w:szCs w:val="22"/>
            </w:rPr>
          </w:pPr>
          <w:hyperlink w:history="1" w:anchor="_Toc76995781">
            <w:r w:rsidRPr="00C71CA9" w:rsidR="00D27A5C">
              <w:rPr>
                <w:rStyle w:val="Hyperlink"/>
                <w:noProof/>
              </w:rPr>
              <w:t>10.</w:t>
            </w:r>
            <w:r w:rsidR="00D27A5C">
              <w:rPr>
                <w:rFonts w:asciiTheme="minorHAnsi" w:hAnsiTheme="minorHAnsi" w:eastAsiaTheme="minorEastAsia" w:cstheme="minorBidi"/>
                <w:bCs w:val="0"/>
                <w:iCs w:val="0"/>
                <w:noProof/>
                <w:sz w:val="22"/>
                <w:szCs w:val="22"/>
              </w:rPr>
              <w:tab/>
            </w:r>
            <w:r w:rsidRPr="00C71CA9" w:rsidR="00D27A5C">
              <w:rPr>
                <w:rStyle w:val="Hyperlink"/>
                <w:noProof/>
              </w:rPr>
              <w:t>Assignment of Proceeding</w:t>
            </w:r>
            <w:r w:rsidR="00D27A5C">
              <w:rPr>
                <w:noProof/>
                <w:webHidden/>
              </w:rPr>
              <w:tab/>
            </w:r>
            <w:r w:rsidR="00D27A5C">
              <w:rPr>
                <w:noProof/>
                <w:webHidden/>
              </w:rPr>
              <w:fldChar w:fldCharType="begin"/>
            </w:r>
            <w:r w:rsidR="00D27A5C">
              <w:rPr>
                <w:noProof/>
                <w:webHidden/>
              </w:rPr>
              <w:instrText xml:space="preserve"> PAGEREF _Toc76995781 \h </w:instrText>
            </w:r>
            <w:r w:rsidR="00D27A5C">
              <w:rPr>
                <w:noProof/>
                <w:webHidden/>
              </w:rPr>
            </w:r>
            <w:r w:rsidR="00D27A5C">
              <w:rPr>
                <w:noProof/>
                <w:webHidden/>
              </w:rPr>
              <w:fldChar w:fldCharType="separate"/>
            </w:r>
            <w:r w:rsidR="00506E52">
              <w:rPr>
                <w:noProof/>
                <w:webHidden/>
              </w:rPr>
              <w:t>39</w:t>
            </w:r>
            <w:r w:rsidR="00D27A5C">
              <w:rPr>
                <w:noProof/>
                <w:webHidden/>
              </w:rPr>
              <w:fldChar w:fldCharType="end"/>
            </w:r>
          </w:hyperlink>
        </w:p>
        <w:p w:rsidR="00D27A5C" w:rsidRDefault="00667333" w14:paraId="0CDE4A2B" w14:textId="1ACB1AE4">
          <w:pPr>
            <w:pStyle w:val="TOC1"/>
            <w:tabs>
              <w:tab w:val="right" w:leader="dot" w:pos="9350"/>
            </w:tabs>
            <w:rPr>
              <w:rFonts w:asciiTheme="minorHAnsi" w:hAnsiTheme="minorHAnsi" w:eastAsiaTheme="minorEastAsia" w:cstheme="minorBidi"/>
              <w:bCs w:val="0"/>
              <w:iCs w:val="0"/>
              <w:noProof/>
              <w:sz w:val="22"/>
              <w:szCs w:val="22"/>
            </w:rPr>
          </w:pPr>
          <w:hyperlink w:history="1" w:anchor="_Toc76995782">
            <w:r w:rsidRPr="00C71CA9" w:rsidR="00D27A5C">
              <w:rPr>
                <w:rStyle w:val="Hyperlink"/>
                <w:noProof/>
              </w:rPr>
              <w:t>Findings of Fact</w:t>
            </w:r>
            <w:r w:rsidR="00D27A5C">
              <w:rPr>
                <w:noProof/>
                <w:webHidden/>
              </w:rPr>
              <w:tab/>
            </w:r>
            <w:r w:rsidR="00D27A5C">
              <w:rPr>
                <w:noProof/>
                <w:webHidden/>
              </w:rPr>
              <w:fldChar w:fldCharType="begin"/>
            </w:r>
            <w:r w:rsidR="00D27A5C">
              <w:rPr>
                <w:noProof/>
                <w:webHidden/>
              </w:rPr>
              <w:instrText xml:space="preserve"> PAGEREF _Toc76995782 \h </w:instrText>
            </w:r>
            <w:r w:rsidR="00D27A5C">
              <w:rPr>
                <w:noProof/>
                <w:webHidden/>
              </w:rPr>
            </w:r>
            <w:r w:rsidR="00D27A5C">
              <w:rPr>
                <w:noProof/>
                <w:webHidden/>
              </w:rPr>
              <w:fldChar w:fldCharType="separate"/>
            </w:r>
            <w:r w:rsidR="00506E52">
              <w:rPr>
                <w:noProof/>
                <w:webHidden/>
              </w:rPr>
              <w:t>39</w:t>
            </w:r>
            <w:r w:rsidR="00D27A5C">
              <w:rPr>
                <w:noProof/>
                <w:webHidden/>
              </w:rPr>
              <w:fldChar w:fldCharType="end"/>
            </w:r>
          </w:hyperlink>
        </w:p>
        <w:p w:rsidR="00D27A5C" w:rsidRDefault="00667333" w14:paraId="46D00928" w14:textId="53DBC19E">
          <w:pPr>
            <w:pStyle w:val="TOC1"/>
            <w:tabs>
              <w:tab w:val="right" w:leader="dot" w:pos="9350"/>
            </w:tabs>
            <w:rPr>
              <w:rFonts w:asciiTheme="minorHAnsi" w:hAnsiTheme="minorHAnsi" w:eastAsiaTheme="minorEastAsia" w:cstheme="minorBidi"/>
              <w:bCs w:val="0"/>
              <w:iCs w:val="0"/>
              <w:noProof/>
              <w:sz w:val="22"/>
              <w:szCs w:val="22"/>
            </w:rPr>
          </w:pPr>
          <w:hyperlink w:history="1" w:anchor="_Toc76995783">
            <w:r w:rsidRPr="00C71CA9" w:rsidR="00D27A5C">
              <w:rPr>
                <w:rStyle w:val="Hyperlink"/>
                <w:noProof/>
              </w:rPr>
              <w:t>Conclusions of Law</w:t>
            </w:r>
            <w:r w:rsidR="00D27A5C">
              <w:rPr>
                <w:noProof/>
                <w:webHidden/>
              </w:rPr>
              <w:tab/>
            </w:r>
            <w:r w:rsidR="00D27A5C">
              <w:rPr>
                <w:noProof/>
                <w:webHidden/>
              </w:rPr>
              <w:fldChar w:fldCharType="begin"/>
            </w:r>
            <w:r w:rsidR="00D27A5C">
              <w:rPr>
                <w:noProof/>
                <w:webHidden/>
              </w:rPr>
              <w:instrText xml:space="preserve"> PAGEREF _Toc76995783 \h </w:instrText>
            </w:r>
            <w:r w:rsidR="00D27A5C">
              <w:rPr>
                <w:noProof/>
                <w:webHidden/>
              </w:rPr>
            </w:r>
            <w:r w:rsidR="00D27A5C">
              <w:rPr>
                <w:noProof/>
                <w:webHidden/>
              </w:rPr>
              <w:fldChar w:fldCharType="separate"/>
            </w:r>
            <w:r w:rsidR="00506E52">
              <w:rPr>
                <w:noProof/>
                <w:webHidden/>
              </w:rPr>
              <w:t>42</w:t>
            </w:r>
            <w:r w:rsidR="00D27A5C">
              <w:rPr>
                <w:noProof/>
                <w:webHidden/>
              </w:rPr>
              <w:fldChar w:fldCharType="end"/>
            </w:r>
          </w:hyperlink>
        </w:p>
        <w:p w:rsidR="00D27A5C" w:rsidRDefault="00667333" w14:paraId="35FC2833" w14:textId="0836F3AA">
          <w:pPr>
            <w:pStyle w:val="TOC1"/>
            <w:tabs>
              <w:tab w:val="right" w:leader="dot" w:pos="9350"/>
            </w:tabs>
            <w:rPr>
              <w:rFonts w:asciiTheme="minorHAnsi" w:hAnsiTheme="minorHAnsi" w:eastAsiaTheme="minorEastAsia" w:cstheme="minorBidi"/>
              <w:bCs w:val="0"/>
              <w:iCs w:val="0"/>
              <w:noProof/>
              <w:sz w:val="22"/>
              <w:szCs w:val="22"/>
            </w:rPr>
          </w:pPr>
          <w:hyperlink w:history="1" w:anchor="_Toc76995784">
            <w:r w:rsidRPr="00C71CA9" w:rsidR="00D27A5C">
              <w:rPr>
                <w:rStyle w:val="Hyperlink"/>
                <w:rFonts w:cs="Arial"/>
                <w:noProof/>
              </w:rPr>
              <w:t>ORDER</w:t>
            </w:r>
            <w:r w:rsidR="00D27A5C">
              <w:rPr>
                <w:noProof/>
                <w:webHidden/>
              </w:rPr>
              <w:tab/>
            </w:r>
            <w:r w:rsidR="00D27A5C">
              <w:rPr>
                <w:noProof/>
                <w:webHidden/>
              </w:rPr>
              <w:fldChar w:fldCharType="begin"/>
            </w:r>
            <w:r w:rsidR="00D27A5C">
              <w:rPr>
                <w:noProof/>
                <w:webHidden/>
              </w:rPr>
              <w:instrText xml:space="preserve"> PAGEREF _Toc76995784 \h </w:instrText>
            </w:r>
            <w:r w:rsidR="00D27A5C">
              <w:rPr>
                <w:noProof/>
                <w:webHidden/>
              </w:rPr>
            </w:r>
            <w:r w:rsidR="00D27A5C">
              <w:rPr>
                <w:noProof/>
                <w:webHidden/>
              </w:rPr>
              <w:fldChar w:fldCharType="separate"/>
            </w:r>
            <w:r w:rsidR="00506E52">
              <w:rPr>
                <w:noProof/>
                <w:webHidden/>
              </w:rPr>
              <w:t>45</w:t>
            </w:r>
            <w:r w:rsidR="00D27A5C">
              <w:rPr>
                <w:noProof/>
                <w:webHidden/>
              </w:rPr>
              <w:fldChar w:fldCharType="end"/>
            </w:r>
          </w:hyperlink>
        </w:p>
        <w:p w:rsidR="00A102D7" w:rsidP="00CA2F55" w:rsidRDefault="00CA2F55" w14:paraId="4DA304CC" w14:textId="1303F085">
          <w:pPr>
            <w:pStyle w:val="TOC1"/>
            <w:tabs>
              <w:tab w:val="right" w:leader="dot" w:pos="9350"/>
            </w:tabs>
            <w:rPr>
              <w:szCs w:val="26"/>
            </w:rPr>
          </w:pPr>
          <w:r>
            <w:rPr>
              <w:bCs w:val="0"/>
              <w:iCs w:val="0"/>
              <w:szCs w:val="26"/>
            </w:rPr>
            <w:fldChar w:fldCharType="end"/>
          </w:r>
        </w:p>
      </w:sdtContent>
    </w:sdt>
    <w:p w:rsidR="001D1BA9" w:rsidP="001D1BA9" w:rsidRDefault="001D1BA9" w14:paraId="6BC0BEDF" w14:textId="77777777">
      <w:pPr>
        <w:tabs>
          <w:tab w:val="left" w:pos="2385"/>
        </w:tabs>
        <w:ind w:firstLine="0"/>
        <w:rPr>
          <w:szCs w:val="26"/>
        </w:rPr>
        <w:sectPr w:rsidR="001D1BA9" w:rsidSect="001D1BA9">
          <w:footerReference w:type="default" r:id="rId13"/>
          <w:headerReference w:type="first" r:id="rId14"/>
          <w:footerReference w:type="first" r:id="rId15"/>
          <w:pgSz w:w="12240" w:h="15840"/>
          <w:pgMar w:top="1728" w:right="1440" w:bottom="1440" w:left="1440" w:header="720" w:footer="720" w:gutter="0"/>
          <w:pgNumType w:fmt="lowerRoman" w:start="1"/>
          <w:cols w:space="720"/>
          <w:titlePg/>
          <w:docGrid w:linePitch="360"/>
        </w:sectPr>
      </w:pPr>
    </w:p>
    <w:p w:rsidRPr="00054EB4" w:rsidR="0098655A" w:rsidP="00591B23" w:rsidRDefault="001E6F56" w14:paraId="6F65BE76" w14:textId="1E130BBE">
      <w:pPr>
        <w:pStyle w:val="Dummy"/>
        <w:spacing w:after="240"/>
        <w:jc w:val="center"/>
      </w:pPr>
      <w:bookmarkStart w:name="_Hlk68615071" w:id="0"/>
      <w:bookmarkStart w:name="_Toc72748057" w:id="1"/>
      <w:bookmarkStart w:name="_Toc76995732" w:id="2"/>
      <w:r w:rsidRPr="00054EB4">
        <w:lastRenderedPageBreak/>
        <w:t xml:space="preserve">DECISION APPROVING </w:t>
      </w:r>
      <w:r w:rsidRPr="00054EB4" w:rsidR="006B12B3">
        <w:t xml:space="preserve">THE </w:t>
      </w:r>
      <w:r w:rsidRPr="00054EB4">
        <w:t xml:space="preserve">SALE OF EAST PASADENA </w:t>
      </w:r>
      <w:r w:rsidR="00D509EA">
        <w:br/>
      </w:r>
      <w:r w:rsidRPr="00054EB4">
        <w:t>WATER COMPANY</w:t>
      </w:r>
      <w:r w:rsidRPr="00054EB4" w:rsidR="00BE70EE">
        <w:t xml:space="preserve"> </w:t>
      </w:r>
      <w:r w:rsidRPr="00054EB4" w:rsidR="00F2431B">
        <w:t xml:space="preserve">UTILITY ASSETS </w:t>
      </w:r>
      <w:r w:rsidRPr="00054EB4" w:rsidR="00BE70EE">
        <w:t xml:space="preserve">TO CALIFORNIA-AMERICAN </w:t>
      </w:r>
      <w:r w:rsidR="00D509EA">
        <w:br/>
      </w:r>
      <w:r w:rsidRPr="00054EB4" w:rsidR="00BE70EE">
        <w:t>WATER COMPANY INC.</w:t>
      </w:r>
      <w:bookmarkEnd w:id="0"/>
      <w:bookmarkEnd w:id="1"/>
      <w:bookmarkEnd w:id="2"/>
      <w:r w:rsidRPr="00054EB4" w:rsidR="00BE70EE">
        <w:t xml:space="preserve"> </w:t>
      </w:r>
    </w:p>
    <w:p w:rsidRPr="00054EB4" w:rsidR="005A148C" w:rsidP="001D1BA9" w:rsidRDefault="005A148C" w14:paraId="2D48ADBA" w14:textId="77777777">
      <w:pPr>
        <w:pStyle w:val="Dummy"/>
      </w:pPr>
      <w:bookmarkStart w:name="_Toc8123714" w:id="3"/>
      <w:bookmarkStart w:name="_Toc72748058" w:id="4"/>
      <w:bookmarkStart w:name="_Toc76995733" w:id="5"/>
      <w:r w:rsidRPr="00054EB4">
        <w:t>Summary</w:t>
      </w:r>
      <w:bookmarkEnd w:id="3"/>
      <w:bookmarkEnd w:id="4"/>
      <w:bookmarkEnd w:id="5"/>
    </w:p>
    <w:p w:rsidRPr="0029331D" w:rsidR="00577B69" w:rsidP="00470269" w:rsidRDefault="008F654E" w14:paraId="46F48AF9" w14:textId="1B17A23C">
      <w:pPr>
        <w:pStyle w:val="Standard"/>
        <w:rPr>
          <w:rStyle w:val="standardChar"/>
          <w:rFonts w:ascii="Book Antiqua" w:hAnsi="Book Antiqua" w:eastAsia="Book Antiqua"/>
        </w:rPr>
      </w:pPr>
      <w:bookmarkStart w:name="_Hlk12883695" w:id="6"/>
      <w:r w:rsidRPr="0029331D">
        <w:t xml:space="preserve">This decision approves </w:t>
      </w:r>
      <w:r w:rsidRPr="0029331D" w:rsidR="0061029D">
        <w:t xml:space="preserve">and authorizes </w:t>
      </w:r>
      <w:r w:rsidRPr="0029331D" w:rsidR="008C2494">
        <w:t>the purchase of t</w:t>
      </w:r>
      <w:r w:rsidRPr="0029331D" w:rsidR="00061387">
        <w:t xml:space="preserve">he </w:t>
      </w:r>
      <w:r w:rsidRPr="0029331D" w:rsidR="00EC1AC1">
        <w:t xml:space="preserve">water utility assets of </w:t>
      </w:r>
      <w:r w:rsidRPr="0029331D" w:rsidR="00061387">
        <w:t>East Pasadena Water Company</w:t>
      </w:r>
      <w:r w:rsidRPr="0029331D" w:rsidR="008C2494">
        <w:t xml:space="preserve"> </w:t>
      </w:r>
      <w:r w:rsidRPr="0029331D" w:rsidR="00577B69">
        <w:t xml:space="preserve">(East Pasadena) </w:t>
      </w:r>
      <w:r w:rsidRPr="0029331D" w:rsidR="008C2494">
        <w:t xml:space="preserve">by </w:t>
      </w:r>
      <w:r w:rsidRPr="0029331D" w:rsidR="00577B69">
        <w:rPr>
          <w:rStyle w:val="standardChar"/>
          <w:rFonts w:ascii="Book Antiqua" w:hAnsi="Book Antiqua" w:eastAsia="Book Antiqua"/>
        </w:rPr>
        <w:t>California</w:t>
      </w:r>
      <w:r w:rsidRPr="0029331D" w:rsidR="009D21CD">
        <w:rPr>
          <w:rStyle w:val="standardChar"/>
          <w:rFonts w:ascii="Book Antiqua" w:hAnsi="Book Antiqua" w:eastAsia="Book Antiqua"/>
        </w:rPr>
        <w:noBreakHyphen/>
      </w:r>
      <w:r w:rsidRPr="0029331D" w:rsidR="00577B69">
        <w:rPr>
          <w:rStyle w:val="standardChar"/>
          <w:rFonts w:ascii="Book Antiqua" w:hAnsi="Book Antiqua" w:eastAsia="Book Antiqua"/>
        </w:rPr>
        <w:t>American Water Company, Inc. (</w:t>
      </w:r>
      <w:r w:rsidRPr="0029331D" w:rsidR="00795DEA">
        <w:rPr>
          <w:rStyle w:val="standardChar"/>
          <w:rFonts w:ascii="Book Antiqua" w:hAnsi="Book Antiqua" w:eastAsia="Book Antiqua"/>
        </w:rPr>
        <w:t>Cal-Am</w:t>
      </w:r>
      <w:r w:rsidRPr="0029331D" w:rsidR="00577B69">
        <w:rPr>
          <w:rStyle w:val="standardChar"/>
          <w:rFonts w:ascii="Book Antiqua" w:hAnsi="Book Antiqua" w:eastAsia="Book Antiqua"/>
        </w:rPr>
        <w:t>)</w:t>
      </w:r>
      <w:r w:rsidRPr="0029331D" w:rsidR="008C2494">
        <w:t xml:space="preserve"> for a purchase price of $</w:t>
      </w:r>
      <w:r w:rsidRPr="0029331D" w:rsidR="00577B69">
        <w:t xml:space="preserve">34,000,000, </w:t>
      </w:r>
      <w:r w:rsidRPr="0029331D" w:rsidR="004B5577">
        <w:t>and</w:t>
      </w:r>
      <w:r w:rsidRPr="0029331D" w:rsidR="00577B69">
        <w:t xml:space="preserve"> we </w:t>
      </w:r>
      <w:r w:rsidRPr="0029331D" w:rsidR="004B5577">
        <w:t>authorize</w:t>
      </w:r>
      <w:r w:rsidRPr="0029331D" w:rsidR="00C013C6">
        <w:t xml:space="preserve"> the same value</w:t>
      </w:r>
      <w:r w:rsidRPr="0029331D" w:rsidR="00577B69">
        <w:t xml:space="preserve"> </w:t>
      </w:r>
      <w:r w:rsidRPr="0029331D" w:rsidR="006C1A41">
        <w:t xml:space="preserve">to be </w:t>
      </w:r>
      <w:r w:rsidRPr="0029331D" w:rsidR="003B566D">
        <w:t>used for ratemaking purposes as</w:t>
      </w:r>
      <w:r w:rsidRPr="0029331D" w:rsidR="00577B69">
        <w:t xml:space="preserve"> the</w:t>
      </w:r>
      <w:r w:rsidRPr="0029331D" w:rsidR="008C2494">
        <w:t xml:space="preserve"> rate base of the acquired system</w:t>
      </w:r>
      <w:r w:rsidRPr="0029331D" w:rsidR="00577B69">
        <w:t>.</w:t>
      </w:r>
      <w:r w:rsidRPr="0029331D" w:rsidR="009A7AFE">
        <w:t xml:space="preserve"> </w:t>
      </w:r>
      <w:bookmarkEnd w:id="6"/>
    </w:p>
    <w:p w:rsidRPr="0029331D" w:rsidR="004E34B5" w:rsidP="00470269" w:rsidRDefault="00D3749B" w14:paraId="6A56E258" w14:textId="3F80D873">
      <w:pPr>
        <w:pStyle w:val="Standard"/>
        <w:rPr>
          <w:rStyle w:val="standardChar"/>
          <w:rFonts w:ascii="Book Antiqua" w:hAnsi="Book Antiqua" w:eastAsia="Book Antiqua"/>
        </w:rPr>
      </w:pPr>
      <w:bookmarkStart w:name="_Hlk72348674" w:id="7"/>
      <w:r w:rsidRPr="0029331D">
        <w:rPr>
          <w:rStyle w:val="standardChar"/>
          <w:rFonts w:ascii="Book Antiqua" w:hAnsi="Book Antiqua" w:eastAsia="Book Antiqua"/>
        </w:rPr>
        <w:t xml:space="preserve">This decision authorizes </w:t>
      </w:r>
      <w:r w:rsidRPr="0029331D" w:rsidR="008F7D18">
        <w:rPr>
          <w:rStyle w:val="standardChar"/>
          <w:rFonts w:ascii="Book Antiqua" w:hAnsi="Book Antiqua" w:eastAsia="Book Antiqua"/>
        </w:rPr>
        <w:t xml:space="preserve">the transfer of </w:t>
      </w:r>
      <w:r w:rsidRPr="0029331D" w:rsidR="00EC1AC1">
        <w:rPr>
          <w:rStyle w:val="standardChar"/>
          <w:rFonts w:ascii="Book Antiqua" w:hAnsi="Book Antiqua" w:eastAsia="Book Antiqua"/>
        </w:rPr>
        <w:t xml:space="preserve">asset </w:t>
      </w:r>
      <w:r w:rsidRPr="0029331D" w:rsidR="008F7D18">
        <w:rPr>
          <w:rStyle w:val="standardChar"/>
          <w:rFonts w:ascii="Book Antiqua" w:hAnsi="Book Antiqua" w:eastAsia="Book Antiqua"/>
        </w:rPr>
        <w:t xml:space="preserve">ownership from East Pasadena to </w:t>
      </w:r>
      <w:r w:rsidRPr="0029331D" w:rsidR="00795DEA">
        <w:rPr>
          <w:rStyle w:val="standardChar"/>
          <w:rFonts w:ascii="Book Antiqua" w:hAnsi="Book Antiqua" w:eastAsia="Book Antiqua"/>
        </w:rPr>
        <w:t>Cal-Am</w:t>
      </w:r>
      <w:r w:rsidRPr="0029331D">
        <w:rPr>
          <w:rStyle w:val="standardChar"/>
          <w:rFonts w:ascii="Book Antiqua" w:hAnsi="Book Antiqua" w:eastAsia="Book Antiqua"/>
        </w:rPr>
        <w:t xml:space="preserve"> </w:t>
      </w:r>
      <w:r w:rsidRPr="0029331D" w:rsidR="003F3F5B">
        <w:rPr>
          <w:rStyle w:val="standardChar"/>
          <w:rFonts w:ascii="Book Antiqua" w:hAnsi="Book Antiqua" w:eastAsia="Book Antiqua"/>
        </w:rPr>
        <w:t xml:space="preserve">and </w:t>
      </w:r>
      <w:r w:rsidRPr="0029331D" w:rsidR="00E775A7">
        <w:rPr>
          <w:rStyle w:val="standardChar"/>
          <w:rFonts w:ascii="Book Antiqua" w:hAnsi="Book Antiqua" w:eastAsia="Book Antiqua"/>
        </w:rPr>
        <w:t>modifies</w:t>
      </w:r>
      <w:r w:rsidRPr="0029331D">
        <w:rPr>
          <w:rStyle w:val="standardChar"/>
          <w:rFonts w:ascii="Book Antiqua" w:hAnsi="Book Antiqua" w:eastAsia="Book Antiqua"/>
        </w:rPr>
        <w:t xml:space="preserve"> </w:t>
      </w:r>
      <w:r w:rsidRPr="0029331D" w:rsidR="009047D9">
        <w:rPr>
          <w:rStyle w:val="standardChar"/>
          <w:rFonts w:ascii="Book Antiqua" w:hAnsi="Book Antiqua" w:eastAsia="Book Antiqua"/>
        </w:rPr>
        <w:t>Ca</w:t>
      </w:r>
      <w:r w:rsidRPr="0029331D" w:rsidR="000F49F2">
        <w:rPr>
          <w:rStyle w:val="standardChar"/>
          <w:rFonts w:ascii="Book Antiqua" w:hAnsi="Book Antiqua" w:eastAsia="Book Antiqua"/>
        </w:rPr>
        <w:t>l-Am’s</w:t>
      </w:r>
      <w:r w:rsidRPr="0029331D">
        <w:rPr>
          <w:rStyle w:val="standardChar"/>
          <w:rFonts w:ascii="Book Antiqua" w:hAnsi="Book Antiqua" w:eastAsia="Book Antiqua"/>
        </w:rPr>
        <w:t xml:space="preserve"> </w:t>
      </w:r>
      <w:r w:rsidRPr="0029331D" w:rsidR="003B566D">
        <w:rPr>
          <w:rStyle w:val="standardChar"/>
          <w:rFonts w:ascii="Book Antiqua" w:hAnsi="Book Antiqua" w:eastAsia="Book Antiqua"/>
        </w:rPr>
        <w:t>C</w:t>
      </w:r>
      <w:r w:rsidRPr="0029331D">
        <w:rPr>
          <w:rStyle w:val="standardChar"/>
          <w:rFonts w:ascii="Book Antiqua" w:hAnsi="Book Antiqua" w:eastAsia="Book Antiqua"/>
        </w:rPr>
        <w:t xml:space="preserve">ertificate of </w:t>
      </w:r>
      <w:r w:rsidRPr="0029331D" w:rsidR="003B566D">
        <w:rPr>
          <w:rStyle w:val="standardChar"/>
          <w:rFonts w:ascii="Book Antiqua" w:hAnsi="Book Antiqua" w:eastAsia="Book Antiqua"/>
        </w:rPr>
        <w:t>P</w:t>
      </w:r>
      <w:r w:rsidRPr="0029331D">
        <w:rPr>
          <w:rStyle w:val="standardChar"/>
          <w:rFonts w:ascii="Book Antiqua" w:hAnsi="Book Antiqua" w:eastAsia="Book Antiqua"/>
        </w:rPr>
        <w:t xml:space="preserve">ublic </w:t>
      </w:r>
      <w:r w:rsidRPr="0029331D" w:rsidR="003B566D">
        <w:rPr>
          <w:rStyle w:val="standardChar"/>
          <w:rFonts w:ascii="Book Antiqua" w:hAnsi="Book Antiqua" w:eastAsia="Book Antiqua"/>
        </w:rPr>
        <w:t>C</w:t>
      </w:r>
      <w:r w:rsidRPr="0029331D">
        <w:rPr>
          <w:rStyle w:val="standardChar"/>
          <w:rFonts w:ascii="Book Antiqua" w:hAnsi="Book Antiqua" w:eastAsia="Book Antiqua"/>
        </w:rPr>
        <w:t xml:space="preserve">onvenience and </w:t>
      </w:r>
      <w:r w:rsidRPr="0029331D" w:rsidR="003B566D">
        <w:rPr>
          <w:rStyle w:val="standardChar"/>
          <w:rFonts w:ascii="Book Antiqua" w:hAnsi="Book Antiqua" w:eastAsia="Book Antiqua"/>
        </w:rPr>
        <w:t>N</w:t>
      </w:r>
      <w:r w:rsidRPr="0029331D">
        <w:rPr>
          <w:rStyle w:val="standardChar"/>
          <w:rFonts w:ascii="Book Antiqua" w:hAnsi="Book Antiqua" w:eastAsia="Book Antiqua"/>
        </w:rPr>
        <w:t xml:space="preserve">ecessity to incorporate the </w:t>
      </w:r>
      <w:r w:rsidRPr="0029331D" w:rsidR="00577B69">
        <w:rPr>
          <w:rStyle w:val="standardChar"/>
          <w:rFonts w:ascii="Book Antiqua" w:hAnsi="Book Antiqua" w:eastAsia="Book Antiqua"/>
        </w:rPr>
        <w:t xml:space="preserve">East </w:t>
      </w:r>
      <w:r w:rsidRPr="0029331D" w:rsidR="00577B69">
        <w:rPr>
          <w:rStyle w:val="standardChar"/>
          <w:rFonts w:ascii="Book Antiqua" w:hAnsi="Book Antiqua" w:eastAsiaTheme="minorHAnsi" w:cstheme="minorBidi"/>
          <w:szCs w:val="22"/>
        </w:rPr>
        <w:t>Pasadena</w:t>
      </w:r>
      <w:r w:rsidRPr="0029331D">
        <w:rPr>
          <w:rStyle w:val="standardChar"/>
          <w:rFonts w:ascii="Book Antiqua" w:hAnsi="Book Antiqua" w:eastAsia="Book Antiqua"/>
        </w:rPr>
        <w:t xml:space="preserve"> service area into </w:t>
      </w:r>
      <w:r w:rsidRPr="0029331D" w:rsidR="00795DEA">
        <w:rPr>
          <w:rStyle w:val="standardChar"/>
          <w:rFonts w:ascii="Book Antiqua" w:hAnsi="Book Antiqua" w:eastAsia="Book Antiqua"/>
        </w:rPr>
        <w:t>Cal-Am</w:t>
      </w:r>
      <w:r w:rsidRPr="0029331D">
        <w:rPr>
          <w:rStyle w:val="standardChar"/>
          <w:rFonts w:ascii="Book Antiqua" w:hAnsi="Book Antiqua" w:eastAsia="Book Antiqua"/>
        </w:rPr>
        <w:t>’s Los</w:t>
      </w:r>
      <w:r w:rsidRPr="0029331D" w:rsidR="009D21CD">
        <w:rPr>
          <w:rStyle w:val="standardChar"/>
          <w:rFonts w:ascii="Book Antiqua" w:hAnsi="Book Antiqua" w:eastAsia="Book Antiqua"/>
        </w:rPr>
        <w:t> </w:t>
      </w:r>
      <w:r w:rsidRPr="0029331D">
        <w:rPr>
          <w:rStyle w:val="standardChar"/>
          <w:rFonts w:ascii="Book Antiqua" w:hAnsi="Book Antiqua" w:eastAsia="Book Antiqua"/>
        </w:rPr>
        <w:t xml:space="preserve">Angeles County District. </w:t>
      </w:r>
    </w:p>
    <w:bookmarkEnd w:id="7"/>
    <w:p w:rsidRPr="0029331D" w:rsidR="001969B7" w:rsidP="00470269" w:rsidRDefault="005847B6" w14:paraId="6FF29E1D" w14:textId="0F953DEE">
      <w:pPr>
        <w:pStyle w:val="Standard"/>
        <w:rPr>
          <w:rStyle w:val="standardChar"/>
          <w:rFonts w:ascii="Book Antiqua" w:hAnsi="Book Antiqua" w:eastAsia="Book Antiqua"/>
        </w:rPr>
      </w:pPr>
      <w:r w:rsidRPr="0029331D">
        <w:rPr>
          <w:rStyle w:val="standardChar"/>
          <w:rFonts w:ascii="Book Antiqua" w:hAnsi="Book Antiqua" w:eastAsia="Book Antiqua"/>
        </w:rPr>
        <w:t>Additionally</w:t>
      </w:r>
      <w:r w:rsidRPr="0029331D" w:rsidR="00AA212B">
        <w:rPr>
          <w:rStyle w:val="standardChar"/>
          <w:rFonts w:ascii="Book Antiqua" w:hAnsi="Book Antiqua" w:eastAsia="Book Antiqua"/>
        </w:rPr>
        <w:t>, t</w:t>
      </w:r>
      <w:r w:rsidRPr="0029331D" w:rsidR="00D3749B">
        <w:rPr>
          <w:rStyle w:val="standardChar"/>
          <w:rFonts w:ascii="Book Antiqua" w:hAnsi="Book Antiqua" w:eastAsia="Book Antiqua"/>
        </w:rPr>
        <w:t xml:space="preserve">his decision </w:t>
      </w:r>
      <w:r w:rsidRPr="0029331D" w:rsidR="00EA3E05">
        <w:rPr>
          <w:rStyle w:val="standardChar"/>
          <w:rFonts w:ascii="Book Antiqua" w:hAnsi="Book Antiqua" w:eastAsia="Book Antiqua"/>
        </w:rPr>
        <w:t>denies</w:t>
      </w:r>
      <w:r w:rsidRPr="0029331D" w:rsidR="00D3749B">
        <w:rPr>
          <w:rStyle w:val="standardChar"/>
          <w:rFonts w:ascii="Book Antiqua" w:hAnsi="Book Antiqua" w:eastAsia="Book Antiqua"/>
        </w:rPr>
        <w:t xml:space="preserve"> </w:t>
      </w:r>
      <w:r w:rsidRPr="0029331D" w:rsidR="00EA3E05">
        <w:rPr>
          <w:rStyle w:val="standardChar"/>
          <w:rFonts w:ascii="Book Antiqua" w:hAnsi="Book Antiqua" w:eastAsia="Book Antiqua"/>
        </w:rPr>
        <w:t xml:space="preserve">the </w:t>
      </w:r>
      <w:r w:rsidRPr="0029331D" w:rsidR="00E775A7">
        <w:rPr>
          <w:rStyle w:val="standardChar"/>
          <w:rFonts w:ascii="Book Antiqua" w:hAnsi="Book Antiqua" w:eastAsia="Book Antiqua"/>
        </w:rPr>
        <w:t xml:space="preserve">request to create </w:t>
      </w:r>
      <w:r w:rsidR="00154A38">
        <w:t>T</w:t>
      </w:r>
      <w:r w:rsidRPr="0029331D" w:rsidR="007F68FA">
        <w:t>he East Pasadena Acquisition Contingency Memorandum Account</w:t>
      </w:r>
      <w:r w:rsidRPr="0029331D" w:rsidR="00421A25">
        <w:rPr>
          <w:rStyle w:val="standardChar"/>
          <w:rFonts w:ascii="Book Antiqua" w:hAnsi="Book Antiqua" w:eastAsia="Book Antiqua"/>
        </w:rPr>
        <w:t xml:space="preserve"> </w:t>
      </w:r>
      <w:r w:rsidRPr="0029331D" w:rsidR="002A1F8F">
        <w:rPr>
          <w:rStyle w:val="standardChar"/>
          <w:rFonts w:ascii="Book Antiqua" w:hAnsi="Book Antiqua" w:eastAsia="Book Antiqua"/>
        </w:rPr>
        <w:t>but</w:t>
      </w:r>
      <w:r w:rsidRPr="0029331D" w:rsidR="00421A25">
        <w:rPr>
          <w:rStyle w:val="standardChar"/>
          <w:rFonts w:ascii="Book Antiqua" w:hAnsi="Book Antiqua" w:eastAsia="Book Antiqua"/>
        </w:rPr>
        <w:t xml:space="preserve"> </w:t>
      </w:r>
      <w:r w:rsidRPr="0029331D" w:rsidR="005F487E">
        <w:rPr>
          <w:rStyle w:val="standardChar"/>
          <w:rFonts w:ascii="Book Antiqua" w:hAnsi="Book Antiqua" w:eastAsia="Book Antiqua"/>
        </w:rPr>
        <w:t xml:space="preserve">grants the request to create </w:t>
      </w:r>
      <w:r w:rsidRPr="0029331D" w:rsidR="00C27C67">
        <w:t xml:space="preserve">The East Pasadena Transaction Cost Memorandum Account, </w:t>
      </w:r>
      <w:r w:rsidRPr="0029331D" w:rsidR="00AD5704">
        <w:t>limited to</w:t>
      </w:r>
      <w:r w:rsidRPr="0029331D" w:rsidR="001969B7">
        <w:t xml:space="preserve"> any eligible costs incurred after the date of this decision</w:t>
      </w:r>
      <w:r w:rsidRPr="0029331D" w:rsidR="00BB6E1E">
        <w:rPr>
          <w:rStyle w:val="standardChar"/>
          <w:rFonts w:ascii="Book Antiqua" w:hAnsi="Book Antiqua" w:eastAsia="Book Antiqua"/>
        </w:rPr>
        <w:t>.</w:t>
      </w:r>
      <w:r w:rsidRPr="0029331D" w:rsidR="009D21CD">
        <w:rPr>
          <w:rStyle w:val="standardChar"/>
          <w:rFonts w:ascii="Book Antiqua" w:hAnsi="Book Antiqua" w:eastAsia="Book Antiqua"/>
        </w:rPr>
        <w:t xml:space="preserve"> </w:t>
      </w:r>
      <w:r w:rsidRPr="0029331D" w:rsidR="003B3725">
        <w:rPr>
          <w:rStyle w:val="standardChar"/>
          <w:rFonts w:ascii="Book Antiqua" w:hAnsi="Book Antiqua" w:eastAsia="Book Antiqua"/>
        </w:rPr>
        <w:t xml:space="preserve"> T</w:t>
      </w:r>
      <w:r w:rsidRPr="0029331D" w:rsidR="00BB6E1E">
        <w:rPr>
          <w:rStyle w:val="standardChar"/>
          <w:rFonts w:ascii="Book Antiqua" w:hAnsi="Book Antiqua" w:eastAsia="Book Antiqua"/>
        </w:rPr>
        <w:t xml:space="preserve">his decision </w:t>
      </w:r>
      <w:r w:rsidRPr="0029331D" w:rsidR="003B3725">
        <w:rPr>
          <w:rStyle w:val="standardChar"/>
          <w:rFonts w:ascii="Book Antiqua" w:hAnsi="Book Antiqua" w:eastAsia="Book Antiqua"/>
        </w:rPr>
        <w:t xml:space="preserve">also </w:t>
      </w:r>
      <w:r w:rsidRPr="0029331D" w:rsidR="005F487E">
        <w:rPr>
          <w:rStyle w:val="standardChar"/>
          <w:rFonts w:ascii="Book Antiqua" w:hAnsi="Book Antiqua" w:eastAsia="Book Antiqua"/>
        </w:rPr>
        <w:t xml:space="preserve">authorizes the inclusion of the service territory </w:t>
      </w:r>
      <w:r w:rsidRPr="0029331D" w:rsidR="00945920">
        <w:rPr>
          <w:rStyle w:val="standardChar"/>
          <w:rFonts w:ascii="Book Antiqua" w:hAnsi="Book Antiqua" w:eastAsia="Book Antiqua"/>
        </w:rPr>
        <w:t xml:space="preserve">acquired from East Pasadena in Cal-Am’s existing </w:t>
      </w:r>
      <w:r w:rsidRPr="0029331D" w:rsidR="006E3C49">
        <w:t>Memorandum Account for Environmental Improvements and Compliance issues for Acquisitions</w:t>
      </w:r>
      <w:r w:rsidRPr="0029331D" w:rsidR="004A4BAE">
        <w:rPr>
          <w:rStyle w:val="standardChar"/>
          <w:rFonts w:ascii="Book Antiqua" w:hAnsi="Book Antiqua" w:eastAsia="Book Antiqua"/>
        </w:rPr>
        <w:t xml:space="preserve">.  </w:t>
      </w:r>
    </w:p>
    <w:p w:rsidRPr="0029331D" w:rsidR="00D3749B" w:rsidP="00470269" w:rsidRDefault="003B3725" w14:paraId="357E9C3C" w14:textId="4517191A">
      <w:pPr>
        <w:pStyle w:val="Standard"/>
      </w:pPr>
      <w:r w:rsidRPr="0029331D">
        <w:rPr>
          <w:rStyle w:val="standardChar"/>
          <w:rFonts w:ascii="Book Antiqua" w:hAnsi="Book Antiqua" w:eastAsia="Book Antiqua"/>
        </w:rPr>
        <w:t>Finally, this decision grants Cal-Am’s request for interim rate relief</w:t>
      </w:r>
      <w:r w:rsidRPr="0029331D" w:rsidR="00A26EDD">
        <w:rPr>
          <w:rStyle w:val="standardChar"/>
          <w:rFonts w:ascii="Book Antiqua" w:hAnsi="Book Antiqua" w:eastAsia="Book Antiqua"/>
        </w:rPr>
        <w:t xml:space="preserve"> and </w:t>
      </w:r>
      <w:r w:rsidRPr="0029331D" w:rsidR="00D3749B">
        <w:rPr>
          <w:rStyle w:val="standardChar"/>
          <w:rFonts w:ascii="Book Antiqua" w:hAnsi="Book Antiqua" w:eastAsia="Book Antiqua"/>
        </w:rPr>
        <w:t>closes the proceeding.</w:t>
      </w:r>
    </w:p>
    <w:p w:rsidRPr="00506E52" w:rsidR="005A148C" w:rsidP="00506E52" w:rsidRDefault="002C7FE9" w14:paraId="2E843E70" w14:textId="0B226429">
      <w:pPr>
        <w:pStyle w:val="Heading1"/>
      </w:pPr>
      <w:bookmarkStart w:name="_Toc8123715" w:id="8"/>
      <w:bookmarkStart w:name="_Toc72748059" w:id="9"/>
      <w:bookmarkStart w:name="_Toc76995734" w:id="10"/>
      <w:r w:rsidRPr="00506E52">
        <w:t>Background</w:t>
      </w:r>
      <w:bookmarkEnd w:id="8"/>
      <w:bookmarkEnd w:id="9"/>
      <w:bookmarkEnd w:id="10"/>
    </w:p>
    <w:p w:rsidRPr="00054EB4" w:rsidR="006A2A36" w:rsidP="00506E52" w:rsidRDefault="006A2A36" w14:paraId="2C9A3CAA" w14:textId="77777777">
      <w:pPr>
        <w:pStyle w:val="Heading2"/>
        <w:numPr>
          <w:ilvl w:val="1"/>
          <w:numId w:val="1"/>
        </w:numPr>
      </w:pPr>
      <w:bookmarkStart w:name="_Toc72748060" w:id="11"/>
      <w:bookmarkStart w:name="_Toc76995735" w:id="12"/>
      <w:r w:rsidRPr="00054EB4">
        <w:t>Procedural Background</w:t>
      </w:r>
      <w:bookmarkEnd w:id="11"/>
      <w:bookmarkEnd w:id="12"/>
    </w:p>
    <w:p w:rsidRPr="00470269" w:rsidR="006A2A36" w:rsidP="00470269" w:rsidRDefault="006A2A36" w14:paraId="34161615" w14:textId="24717443">
      <w:pPr>
        <w:pStyle w:val="Standard"/>
      </w:pPr>
      <w:r w:rsidRPr="00470269">
        <w:t>On April 6, 2020, the California American Water Company (Cal-Am) and East Pasadena Water Company (East Pasadena), collectively, the Joint Applicants, filed Application (A</w:t>
      </w:r>
      <w:r w:rsidRPr="00470269" w:rsidR="00661197">
        <w:t>.</w:t>
      </w:r>
      <w:r w:rsidRPr="00470269">
        <w:t xml:space="preserve">) 20-04-003. </w:t>
      </w:r>
      <w:r w:rsidRPr="00470269" w:rsidR="002C730F">
        <w:t xml:space="preserve"> </w:t>
      </w:r>
      <w:r w:rsidRPr="00470269">
        <w:t xml:space="preserve">On May 11, 2020, the Public </w:t>
      </w:r>
      <w:r w:rsidRPr="00470269">
        <w:lastRenderedPageBreak/>
        <w:t xml:space="preserve">Advocates Office timely filed a Protest. </w:t>
      </w:r>
      <w:r w:rsidRPr="00470269" w:rsidR="002C730F">
        <w:t xml:space="preserve"> </w:t>
      </w:r>
      <w:r w:rsidRPr="00470269">
        <w:t>On May 29, 2020, a Prehearing Conference was conducted by the assigned Administrative Law Judge (</w:t>
      </w:r>
      <w:r w:rsidRPr="00470269" w:rsidR="002C730F">
        <w:t>ALJ</w:t>
      </w:r>
      <w:r w:rsidRPr="00470269">
        <w:t xml:space="preserve">).  </w:t>
      </w:r>
    </w:p>
    <w:p w:rsidRPr="00470269" w:rsidR="006A2A36" w:rsidP="00470269" w:rsidRDefault="006A2A36" w14:paraId="4E59F2AD" w14:textId="2402FB46">
      <w:pPr>
        <w:pStyle w:val="Standard"/>
      </w:pPr>
      <w:r w:rsidRPr="00470269">
        <w:t xml:space="preserve">On June 19, 2020, the assigned Commissioner issued a Scoping Memo setting forth all issues of law and fact to be determined in this proceeding, setting out a schedule of proceeding events, and designating the assigned </w:t>
      </w:r>
      <w:r w:rsidR="000C5A00">
        <w:t>ALJ</w:t>
      </w:r>
      <w:r w:rsidRPr="00470269">
        <w:t xml:space="preserve"> as the proceeding’s Presiding Officer.</w:t>
      </w:r>
      <w:r w:rsidRPr="008279CB">
        <w:rPr>
          <w:rStyle w:val="FootnoteReference"/>
        </w:rPr>
        <w:footnoteReference w:id="2"/>
      </w:r>
      <w:r w:rsidRPr="00470269">
        <w:t xml:space="preserve"> </w:t>
      </w:r>
    </w:p>
    <w:p w:rsidRPr="00470269" w:rsidR="006A2A36" w:rsidP="00470269" w:rsidRDefault="006A2A36" w14:paraId="6BBFC8E3" w14:textId="148E00E8">
      <w:pPr>
        <w:pStyle w:val="Standard"/>
      </w:pPr>
      <w:r w:rsidRPr="00470269">
        <w:t xml:space="preserve">The Commission held two Public Participation Hearings (PPHs) on August 3, 2020. </w:t>
      </w:r>
      <w:r w:rsidRPr="00470269" w:rsidR="009D21CD">
        <w:t xml:space="preserve"> </w:t>
      </w:r>
      <w:r w:rsidRPr="00470269">
        <w:t xml:space="preserve">Due to the state’s shelter-in-place restrictions in response to the coronavirus, the PPHs were held remotely and included both telephone and internet access. </w:t>
      </w:r>
      <w:r w:rsidRPr="00470269" w:rsidR="00730E65">
        <w:t xml:space="preserve"> </w:t>
      </w:r>
      <w:r w:rsidRPr="00470269" w:rsidR="00CB4971">
        <w:t xml:space="preserve">On </w:t>
      </w:r>
      <w:r w:rsidR="00CB4971">
        <w:t>August 1</w:t>
      </w:r>
      <w:r w:rsidRPr="00470269" w:rsidR="00CB4971">
        <w:t xml:space="preserve">9, 2020, </w:t>
      </w:r>
      <w:r w:rsidR="00CB4971">
        <w:t>ALJ Jeanne McKinney was co-</w:t>
      </w:r>
      <w:r w:rsidRPr="00470269" w:rsidR="00CB4971">
        <w:t>assigned</w:t>
      </w:r>
      <w:r w:rsidR="00CB4971">
        <w:t xml:space="preserve"> to the proceeding</w:t>
      </w:r>
      <w:r w:rsidRPr="00470269" w:rsidR="00CB4971">
        <w:t>.</w:t>
      </w:r>
      <w:r w:rsidR="00CB4971">
        <w:t xml:space="preserve"> </w:t>
      </w:r>
      <w:r w:rsidRPr="00470269">
        <w:t xml:space="preserve">Evidentiary hearings were held on September 14, 2020. </w:t>
      </w:r>
      <w:r w:rsidRPr="00470269" w:rsidR="002C730F">
        <w:t xml:space="preserve"> </w:t>
      </w:r>
      <w:r w:rsidRPr="00470269">
        <w:t>Concurrent Opening Briefs were filed on October 14, 2020.</w:t>
      </w:r>
      <w:r w:rsidRPr="00470269" w:rsidR="00730E65">
        <w:t xml:space="preserve"> </w:t>
      </w:r>
      <w:r w:rsidRPr="00470269">
        <w:t xml:space="preserve"> Concurrent Reply Briefs were filed on October 28, 2020, and the matter was submitted at that time.</w:t>
      </w:r>
    </w:p>
    <w:p w:rsidRPr="00470269" w:rsidR="006A2A36" w:rsidP="00470269" w:rsidRDefault="006A2A36" w14:paraId="378A97D7" w14:textId="77777777">
      <w:pPr>
        <w:pStyle w:val="Standard"/>
      </w:pPr>
      <w:r w:rsidRPr="00470269">
        <w:t xml:space="preserve">The record of this proceeding consists of all filed documents, testimony received into evidence, and the transcripts of the evidentiary hearings.  </w:t>
      </w:r>
    </w:p>
    <w:p w:rsidRPr="00470269" w:rsidR="006A2A36" w:rsidP="00470269" w:rsidRDefault="006A2A36" w14:paraId="5AEFD1D2" w14:textId="116AB3CE">
      <w:pPr>
        <w:pStyle w:val="Standard"/>
      </w:pPr>
      <w:r w:rsidRPr="00470269">
        <w:t xml:space="preserve">The Commission’s PPHs were held to solicit comments from ratepayers. </w:t>
      </w:r>
      <w:r w:rsidRPr="00470269" w:rsidR="00730E65">
        <w:t xml:space="preserve"> </w:t>
      </w:r>
      <w:r w:rsidRPr="00470269">
        <w:t xml:space="preserve">Fifteen customers spoke at the </w:t>
      </w:r>
      <w:proofErr w:type="gramStart"/>
      <w:r w:rsidRPr="00470269">
        <w:t>PPHs</w:t>
      </w:r>
      <w:proofErr w:type="gramEnd"/>
      <w:r w:rsidRPr="00470269">
        <w:t xml:space="preserve"> and additional individuals commented on the public input section of the docket card.</w:t>
      </w:r>
      <w:r w:rsidRPr="008279CB">
        <w:rPr>
          <w:rStyle w:val="FootnoteReference"/>
        </w:rPr>
        <w:footnoteReference w:id="3"/>
      </w:r>
      <w:r w:rsidRPr="00470269">
        <w:t xml:space="preserve"> </w:t>
      </w:r>
      <w:r w:rsidRPr="00470269" w:rsidR="00730E65">
        <w:t xml:space="preserve"> </w:t>
      </w:r>
      <w:r w:rsidRPr="00470269">
        <w:t>All those who spoke or wrote opposed the transaction because they believe</w:t>
      </w:r>
      <w:r w:rsidRPr="00470269" w:rsidR="00B537AE">
        <w:t>d</w:t>
      </w:r>
      <w:r w:rsidRPr="00470269">
        <w:t xml:space="preserve"> that it will cause rate increases with no benefits discernable to them </w:t>
      </w:r>
      <w:r w:rsidRPr="00470269" w:rsidR="000E4C91">
        <w:t>as</w:t>
      </w:r>
      <w:r w:rsidRPr="00470269">
        <w:t xml:space="preserve"> customers in the other Cal-Am districts. </w:t>
      </w:r>
      <w:r w:rsidRPr="00470269" w:rsidR="00730E65">
        <w:t xml:space="preserve"> </w:t>
      </w:r>
      <w:r w:rsidRPr="00470269">
        <w:t xml:space="preserve"> </w:t>
      </w:r>
      <w:r w:rsidRPr="00470269" w:rsidR="00730E65">
        <w:t xml:space="preserve"> </w:t>
      </w:r>
      <w:r w:rsidRPr="00470269">
        <w:t>The scope of this proceeding was not altered by any input from the PPHs.</w:t>
      </w:r>
    </w:p>
    <w:p w:rsidRPr="00054EB4" w:rsidR="006A2A36" w:rsidP="00506E52" w:rsidRDefault="006A2A36" w14:paraId="41E091E4" w14:textId="65D06323">
      <w:pPr>
        <w:pStyle w:val="Heading2"/>
        <w:numPr>
          <w:ilvl w:val="1"/>
          <w:numId w:val="1"/>
        </w:numPr>
      </w:pPr>
      <w:bookmarkStart w:name="_Toc72748061" w:id="13"/>
      <w:bookmarkStart w:name="_Toc76995736" w:id="14"/>
      <w:r w:rsidRPr="00054EB4">
        <w:lastRenderedPageBreak/>
        <w:t>Joint Applicants</w:t>
      </w:r>
      <w:bookmarkEnd w:id="13"/>
      <w:bookmarkEnd w:id="14"/>
    </w:p>
    <w:p w:rsidRPr="00470269" w:rsidR="00EC524C" w:rsidP="00470269" w:rsidRDefault="00486B3B" w14:paraId="587114AB" w14:textId="7FFF3F5F">
      <w:pPr>
        <w:pStyle w:val="Standard"/>
      </w:pPr>
      <w:r w:rsidRPr="00470269">
        <w:t>T</w:t>
      </w:r>
      <w:r w:rsidRPr="00470269" w:rsidR="009A23B0">
        <w:t xml:space="preserve">he Joint Applicants </w:t>
      </w:r>
      <w:r w:rsidRPr="00470269" w:rsidR="001215FE">
        <w:t xml:space="preserve">are </w:t>
      </w:r>
      <w:r w:rsidRPr="00470269" w:rsidR="009A23B0">
        <w:t>East Pasadena</w:t>
      </w:r>
      <w:r w:rsidRPr="00470269" w:rsidR="007769D4">
        <w:t xml:space="preserve"> and </w:t>
      </w:r>
      <w:r w:rsidRPr="00470269" w:rsidR="001215FE">
        <w:t>Cal-Am</w:t>
      </w:r>
      <w:r w:rsidRPr="00470269" w:rsidR="007769D4">
        <w:t>.</w:t>
      </w:r>
      <w:r w:rsidRPr="00470269" w:rsidR="009A23B0">
        <w:t xml:space="preserve"> </w:t>
      </w:r>
      <w:r w:rsidRPr="00470269" w:rsidR="002C730F">
        <w:t xml:space="preserve"> </w:t>
      </w:r>
      <w:r w:rsidRPr="00470269" w:rsidR="007058D4">
        <w:t>East Pasadena is a California corporation</w:t>
      </w:r>
      <w:r w:rsidRPr="00470269" w:rsidR="00923517">
        <w:t>,</w:t>
      </w:r>
      <w:r w:rsidRPr="00470269" w:rsidR="007058D4">
        <w:t xml:space="preserve"> and its primary shareholder is Mr.</w:t>
      </w:r>
      <w:r w:rsidRPr="00470269" w:rsidR="00730E65">
        <w:t xml:space="preserve"> </w:t>
      </w:r>
      <w:r w:rsidRPr="00470269" w:rsidR="007058D4">
        <w:t xml:space="preserve">Anton Garnier. </w:t>
      </w:r>
      <w:r w:rsidRPr="00470269" w:rsidR="00730E65">
        <w:t xml:space="preserve"> </w:t>
      </w:r>
      <w:r w:rsidRPr="00470269" w:rsidR="006A2A36">
        <w:t>East</w:t>
      </w:r>
      <w:r w:rsidRPr="00470269" w:rsidR="002C730F">
        <w:t> </w:t>
      </w:r>
      <w:r w:rsidRPr="00470269" w:rsidR="006A2A36">
        <w:t>Pasadena is currently a Class B Commission</w:t>
      </w:r>
      <w:r w:rsidRPr="00470269" w:rsidR="006A2A36">
        <w:noBreakHyphen/>
        <w:t xml:space="preserve">regulated water utility serving the cities of Temple City, Arcadia, San </w:t>
      </w:r>
      <w:proofErr w:type="gramStart"/>
      <w:r w:rsidRPr="00470269" w:rsidR="006A2A36">
        <w:t>Gabriel</w:t>
      </w:r>
      <w:proofErr w:type="gramEnd"/>
      <w:r w:rsidRPr="00470269" w:rsidR="006A2A36">
        <w:t xml:space="preserve"> and an unincorporated area of Los</w:t>
      </w:r>
      <w:r w:rsidRPr="00470269" w:rsidR="00730E65">
        <w:t> </w:t>
      </w:r>
      <w:r w:rsidRPr="00470269" w:rsidR="006A2A36">
        <w:t xml:space="preserve">Angeles County southeast of the City of Pasadena. </w:t>
      </w:r>
    </w:p>
    <w:p w:rsidRPr="00470269" w:rsidR="001215FE" w:rsidP="00470269" w:rsidRDefault="001215FE" w14:paraId="30838949" w14:textId="238E8254">
      <w:pPr>
        <w:pStyle w:val="Standard"/>
      </w:pPr>
      <w:r w:rsidRPr="00470269">
        <w:t>Cal-Am, a California corporation, is a subsidiary of American Water Works Company, which is the largest publicly traded water utility in the United States, serving approximately 16 million people in North America.</w:t>
      </w:r>
      <w:r w:rsidRPr="00470269" w:rsidR="00730E65">
        <w:t xml:space="preserve"> </w:t>
      </w:r>
      <w:r w:rsidRPr="00470269">
        <w:t xml:space="preserve"> As a Class A California water utility, Cal-Am serves approximately 630,000 customers in 50 communities, spread across approximately 10 districts. </w:t>
      </w:r>
      <w:r w:rsidRPr="00470269" w:rsidR="00730E65">
        <w:t xml:space="preserve"> </w:t>
      </w:r>
      <w:r w:rsidRPr="00470269">
        <w:t>The Commission sets rates for each of these districts in regularly scheduled GRCs.</w:t>
      </w:r>
      <w:r w:rsidRPr="00470269" w:rsidR="00CD1928">
        <w:t xml:space="preserve"> </w:t>
      </w:r>
      <w:r w:rsidRPr="00470269">
        <w:t xml:space="preserve"> In terms of customers served, Cal-Am increased six-fold over the last twenty years. </w:t>
      </w:r>
      <w:r w:rsidRPr="00470269" w:rsidR="00CD1928">
        <w:t xml:space="preserve"> </w:t>
      </w:r>
      <w:r w:rsidRPr="00470269">
        <w:t>Most recently, Cal-Am acquired Oxbow Mutual Water Company and Dunnigan Water Works in 2015, Adams Ranch, Meadowbrook</w:t>
      </w:r>
      <w:r w:rsidRPr="008279CB">
        <w:rPr>
          <w:rStyle w:val="FootnoteReference"/>
        </w:rPr>
        <w:footnoteReference w:id="4"/>
      </w:r>
      <w:r w:rsidRPr="00470269">
        <w:t xml:space="preserve"> and Geyserville Water Works in 2016, Rio Plaza,</w:t>
      </w:r>
      <w:r w:rsidRPr="008279CB">
        <w:rPr>
          <w:rStyle w:val="FootnoteReference"/>
        </w:rPr>
        <w:footnoteReference w:id="5"/>
      </w:r>
      <w:r w:rsidRPr="00470269">
        <w:t xml:space="preserve"> Hillview,</w:t>
      </w:r>
      <w:r w:rsidRPr="008279CB">
        <w:rPr>
          <w:rStyle w:val="FootnoteReference"/>
        </w:rPr>
        <w:footnoteReference w:id="6"/>
      </w:r>
      <w:r w:rsidRPr="00470269">
        <w:t xml:space="preserve"> and Fruitridge Vista</w:t>
      </w:r>
      <w:r w:rsidRPr="008279CB">
        <w:rPr>
          <w:rStyle w:val="FootnoteReference"/>
        </w:rPr>
        <w:footnoteReference w:id="7"/>
      </w:r>
      <w:r w:rsidRPr="00470269">
        <w:t xml:space="preserve"> in 2019. Cal–Am’s GRC application for 2021 is pending before the Commission.</w:t>
      </w:r>
      <w:r w:rsidRPr="008279CB">
        <w:rPr>
          <w:rStyle w:val="FootnoteReference"/>
        </w:rPr>
        <w:footnoteReference w:id="8"/>
      </w:r>
      <w:r w:rsidRPr="00470269">
        <w:t xml:space="preserve"> </w:t>
      </w:r>
      <w:r w:rsidRPr="00470269" w:rsidR="00CD1928">
        <w:t xml:space="preserve"> </w:t>
      </w:r>
      <w:r w:rsidRPr="00470269">
        <w:t xml:space="preserve">In it, Cal-Am includes the rate impacts of </w:t>
      </w:r>
      <w:r w:rsidRPr="00470269" w:rsidR="00486B3B">
        <w:t>its</w:t>
      </w:r>
      <w:r w:rsidRPr="00470269">
        <w:t xml:space="preserve"> 2019 acquisitions.</w:t>
      </w:r>
    </w:p>
    <w:p w:rsidRPr="00054EB4" w:rsidR="001215FE" w:rsidP="00506E52" w:rsidRDefault="001215FE" w14:paraId="0B6B4DA6" w14:textId="76AFA8FA">
      <w:pPr>
        <w:pStyle w:val="Heading2"/>
        <w:numPr>
          <w:ilvl w:val="1"/>
          <w:numId w:val="1"/>
        </w:numPr>
      </w:pPr>
      <w:bookmarkStart w:name="_Toc72748062" w:id="15"/>
      <w:bookmarkStart w:name="_Toc76995737" w:id="16"/>
      <w:r w:rsidRPr="00054EB4">
        <w:t>Application and Proposed Acquisition Terms</w:t>
      </w:r>
      <w:bookmarkEnd w:id="15"/>
      <w:bookmarkEnd w:id="16"/>
    </w:p>
    <w:p w:rsidRPr="00470269" w:rsidR="006A2A36" w:rsidP="00470269" w:rsidRDefault="005B37C6" w14:paraId="067E7D8C" w14:textId="776BFBAC">
      <w:pPr>
        <w:pStyle w:val="Standard"/>
      </w:pPr>
      <w:r w:rsidRPr="00470269">
        <w:t>T</w:t>
      </w:r>
      <w:r w:rsidRPr="00470269" w:rsidR="001215FE">
        <w:t xml:space="preserve">he Joint Applicants request Commission authority for Cal–Am to acquire nearly all the assets of East Pasadena and assume the public utility operations of </w:t>
      </w:r>
      <w:r w:rsidRPr="00470269" w:rsidR="001215FE">
        <w:lastRenderedPageBreak/>
        <w:t>East Pasadena</w:t>
      </w:r>
      <w:r w:rsidRPr="00470269" w:rsidR="00F35EF3">
        <w:t>, as de</w:t>
      </w:r>
      <w:r w:rsidRPr="00470269" w:rsidR="00C52F62">
        <w:t>scribed</w:t>
      </w:r>
      <w:r w:rsidRPr="00470269" w:rsidR="00F35EF3">
        <w:t xml:space="preserve"> in the purchase agreement between Cal-Am and East Pasadena, </w:t>
      </w:r>
      <w:r w:rsidRPr="00470269" w:rsidR="00C52F62">
        <w:t>dated</w:t>
      </w:r>
      <w:r w:rsidRPr="00470269" w:rsidR="00F35EF3">
        <w:t xml:space="preserve"> August 19, 2019 (Purchase Agreement)</w:t>
      </w:r>
      <w:r w:rsidRPr="00470269" w:rsidR="001215FE">
        <w:t xml:space="preserve">. </w:t>
      </w:r>
      <w:r w:rsidRPr="00470269" w:rsidR="00CD1928">
        <w:t xml:space="preserve"> </w:t>
      </w:r>
      <w:r w:rsidRPr="00470269" w:rsidR="001215FE">
        <w:t>Through this sale, Cal-Am would acquire t</w:t>
      </w:r>
      <w:r w:rsidRPr="00470269" w:rsidR="006A2A36">
        <w:t xml:space="preserve">he East Pasadena water distribution system </w:t>
      </w:r>
      <w:r w:rsidRPr="00470269" w:rsidR="001215FE">
        <w:t>which</w:t>
      </w:r>
      <w:r w:rsidRPr="00470269" w:rsidR="006A2A36">
        <w:t xml:space="preserve"> consists of four groundwater wells (two operating and two on standby), one monitoring well, eight booster stations, four water storage tanks, three interconnections with other water systems that include manual valves and a flow meter, and other plant and equipment. </w:t>
      </w:r>
      <w:r w:rsidRPr="00470269" w:rsidR="00CD1928">
        <w:t xml:space="preserve"> </w:t>
      </w:r>
      <w:r w:rsidRPr="00470269" w:rsidR="006A2A36">
        <w:t xml:space="preserve">The sale also includes the water rights owned by East Pasadena: </w:t>
      </w:r>
      <w:r w:rsidRPr="00470269" w:rsidR="00CD1928">
        <w:t xml:space="preserve"> </w:t>
      </w:r>
      <w:r w:rsidRPr="00470269" w:rsidR="006A2A36">
        <w:t>1,708 acre-fee</w:t>
      </w:r>
      <w:r w:rsidR="002B3E5F">
        <w:t>t</w:t>
      </w:r>
      <w:r w:rsidRPr="00470269" w:rsidR="006A2A36">
        <w:t xml:space="preserve"> in the Main San Gabriel Basin and 515</w:t>
      </w:r>
      <w:r w:rsidRPr="00470269" w:rsidR="00CD1928">
        <w:t> </w:t>
      </w:r>
      <w:r w:rsidRPr="00470269" w:rsidR="006A2A36">
        <w:t>acre-fee</w:t>
      </w:r>
      <w:r w:rsidR="002B3E5F">
        <w:t>t</w:t>
      </w:r>
      <w:r w:rsidRPr="00470269" w:rsidR="006A2A36">
        <w:t xml:space="preserve"> in the Raymond Basin, of which only 360.5 </w:t>
      </w:r>
      <w:r w:rsidR="002B3E5F">
        <w:t>acre-</w:t>
      </w:r>
      <w:r w:rsidRPr="00470269" w:rsidR="006A2A36">
        <w:t xml:space="preserve">feet is available for withdrawal. </w:t>
      </w:r>
      <w:r w:rsidRPr="00470269" w:rsidR="002C730F">
        <w:t xml:space="preserve"> </w:t>
      </w:r>
      <w:r w:rsidRPr="00470269" w:rsidR="006A2A36">
        <w:t>Through this system, East Pasadena serves a population of approximate 10,000 people, through approximately 2,200 residential connections and 800 commercial or industrial connections.</w:t>
      </w:r>
      <w:r w:rsidRPr="008279CB" w:rsidR="006A2A36">
        <w:rPr>
          <w:rStyle w:val="FootnoteReference"/>
        </w:rPr>
        <w:footnoteReference w:id="9"/>
      </w:r>
    </w:p>
    <w:p w:rsidRPr="00470269" w:rsidR="00055D0C" w:rsidP="00470269" w:rsidRDefault="008D304C" w14:paraId="59CFC475" w14:textId="3EF3E598">
      <w:pPr>
        <w:pStyle w:val="Standard"/>
      </w:pPr>
      <w:r w:rsidRPr="00470269">
        <w:t xml:space="preserve">Cal-Am </w:t>
      </w:r>
      <w:r w:rsidRPr="00470269" w:rsidR="00486B3B">
        <w:t xml:space="preserve">also </w:t>
      </w:r>
      <w:r w:rsidRPr="00470269" w:rsidR="00E92A9D">
        <w:t>propose</w:t>
      </w:r>
      <w:r w:rsidRPr="00470269" w:rsidR="0092343F">
        <w:t>s</w:t>
      </w:r>
      <w:r w:rsidRPr="00470269" w:rsidR="00E92A9D">
        <w:t xml:space="preserve"> to</w:t>
      </w:r>
      <w:r w:rsidRPr="00470269" w:rsidR="008D6CD1">
        <w:t xml:space="preserve"> consolidate East Pasadena into </w:t>
      </w:r>
      <w:r w:rsidRPr="00470269" w:rsidR="00ED20C5">
        <w:t xml:space="preserve">Cal-Am’s </w:t>
      </w:r>
      <w:r w:rsidRPr="00470269" w:rsidR="008D6CD1">
        <w:t>Los</w:t>
      </w:r>
      <w:r w:rsidRPr="00470269" w:rsidR="002C730F">
        <w:t> </w:t>
      </w:r>
      <w:r w:rsidRPr="00470269" w:rsidR="008D6CD1">
        <w:t xml:space="preserve">Angeles </w:t>
      </w:r>
      <w:r w:rsidR="00D07079">
        <w:t xml:space="preserve">County </w:t>
      </w:r>
      <w:r w:rsidRPr="00470269" w:rsidR="008D6CD1">
        <w:t>District</w:t>
      </w:r>
      <w:r w:rsidRPr="008279CB" w:rsidR="008D6CD1">
        <w:rPr>
          <w:rStyle w:val="FootnoteReference"/>
        </w:rPr>
        <w:footnoteReference w:id="10"/>
      </w:r>
      <w:r w:rsidRPr="00470269" w:rsidR="008D6CD1">
        <w:t xml:space="preserve"> </w:t>
      </w:r>
      <w:r w:rsidRPr="00470269" w:rsidR="00ED20C5">
        <w:t xml:space="preserve">in two steps. </w:t>
      </w:r>
      <w:r w:rsidR="002B59C2">
        <w:t xml:space="preserve"> </w:t>
      </w:r>
      <w:r w:rsidRPr="00470269" w:rsidR="00ED20C5">
        <w:t xml:space="preserve">First, </w:t>
      </w:r>
      <w:r w:rsidRPr="00470269" w:rsidR="008F0C1C">
        <w:t xml:space="preserve">the East Pasadena system would be immediately consolidated </w:t>
      </w:r>
      <w:r w:rsidRPr="00470269" w:rsidR="000B75F4">
        <w:t xml:space="preserve">into the Los Angeles </w:t>
      </w:r>
      <w:r w:rsidR="00D07079">
        <w:t xml:space="preserve">County </w:t>
      </w:r>
      <w:r w:rsidRPr="00470269" w:rsidR="000B75F4">
        <w:t xml:space="preserve">District </w:t>
      </w:r>
      <w:r w:rsidRPr="00470269" w:rsidR="001F3D41">
        <w:t>for operational purposes</w:t>
      </w:r>
      <w:r w:rsidRPr="00470269" w:rsidR="000B75F4">
        <w:t xml:space="preserve">. </w:t>
      </w:r>
      <w:r w:rsidR="002B59C2">
        <w:t xml:space="preserve"> </w:t>
      </w:r>
      <w:r w:rsidRPr="00470269" w:rsidR="000B75F4">
        <w:t>Then</w:t>
      </w:r>
      <w:r w:rsidRPr="00470269" w:rsidR="0053645A">
        <w:t>,</w:t>
      </w:r>
      <w:r w:rsidRPr="00470269" w:rsidR="001F3D41">
        <w:t xml:space="preserve"> in 2024</w:t>
      </w:r>
      <w:r w:rsidRPr="00470269" w:rsidR="0053645A">
        <w:t xml:space="preserve">, East Pasadena would be consolidated </w:t>
      </w:r>
      <w:r w:rsidRPr="00470269" w:rsidR="001F3D41">
        <w:t>for ratemaking purposes</w:t>
      </w:r>
      <w:r w:rsidRPr="00470269" w:rsidR="00A01A6C">
        <w:t xml:space="preserve"> in Cal-Am’s next scheduled general rate</w:t>
      </w:r>
      <w:r w:rsidRPr="00470269" w:rsidR="00E504C5">
        <w:t xml:space="preserve"> case</w:t>
      </w:r>
      <w:r w:rsidRPr="00470269" w:rsidR="002372F4">
        <w:t xml:space="preserve"> (GRC)</w:t>
      </w:r>
      <w:r w:rsidRPr="00470269" w:rsidR="001F3D41">
        <w:t xml:space="preserve">. </w:t>
      </w:r>
      <w:r w:rsidRPr="00470269" w:rsidR="002C730F">
        <w:t xml:space="preserve"> </w:t>
      </w:r>
      <w:r w:rsidRPr="00470269" w:rsidR="008D6CD1">
        <w:t>East Pasadena w</w:t>
      </w:r>
      <w:r w:rsidRPr="00470269">
        <w:t>ould</w:t>
      </w:r>
      <w:r w:rsidRPr="00470269" w:rsidR="008D6CD1">
        <w:t xml:space="preserve"> cease to exist as a</w:t>
      </w:r>
      <w:r w:rsidRPr="00470269" w:rsidR="00E131A0">
        <w:t xml:space="preserve"> separate </w:t>
      </w:r>
      <w:r w:rsidRPr="00470269" w:rsidR="008D6CD1">
        <w:t xml:space="preserve">water utility. </w:t>
      </w:r>
      <w:r w:rsidRPr="00470269" w:rsidR="00E131A0">
        <w:t>Its former customers w</w:t>
      </w:r>
      <w:r w:rsidRPr="00470269">
        <w:t>ould</w:t>
      </w:r>
      <w:r w:rsidRPr="00470269" w:rsidR="00E131A0">
        <w:t xml:space="preserve"> be served by Cal-Am under Cal-Am’s </w:t>
      </w:r>
      <w:r w:rsidRPr="00470269" w:rsidR="00635704">
        <w:t xml:space="preserve">Certificate of Public Convenience and Necessity (CPCN) and </w:t>
      </w:r>
      <w:r w:rsidRPr="00470269" w:rsidR="00FA05B9">
        <w:t xml:space="preserve">Cal-Am’s </w:t>
      </w:r>
      <w:r w:rsidRPr="00470269" w:rsidR="00635704">
        <w:t xml:space="preserve">CPCN </w:t>
      </w:r>
      <w:r w:rsidRPr="00470269">
        <w:t xml:space="preserve">would be </w:t>
      </w:r>
      <w:r w:rsidRPr="00470269" w:rsidR="00635704">
        <w:t>modified by this decision to encompass the territory formerly se</w:t>
      </w:r>
      <w:r w:rsidRPr="00470269" w:rsidR="00937D94">
        <w:t>r</w:t>
      </w:r>
      <w:r w:rsidRPr="00470269" w:rsidR="00635704">
        <w:t>ved by East Pasadena.</w:t>
      </w:r>
    </w:p>
    <w:p w:rsidRPr="00470269" w:rsidR="0053645A" w:rsidP="00470269" w:rsidRDefault="0053645A" w14:paraId="048BCEF9" w14:textId="35093AAC">
      <w:pPr>
        <w:pStyle w:val="Standard"/>
      </w:pPr>
      <w:r w:rsidRPr="00470269">
        <w:lastRenderedPageBreak/>
        <w:t xml:space="preserve">The Joint </w:t>
      </w:r>
      <w:r w:rsidRPr="00470269" w:rsidR="00AB347E">
        <w:t>Applicants</w:t>
      </w:r>
      <w:r w:rsidRPr="00470269">
        <w:t xml:space="preserve"> </w:t>
      </w:r>
      <w:r w:rsidRPr="00470269" w:rsidR="00486B3B">
        <w:t xml:space="preserve">contend that </w:t>
      </w:r>
      <w:r w:rsidRPr="00470269" w:rsidR="00FA05B9">
        <w:t xml:space="preserve">the </w:t>
      </w:r>
      <w:r w:rsidRPr="00470269" w:rsidR="005E723C">
        <w:t xml:space="preserve">$34 million purchase </w:t>
      </w:r>
      <w:r w:rsidRPr="00470269" w:rsidR="004D7474">
        <w:t>price</w:t>
      </w:r>
      <w:r w:rsidRPr="00470269" w:rsidR="004C38D3">
        <w:t xml:space="preserve"> represents the fair market value of the </w:t>
      </w:r>
      <w:r w:rsidRPr="00470269" w:rsidR="003C5E1F">
        <w:t>ut</w:t>
      </w:r>
      <w:r w:rsidRPr="00470269" w:rsidR="008F7D4F">
        <w:t xml:space="preserve">ility-related </w:t>
      </w:r>
      <w:r w:rsidRPr="00470269" w:rsidR="004C38D3">
        <w:t>assets</w:t>
      </w:r>
      <w:r w:rsidRPr="00470269" w:rsidR="008F7D4F">
        <w:t xml:space="preserve"> of East Pasaden</w:t>
      </w:r>
      <w:r w:rsidRPr="00470269" w:rsidR="008173E9">
        <w:t>a</w:t>
      </w:r>
      <w:r w:rsidRPr="00470269" w:rsidR="00486B3B">
        <w:t xml:space="preserve"> and seeks Commission approval of that value</w:t>
      </w:r>
      <w:r w:rsidRPr="00470269" w:rsidR="004C38D3">
        <w:t>.</w:t>
      </w:r>
      <w:r w:rsidRPr="00470269" w:rsidR="002C730F">
        <w:t xml:space="preserve"> </w:t>
      </w:r>
      <w:r w:rsidRPr="00470269" w:rsidR="00FB6133">
        <w:t xml:space="preserve"> T</w:t>
      </w:r>
      <w:r w:rsidRPr="00470269" w:rsidR="00C729B7">
        <w:t>he</w:t>
      </w:r>
      <w:r w:rsidRPr="00470269" w:rsidR="008F7D4F">
        <w:t>se</w:t>
      </w:r>
      <w:r w:rsidRPr="00470269" w:rsidR="00C729B7">
        <w:t xml:space="preserve"> assets </w:t>
      </w:r>
      <w:r w:rsidRPr="00470269" w:rsidR="00486B3B">
        <w:t xml:space="preserve">currently </w:t>
      </w:r>
      <w:r w:rsidRPr="00470269" w:rsidR="00C729B7">
        <w:t>have</w:t>
      </w:r>
      <w:r w:rsidRPr="00470269" w:rsidR="00937D94">
        <w:t xml:space="preserve"> a</w:t>
      </w:r>
      <w:r w:rsidRPr="00470269" w:rsidR="00C729B7">
        <w:t xml:space="preserve"> book value of approximately $4 million</w:t>
      </w:r>
      <w:r w:rsidRPr="00470269" w:rsidR="008D304C">
        <w:t xml:space="preserve"> and constitute East Pasadena’s rate base for </w:t>
      </w:r>
      <w:proofErr w:type="spellStart"/>
      <w:r w:rsidRPr="00470269" w:rsidR="008D304C">
        <w:t>ratesetting</w:t>
      </w:r>
      <w:proofErr w:type="spellEnd"/>
      <w:r w:rsidRPr="00470269" w:rsidR="008D304C">
        <w:t xml:space="preserve"> purposes</w:t>
      </w:r>
      <w:r w:rsidRPr="00470269" w:rsidR="00C729B7">
        <w:t xml:space="preserve">. </w:t>
      </w:r>
      <w:r w:rsidRPr="00470269" w:rsidR="00D76842">
        <w:t xml:space="preserve">As discussed below, current law allows Cal-Am to </w:t>
      </w:r>
      <w:r w:rsidRPr="00470269" w:rsidR="00665131">
        <w:t>include the fair market value of the assets in its rate base</w:t>
      </w:r>
      <w:r w:rsidRPr="00470269" w:rsidR="00065CBE">
        <w:t xml:space="preserve"> for </w:t>
      </w:r>
      <w:proofErr w:type="spellStart"/>
      <w:r w:rsidRPr="00470269" w:rsidR="00065CBE">
        <w:t>ratesetting</w:t>
      </w:r>
      <w:proofErr w:type="spellEnd"/>
      <w:r w:rsidRPr="00470269" w:rsidR="00065CBE">
        <w:t xml:space="preserve"> purposes</w:t>
      </w:r>
      <w:r w:rsidRPr="00470269" w:rsidR="00665131">
        <w:t>.</w:t>
      </w:r>
      <w:r w:rsidRPr="00470269" w:rsidR="002C730F">
        <w:t xml:space="preserve"> </w:t>
      </w:r>
      <w:r w:rsidRPr="00470269" w:rsidR="00665131">
        <w:t xml:space="preserve"> Thus, as proposed, this transaction would </w:t>
      </w:r>
      <w:r w:rsidRPr="00470269" w:rsidR="003162D4">
        <w:t xml:space="preserve">add $30 million to the combined rate base of </w:t>
      </w:r>
      <w:r w:rsidRPr="00470269" w:rsidR="00065CBE">
        <w:t>Cal</w:t>
      </w:r>
      <w:r w:rsidRPr="00470269" w:rsidR="009047D9">
        <w:t>-Am</w:t>
      </w:r>
      <w:r w:rsidRPr="00470269" w:rsidR="003162D4">
        <w:t>.</w:t>
      </w:r>
      <w:r w:rsidRPr="00470269" w:rsidR="002C730F">
        <w:t xml:space="preserve"> </w:t>
      </w:r>
      <w:r w:rsidRPr="00470269" w:rsidR="003162D4">
        <w:t xml:space="preserve"> </w:t>
      </w:r>
      <w:r w:rsidRPr="00470269" w:rsidR="009705C8">
        <w:t xml:space="preserve">The difference between the rate base valuation before and after acquisition is known as the </w:t>
      </w:r>
      <w:r w:rsidRPr="00470269" w:rsidR="001316C5">
        <w:t>“</w:t>
      </w:r>
      <w:r w:rsidRPr="00470269" w:rsidR="009705C8">
        <w:t>acquisition premium.</w:t>
      </w:r>
      <w:r w:rsidRPr="00470269" w:rsidR="001316C5">
        <w:t>”</w:t>
      </w:r>
      <w:r w:rsidRPr="00470269" w:rsidR="009705C8">
        <w:t xml:space="preserve"> </w:t>
      </w:r>
    </w:p>
    <w:p w:rsidRPr="00054EB4" w:rsidR="003318B3" w:rsidP="00506E52" w:rsidRDefault="003318B3" w14:paraId="641FB767" w14:textId="7F1421C9">
      <w:pPr>
        <w:pStyle w:val="Heading2"/>
        <w:numPr>
          <w:ilvl w:val="1"/>
          <w:numId w:val="1"/>
        </w:numPr>
      </w:pPr>
      <w:bookmarkStart w:name="_Toc72748063" w:id="17"/>
      <w:bookmarkStart w:name="_Toc76995738" w:id="18"/>
      <w:r w:rsidRPr="00054EB4">
        <w:t xml:space="preserve">Public Advocates Office Objects </w:t>
      </w:r>
      <w:r w:rsidR="00506E52">
        <w:br/>
      </w:r>
      <w:r w:rsidRPr="00054EB4">
        <w:t>to the Application</w:t>
      </w:r>
      <w:bookmarkEnd w:id="17"/>
      <w:bookmarkEnd w:id="18"/>
    </w:p>
    <w:p w:rsidRPr="00054EB4" w:rsidR="003318B3" w:rsidP="00470269" w:rsidRDefault="003318B3" w14:paraId="2FCBC981" w14:textId="3E1CAE81">
      <w:pPr>
        <w:pStyle w:val="Standard"/>
      </w:pPr>
      <w:r w:rsidRPr="00054EB4">
        <w:t>The Public Advocates Office argue</w:t>
      </w:r>
      <w:r w:rsidRPr="00054EB4" w:rsidR="008A228F">
        <w:t>d</w:t>
      </w:r>
      <w:r w:rsidRPr="00054EB4">
        <w:t xml:space="preserve"> that</w:t>
      </w:r>
      <w:r w:rsidRPr="00054EB4" w:rsidR="0001405F">
        <w:t xml:space="preserve"> </w:t>
      </w:r>
      <w:r w:rsidRPr="00054EB4">
        <w:t>the Joint Applicants</w:t>
      </w:r>
      <w:r w:rsidRPr="00054EB4" w:rsidR="0001405F">
        <w:t>' proposals</w:t>
      </w:r>
      <w:r w:rsidRPr="00054EB4">
        <w:t xml:space="preserve"> are not in the public interest and therefore </w:t>
      </w:r>
      <w:r w:rsidRPr="00054EB4" w:rsidR="0092343F">
        <w:t xml:space="preserve">would </w:t>
      </w:r>
      <w:r w:rsidRPr="00054EB4" w:rsidR="006374BE">
        <w:t>harm the</w:t>
      </w:r>
      <w:r w:rsidRPr="00054EB4">
        <w:t xml:space="preserve"> ratepayer</w:t>
      </w:r>
      <w:r w:rsidRPr="00054EB4" w:rsidR="006374BE">
        <w:t>s</w:t>
      </w:r>
      <w:r w:rsidRPr="00054EB4">
        <w:t xml:space="preserve"> if the Commission approves the application. </w:t>
      </w:r>
      <w:r w:rsidR="002C730F">
        <w:t xml:space="preserve"> </w:t>
      </w:r>
      <w:r w:rsidRPr="00054EB4">
        <w:t>The Public Advocates Office argue</w:t>
      </w:r>
      <w:r w:rsidRPr="00054EB4" w:rsidR="008A228F">
        <w:t>d</w:t>
      </w:r>
      <w:r w:rsidRPr="00054EB4">
        <w:t xml:space="preserve"> the transaction would be in the public interest only if a portion of the sale proceeds are reserved for the East Pasadena ratepayers, and further argue</w:t>
      </w:r>
      <w:r w:rsidRPr="00054EB4" w:rsidR="008A228F">
        <w:t>d</w:t>
      </w:r>
      <w:r w:rsidRPr="00054EB4">
        <w:t xml:space="preserve"> that the Commission’s gain-on-sale rules should </w:t>
      </w:r>
      <w:r w:rsidRPr="00054EB4" w:rsidR="0001405F">
        <w:t>apply</w:t>
      </w:r>
      <w:r w:rsidRPr="00054EB4">
        <w:t xml:space="preserve"> to apportion the sale proceeds between East Pasadena shareholders (the seller) and the ratepayers of the former East Pasadena service area rather than </w:t>
      </w:r>
      <w:proofErr w:type="gramStart"/>
      <w:r w:rsidRPr="00054EB4">
        <w:t>all of</w:t>
      </w:r>
      <w:proofErr w:type="gramEnd"/>
      <w:r w:rsidRPr="00054EB4">
        <w:t xml:space="preserve"> the proceeds accruing to the seller. </w:t>
      </w:r>
    </w:p>
    <w:p w:rsidRPr="00054EB4" w:rsidR="003318B3" w:rsidP="00506E52" w:rsidRDefault="003318B3" w14:paraId="7070AFCF" w14:textId="77777777">
      <w:pPr>
        <w:pStyle w:val="Heading1"/>
      </w:pPr>
      <w:bookmarkStart w:name="_Toc72748064" w:id="19"/>
      <w:bookmarkStart w:name="_Toc76995739" w:id="20"/>
      <w:bookmarkStart w:name="_Toc8123717" w:id="21"/>
      <w:r w:rsidRPr="00054EB4">
        <w:t xml:space="preserve">Issues Before the </w:t>
      </w:r>
      <w:r w:rsidRPr="001D1BA9">
        <w:t>Commission</w:t>
      </w:r>
      <w:bookmarkEnd w:id="19"/>
      <w:bookmarkEnd w:id="20"/>
    </w:p>
    <w:bookmarkEnd w:id="21"/>
    <w:p w:rsidRPr="00470269" w:rsidR="003318B3" w:rsidP="001D1BA9" w:rsidRDefault="003318B3" w14:paraId="1442D312" w14:textId="77777777">
      <w:pPr>
        <w:pStyle w:val="standard0"/>
        <w:keepNext/>
        <w:keepLines/>
        <w:rPr>
          <w:rFonts w:ascii="Book Antiqua" w:hAnsi="Book Antiqua" w:eastAsia="Book Antiqua"/>
          <w:szCs w:val="26"/>
        </w:rPr>
      </w:pPr>
      <w:r w:rsidRPr="00470269">
        <w:rPr>
          <w:rFonts w:ascii="Book Antiqua" w:hAnsi="Book Antiqua" w:eastAsia="Book Antiqua"/>
          <w:szCs w:val="26"/>
        </w:rPr>
        <w:t xml:space="preserve">The issues before the Commission are: </w:t>
      </w:r>
    </w:p>
    <w:p w:rsidRPr="00470269" w:rsidR="00345C8B" w:rsidP="001D1BA9" w:rsidRDefault="003318B3" w14:paraId="5C1439B7" w14:textId="39B12F29">
      <w:pPr>
        <w:pStyle w:val="ListAlpha"/>
        <w:numPr>
          <w:ilvl w:val="7"/>
          <w:numId w:val="36"/>
        </w:numPr>
      </w:pPr>
      <w:r w:rsidRPr="00470269">
        <w:t xml:space="preserve">Would permitting Cal-Am to purchase the water utility assets of East Pasadena be in the public interest? </w:t>
      </w:r>
    </w:p>
    <w:p w:rsidRPr="00470269" w:rsidR="00EC524C" w:rsidP="001D1BA9" w:rsidRDefault="003318B3" w14:paraId="2C1C267C" w14:textId="156BB89F">
      <w:pPr>
        <w:pStyle w:val="ListAlpha"/>
        <w:numPr>
          <w:ilvl w:val="7"/>
          <w:numId w:val="36"/>
        </w:numPr>
      </w:pPr>
      <w:bookmarkStart w:name="_Hlk71548620" w:id="22"/>
      <w:r w:rsidRPr="00470269">
        <w:t>How does the proposed transaction comport with Public Utilities (Pub.</w:t>
      </w:r>
      <w:r w:rsidRPr="00470269" w:rsidR="001D1BA9">
        <w:t> </w:t>
      </w:r>
      <w:r w:rsidRPr="00470269">
        <w:t xml:space="preserve">Util.) Code §§ 851-854 and §§ 2718-2720? </w:t>
      </w:r>
    </w:p>
    <w:p w:rsidRPr="00470269" w:rsidR="003318B3" w:rsidP="001D1BA9" w:rsidRDefault="003318B3" w14:paraId="4CEBBB0D" w14:textId="77777777">
      <w:pPr>
        <w:pStyle w:val="ListNum"/>
        <w:ind w:left="1440"/>
      </w:pPr>
      <w:r w:rsidRPr="00470269">
        <w:t xml:space="preserve">(1) Is the total final purchase price representative of the fair market value as defined by Pub. Util. Code § 2720? </w:t>
      </w:r>
    </w:p>
    <w:p w:rsidRPr="00470269" w:rsidR="003318B3" w:rsidP="001D1BA9" w:rsidRDefault="003318B3" w14:paraId="07FC90DD" w14:textId="77777777">
      <w:pPr>
        <w:pStyle w:val="ListNum"/>
        <w:ind w:left="1440"/>
      </w:pPr>
      <w:r w:rsidRPr="00470269">
        <w:lastRenderedPageBreak/>
        <w:t xml:space="preserve">(2) Should the Commission authorize rate base equal to the total final purchase price? </w:t>
      </w:r>
    </w:p>
    <w:p w:rsidRPr="00470269" w:rsidR="00EC524C" w:rsidP="001D1BA9" w:rsidRDefault="003318B3" w14:paraId="775FAAE8" w14:textId="1CA871BF">
      <w:pPr>
        <w:pStyle w:val="ListNum"/>
        <w:ind w:left="1440"/>
      </w:pPr>
      <w:r w:rsidRPr="00470269">
        <w:t xml:space="preserve">(3) Should the Commission approve the terms and conditions of the asset </w:t>
      </w:r>
      <w:bookmarkStart w:name="_Hlk71548510" w:id="23"/>
      <w:r w:rsidRPr="00470269">
        <w:t xml:space="preserve">purchase agreement between Cal-Am and East Pasadena, </w:t>
      </w:r>
      <w:proofErr w:type="gramStart"/>
      <w:r w:rsidRPr="00470269">
        <w:t>entered into</w:t>
      </w:r>
      <w:proofErr w:type="gramEnd"/>
      <w:r w:rsidRPr="00470269">
        <w:t xml:space="preserve"> on August 19, 2019? </w:t>
      </w:r>
      <w:bookmarkEnd w:id="22"/>
      <w:bookmarkEnd w:id="23"/>
    </w:p>
    <w:p w:rsidRPr="00470269" w:rsidR="00EC524C" w:rsidP="001D1BA9" w:rsidRDefault="003318B3" w14:paraId="41D44484" w14:textId="5A48443A">
      <w:pPr>
        <w:pStyle w:val="ListAlpha"/>
        <w:numPr>
          <w:ilvl w:val="7"/>
          <w:numId w:val="39"/>
        </w:numPr>
      </w:pPr>
      <w:r w:rsidRPr="00470269">
        <w:t xml:space="preserve">When and how should Cal-Am consolidate the East Pasadena service area with Cal-Am’s existing service area, for ratemaking and operational purposes? </w:t>
      </w:r>
    </w:p>
    <w:p w:rsidRPr="00470269" w:rsidR="00EC524C" w:rsidP="001D1BA9" w:rsidRDefault="003318B3" w14:paraId="7CA0AEE6" w14:textId="4268E941">
      <w:pPr>
        <w:pStyle w:val="ListAlpha"/>
        <w:numPr>
          <w:ilvl w:val="7"/>
          <w:numId w:val="39"/>
        </w:numPr>
      </w:pPr>
      <w:r w:rsidRPr="00470269">
        <w:t xml:space="preserve">Will the effects on Cal-Am and East Pasadena customers be fair and reasonable, </w:t>
      </w:r>
      <w:proofErr w:type="gramStart"/>
      <w:r w:rsidRPr="00470269">
        <w:t>in light of</w:t>
      </w:r>
      <w:proofErr w:type="gramEnd"/>
      <w:r w:rsidRPr="00470269">
        <w:t xml:space="preserve"> any benefits likely to accrue to customers of East Pasadena and Cal-Am? </w:t>
      </w:r>
    </w:p>
    <w:p w:rsidRPr="00470269" w:rsidR="003318B3" w:rsidP="001D1BA9" w:rsidRDefault="003318B3" w14:paraId="72D40104" w14:textId="77777777">
      <w:pPr>
        <w:pStyle w:val="ListNum"/>
        <w:ind w:left="1440"/>
      </w:pPr>
      <w:r w:rsidRPr="00470269">
        <w:t xml:space="preserve">(1) Should Cal-Am be permitted to file standard Consumer Price Index for All Urban Consumers (CPI-U) increases for 2021, 2022 and 2023 until new rates established through the Cal-Am 2022 General Rate Case (GRC) become effective (presumably January 1, 2024)? </w:t>
      </w:r>
    </w:p>
    <w:p w:rsidRPr="00470269" w:rsidR="003318B3" w:rsidP="001D1BA9" w:rsidRDefault="003318B3" w14:paraId="18B9B4E0" w14:textId="77777777">
      <w:pPr>
        <w:pStyle w:val="ListNum"/>
        <w:ind w:left="1440"/>
      </w:pPr>
      <w:r w:rsidRPr="00470269">
        <w:t xml:space="preserve">(2) Should Cal-Am be permitted to track in a memorandum account the difference in revenues billed at current East Pasadena rates and revenues that would have been billed from the final rates authorized in Cal-Am’s 2019 GRC including the integration of the East Pasadena system? </w:t>
      </w:r>
    </w:p>
    <w:p w:rsidRPr="00470269" w:rsidR="00EC524C" w:rsidP="001D1BA9" w:rsidRDefault="003318B3" w14:paraId="75BF3918" w14:textId="4DC9334F">
      <w:pPr>
        <w:pStyle w:val="ListNum"/>
        <w:ind w:left="1440"/>
      </w:pPr>
      <w:r w:rsidRPr="00470269">
        <w:t xml:space="preserve">(3) Should Cal-Am be permitted to create a memorandum account tracking the transaction costs? If not, how should transaction costs be treated? </w:t>
      </w:r>
    </w:p>
    <w:p w:rsidRPr="00470269" w:rsidR="00EC524C" w:rsidP="001D1BA9" w:rsidRDefault="003318B3" w14:paraId="554DF834" w14:textId="75F89CBA">
      <w:pPr>
        <w:pStyle w:val="ListAlpha"/>
        <w:numPr>
          <w:ilvl w:val="7"/>
          <w:numId w:val="38"/>
        </w:numPr>
      </w:pPr>
      <w:r w:rsidRPr="00470269">
        <w:t xml:space="preserve">Should Cal-Am be permitted to expand its existing Memorandum Account for Environmental Improvements and Compliance Issues for Acquisitions to include East Pasadena? </w:t>
      </w:r>
    </w:p>
    <w:p w:rsidRPr="00470269" w:rsidR="003318B3" w:rsidP="001D1BA9" w:rsidRDefault="003318B3" w14:paraId="28369D8D" w14:textId="4D204432">
      <w:pPr>
        <w:pStyle w:val="ListAlpha"/>
        <w:numPr>
          <w:ilvl w:val="7"/>
          <w:numId w:val="38"/>
        </w:numPr>
      </w:pPr>
      <w:r w:rsidRPr="00470269">
        <w:t>Should the Commission expand Cal-Am’s Certificate of Public Convenience and Necessity and relieve East Pasadena of its public utility responsibilities following the completion of the transaction?</w:t>
      </w:r>
      <w:bookmarkStart w:name="_Hlk71547432" w:id="24"/>
    </w:p>
    <w:p w:rsidRPr="00054EB4" w:rsidR="003B7983" w:rsidP="00506E52" w:rsidRDefault="001215FE" w14:paraId="4614D587" w14:textId="1CFCC39A">
      <w:pPr>
        <w:pStyle w:val="Heading1"/>
      </w:pPr>
      <w:bookmarkStart w:name="_Hlk71547412" w:id="25"/>
      <w:bookmarkStart w:name="_Toc72748065" w:id="26"/>
      <w:bookmarkStart w:name="_Toc76995740" w:id="27"/>
      <w:r w:rsidRPr="001D1BA9">
        <w:lastRenderedPageBreak/>
        <w:t>Applicable</w:t>
      </w:r>
      <w:r w:rsidRPr="00054EB4">
        <w:t xml:space="preserve"> Legal Framework</w:t>
      </w:r>
      <w:bookmarkStart w:name="_Toc8123719" w:id="28"/>
      <w:bookmarkEnd w:id="25"/>
      <w:bookmarkEnd w:id="26"/>
      <w:bookmarkEnd w:id="27"/>
    </w:p>
    <w:p w:rsidRPr="00470269" w:rsidR="00830787" w:rsidP="00470269" w:rsidRDefault="009267CB" w14:paraId="587040D6" w14:textId="0AFD4F2F">
      <w:pPr>
        <w:pStyle w:val="Standard"/>
      </w:pPr>
      <w:bookmarkStart w:name="_Hlk71191475" w:id="29"/>
      <w:bookmarkStart w:name="_Hlk71550525" w:id="30"/>
      <w:bookmarkEnd w:id="24"/>
      <w:r w:rsidRPr="00470269">
        <w:t>As we review the Joint Applicant’s proposed transaction,</w:t>
      </w:r>
      <w:r w:rsidRPr="008279CB" w:rsidR="0010179F">
        <w:rPr>
          <w:rStyle w:val="FootnoteReference"/>
        </w:rPr>
        <w:footnoteReference w:id="11"/>
      </w:r>
      <w:r w:rsidRPr="00470269">
        <w:t xml:space="preserve"> t</w:t>
      </w:r>
      <w:r w:rsidRPr="00470269" w:rsidR="0084041D">
        <w:t>he Commission must find the proposed sale and</w:t>
      </w:r>
      <w:r w:rsidRPr="00470269" w:rsidR="00B86A16">
        <w:t xml:space="preserve"> asset purchase </w:t>
      </w:r>
      <w:bookmarkEnd w:id="29"/>
      <w:r w:rsidRPr="00470269" w:rsidR="0084041D">
        <w:t xml:space="preserve">transaction to be in the public interest according to </w:t>
      </w:r>
      <w:r w:rsidRPr="00470269" w:rsidR="0010179F">
        <w:t xml:space="preserve">Pub. Util. Code </w:t>
      </w:r>
      <w:bookmarkStart w:name="_Hlk71547465" w:id="31"/>
      <w:bookmarkStart w:name="_Hlk71547379" w:id="32"/>
      <w:r w:rsidRPr="00470269" w:rsidR="003B7983">
        <w:t>§§ 851</w:t>
      </w:r>
      <w:r w:rsidRPr="00470269" w:rsidR="00DE086E">
        <w:t xml:space="preserve"> </w:t>
      </w:r>
      <w:r w:rsidRPr="00636FD3" w:rsidR="00A34056">
        <w:rPr>
          <w:i/>
          <w:iCs/>
        </w:rPr>
        <w:t>et seq</w:t>
      </w:r>
      <w:bookmarkEnd w:id="31"/>
      <w:r w:rsidRPr="00636FD3" w:rsidR="00A34056">
        <w:rPr>
          <w:i/>
          <w:iCs/>
        </w:rPr>
        <w:t>.</w:t>
      </w:r>
      <w:r w:rsidR="007E44A8">
        <w:rPr>
          <w:i/>
          <w:iCs/>
        </w:rPr>
        <w:t>,</w:t>
      </w:r>
      <w:r w:rsidRPr="00470269" w:rsidR="00A34056">
        <w:t xml:space="preserve"> </w:t>
      </w:r>
      <w:bookmarkEnd w:id="32"/>
      <w:r w:rsidR="000C3DFF">
        <w:t>as illuminated by</w:t>
      </w:r>
      <w:r w:rsidRPr="00470269" w:rsidR="00A26EDD">
        <w:t xml:space="preserve"> </w:t>
      </w:r>
      <w:r w:rsidRPr="00470269" w:rsidR="000663DD">
        <w:t>§§</w:t>
      </w:r>
      <w:r w:rsidR="00506E52">
        <w:t> </w:t>
      </w:r>
      <w:r w:rsidRPr="00470269" w:rsidR="005042DE">
        <w:t xml:space="preserve">2718 </w:t>
      </w:r>
      <w:r w:rsidRPr="008279CB" w:rsidR="00A34056">
        <w:rPr>
          <w:i/>
          <w:iCs/>
        </w:rPr>
        <w:t>et seq</w:t>
      </w:r>
      <w:r w:rsidRPr="00470269" w:rsidR="00A34056">
        <w:t xml:space="preserve">. </w:t>
      </w:r>
      <w:r w:rsidR="001E2710">
        <w:t xml:space="preserve"> </w:t>
      </w:r>
      <w:r w:rsidR="000C3DFF">
        <w:t>We will also address</w:t>
      </w:r>
      <w:r w:rsidRPr="00470269" w:rsidR="005042DE">
        <w:t xml:space="preserve"> </w:t>
      </w:r>
      <w:r w:rsidRPr="00470269" w:rsidR="000663DD">
        <w:t>§</w:t>
      </w:r>
      <w:r w:rsidRPr="00470269" w:rsidR="005042DE">
        <w:t xml:space="preserve">§ 451 </w:t>
      </w:r>
      <w:r w:rsidRPr="008279CB" w:rsidR="00A34056">
        <w:rPr>
          <w:i/>
          <w:iCs/>
        </w:rPr>
        <w:t>et seq.</w:t>
      </w:r>
      <w:r w:rsidR="001E2710">
        <w:rPr>
          <w:i/>
          <w:iCs/>
        </w:rPr>
        <w:t>,</w:t>
      </w:r>
      <w:r w:rsidRPr="00470269">
        <w:t xml:space="preserve"> as applied to the proposed transaction.</w:t>
      </w:r>
    </w:p>
    <w:p w:rsidRPr="00A56823" w:rsidR="009C7F86" w:rsidP="00506E52" w:rsidRDefault="009C7F86" w14:paraId="648CCC43" w14:textId="1D9F80F8">
      <w:pPr>
        <w:pStyle w:val="Heading2"/>
      </w:pPr>
      <w:bookmarkStart w:name="_Toc72748066" w:id="33"/>
      <w:bookmarkStart w:name="_Toc76995741" w:id="34"/>
      <w:bookmarkEnd w:id="30"/>
      <w:r w:rsidRPr="00C95FB7">
        <w:t xml:space="preserve">Sections </w:t>
      </w:r>
      <w:r w:rsidRPr="001D1BA9">
        <w:t>851</w:t>
      </w:r>
      <w:r w:rsidRPr="00C95FB7">
        <w:t xml:space="preserve"> </w:t>
      </w:r>
      <w:r w:rsidRPr="001D1BA9">
        <w:rPr>
          <w:i/>
          <w:iCs/>
        </w:rPr>
        <w:t>et seq.</w:t>
      </w:r>
      <w:bookmarkEnd w:id="33"/>
      <w:bookmarkEnd w:id="34"/>
    </w:p>
    <w:p w:rsidRPr="00470269" w:rsidR="009C7F86" w:rsidP="001D1BA9" w:rsidRDefault="000663DD" w14:paraId="66B9D471" w14:textId="0899B62D">
      <w:pPr>
        <w:pStyle w:val="Standard"/>
        <w:rPr>
          <w:lang w:bidi="en-US"/>
        </w:rPr>
      </w:pPr>
      <w:r w:rsidRPr="00470269">
        <w:rPr>
          <w:lang w:bidi="en-US"/>
        </w:rPr>
        <w:t xml:space="preserve">Section </w:t>
      </w:r>
      <w:r w:rsidRPr="00470269" w:rsidR="00DE086E">
        <w:rPr>
          <w:lang w:bidi="en-US"/>
        </w:rPr>
        <w:t xml:space="preserve">851, in relevant part, requires Commission approval before a public utility may sell the </w:t>
      </w:r>
      <w:r w:rsidRPr="00470269" w:rsidR="00DE086E">
        <w:t>whole</w:t>
      </w:r>
      <w:r w:rsidRPr="00470269" w:rsidR="00DE086E">
        <w:rPr>
          <w:lang w:bidi="en-US"/>
        </w:rPr>
        <w:t xml:space="preserve"> or any part of its property </w:t>
      </w:r>
      <w:r w:rsidRPr="00470269" w:rsidR="00830787">
        <w:rPr>
          <w:lang w:bidi="en-US"/>
        </w:rPr>
        <w:t>or</w:t>
      </w:r>
      <w:r w:rsidRPr="00470269" w:rsidR="00DE086E">
        <w:rPr>
          <w:lang w:bidi="en-US"/>
        </w:rPr>
        <w:t xml:space="preserve"> rights </w:t>
      </w:r>
      <w:r w:rsidRPr="00470269" w:rsidR="001316C5">
        <w:rPr>
          <w:lang w:bidi="en-US"/>
        </w:rPr>
        <w:t>“</w:t>
      </w:r>
      <w:r w:rsidRPr="00470269" w:rsidR="00DE086E">
        <w:rPr>
          <w:lang w:bidi="en-US"/>
        </w:rPr>
        <w:t>necessary or useful in the performance of its duties to the public,</w:t>
      </w:r>
      <w:r w:rsidRPr="00470269" w:rsidR="001316C5">
        <w:rPr>
          <w:lang w:bidi="en-US"/>
        </w:rPr>
        <w:t>”</w:t>
      </w:r>
      <w:r w:rsidRPr="00470269" w:rsidR="00DE086E">
        <w:rPr>
          <w:lang w:bidi="en-US"/>
        </w:rPr>
        <w:t xml:space="preserve"> and § 854(a) requires Commission authorization before any person or corporation may acquire or merge with any public utility.</w:t>
      </w:r>
      <w:r w:rsidRPr="00470269" w:rsidR="002C730F">
        <w:rPr>
          <w:lang w:bidi="en-US"/>
        </w:rPr>
        <w:t xml:space="preserve"> </w:t>
      </w:r>
      <w:r w:rsidRPr="00470269" w:rsidR="00DE086E">
        <w:rPr>
          <w:lang w:bidi="en-US"/>
        </w:rPr>
        <w:t xml:space="preserve"> </w:t>
      </w:r>
      <w:r w:rsidRPr="00470269" w:rsidR="00D011EC">
        <w:rPr>
          <w:lang w:bidi="en-US"/>
        </w:rPr>
        <w:t>The Commission has long interpreted the</w:t>
      </w:r>
      <w:r w:rsidRPr="00470269" w:rsidR="00A60BDC">
        <w:rPr>
          <w:lang w:bidi="en-US"/>
        </w:rPr>
        <w:t>se</w:t>
      </w:r>
      <w:r w:rsidRPr="00470269" w:rsidR="00D011EC">
        <w:rPr>
          <w:lang w:bidi="en-US"/>
        </w:rPr>
        <w:t xml:space="preserve"> code sections to prohibit acquisitions, mergers, and transfers of control unless the Commission </w:t>
      </w:r>
      <w:r w:rsidRPr="00470269" w:rsidR="001A4D43">
        <w:rPr>
          <w:lang w:bidi="en-US"/>
        </w:rPr>
        <w:t xml:space="preserve">has found </w:t>
      </w:r>
      <w:r w:rsidRPr="00470269" w:rsidR="00D011EC">
        <w:rPr>
          <w:lang w:bidi="en-US"/>
        </w:rPr>
        <w:t xml:space="preserve">the proposed transaction to be in the public interest. </w:t>
      </w:r>
    </w:p>
    <w:p w:rsidRPr="00470269" w:rsidR="009C7F86" w:rsidP="001D1BA9" w:rsidRDefault="009C7F86" w14:paraId="7E99B012" w14:textId="060BF72B">
      <w:pPr>
        <w:pStyle w:val="Standard"/>
      </w:pPr>
      <w:r w:rsidRPr="00470269">
        <w:t xml:space="preserve">In addition, </w:t>
      </w:r>
      <w:bookmarkStart w:name="_Hlk71554111" w:id="35"/>
      <w:r w:rsidRPr="00470269">
        <w:t xml:space="preserve">subsections (b), (c), and (d) of § 854 contain a list of public interest criteria for </w:t>
      </w:r>
      <w:r w:rsidR="00D4100A">
        <w:t xml:space="preserve">transactions involving </w:t>
      </w:r>
      <w:r w:rsidRPr="00470269">
        <w:t>electric, gas and telephone corporations.</w:t>
      </w:r>
      <w:r w:rsidRPr="00470269">
        <w:rPr>
          <w:rStyle w:val="FootnoteReference"/>
          <w:rFonts w:eastAsia="Book Antiqua" w:cs="Book Antiqua"/>
          <w:szCs w:val="26"/>
        </w:rPr>
        <w:footnoteReference w:id="12"/>
      </w:r>
      <w:r w:rsidRPr="00470269">
        <w:t xml:space="preserve"> </w:t>
      </w:r>
      <w:r w:rsidRPr="00470269" w:rsidR="002C730F">
        <w:t xml:space="preserve"> </w:t>
      </w:r>
      <w:r w:rsidRPr="00470269">
        <w:t xml:space="preserve">Although </w:t>
      </w:r>
      <w:r w:rsidR="00841CA7">
        <w:t xml:space="preserve">these subsections, by their terms, do not apply to </w:t>
      </w:r>
      <w:r w:rsidRPr="00470269">
        <w:t xml:space="preserve">water utilities, </w:t>
      </w:r>
      <w:r w:rsidRPr="00470269" w:rsidR="0092343F">
        <w:t>the Commission has referred to the</w:t>
      </w:r>
      <w:r w:rsidR="00D4100A">
        <w:t>se</w:t>
      </w:r>
      <w:r w:rsidRPr="00470269" w:rsidR="0092343F">
        <w:t xml:space="preserve"> public interest criteria in its review of proposed water utility transactions</w:t>
      </w:r>
      <w:r w:rsidR="00841CA7">
        <w:t xml:space="preserve"> to identify various aspects of the public interest.</w:t>
      </w:r>
      <w:r w:rsidR="00841CA7">
        <w:rPr>
          <w:rStyle w:val="FootnoteReference"/>
        </w:rPr>
        <w:footnoteReference w:id="13"/>
      </w:r>
      <w:r w:rsidR="00841CA7">
        <w:t xml:space="preserve"> </w:t>
      </w:r>
      <w:r w:rsidRPr="00470269" w:rsidR="0092343F">
        <w:t xml:space="preserve"> </w:t>
      </w:r>
      <w:r w:rsidR="00841CA7">
        <w:t>Here, we reference</w:t>
      </w:r>
      <w:r w:rsidRPr="00470269">
        <w:t xml:space="preserve"> the eight criteria in subsection (c) primarily to point out that the public interest is comprised of </w:t>
      </w:r>
      <w:r w:rsidR="00E3744E">
        <w:t>a mix</w:t>
      </w:r>
      <w:r w:rsidR="001269A3">
        <w:t xml:space="preserve"> of interests: </w:t>
      </w:r>
      <w:r w:rsidRPr="00470269">
        <w:t xml:space="preserve">ratepayer </w:t>
      </w:r>
      <w:r w:rsidRPr="00470269">
        <w:lastRenderedPageBreak/>
        <w:t>interests, shareholder interests, public utility employee interests, as well as local and statewide community interests.</w:t>
      </w:r>
      <w:r w:rsidRPr="00470269">
        <w:rPr>
          <w:rStyle w:val="FootnoteReference"/>
          <w:rFonts w:eastAsia="Book Antiqua" w:cs="Book Antiqua"/>
          <w:szCs w:val="26"/>
        </w:rPr>
        <w:footnoteReference w:id="14"/>
      </w:r>
      <w:bookmarkEnd w:id="35"/>
    </w:p>
    <w:p w:rsidRPr="00470269" w:rsidR="009C7F86" w:rsidP="009C7F86" w:rsidRDefault="009C7F86" w14:paraId="6904A463" w14:textId="34065A3E">
      <w:pPr>
        <w:pStyle w:val="Standard"/>
      </w:pPr>
      <w:r w:rsidRPr="00470269">
        <w:t xml:space="preserve">Subsection (e) of § 854 also applies here and provides, as follows: </w:t>
      </w:r>
    </w:p>
    <w:p w:rsidRPr="00470269" w:rsidR="009C7F86" w:rsidP="002C730F" w:rsidRDefault="009C7F86" w14:paraId="7DC200BE" w14:textId="1088B561">
      <w:pPr>
        <w:pStyle w:val="BlockQuote"/>
        <w:ind w:right="1440"/>
      </w:pPr>
      <w:r w:rsidRPr="00470269">
        <w:t>When reviewing a merger, acquisition, or control proposal, the commission shall consider reasonable options to the proposal recommended by other parties, including no new merger, acquisition, or control, to determine whether comparable short-term and long-term economic savings can be achieved through other means while avoiding the possible adverse consequences of the proposal.</w:t>
      </w:r>
    </w:p>
    <w:p w:rsidRPr="00506E52" w:rsidR="009C7F86" w:rsidP="00506E52" w:rsidRDefault="009C7F86" w14:paraId="0217D4B0" w14:textId="35077151">
      <w:pPr>
        <w:pStyle w:val="Heading2"/>
      </w:pPr>
      <w:bookmarkStart w:name="_Toc72748067" w:id="36"/>
      <w:bookmarkStart w:name="_Toc76995742" w:id="37"/>
      <w:r w:rsidRPr="00506E52">
        <w:t>Sections 2718 -2720</w:t>
      </w:r>
      <w:bookmarkEnd w:id="36"/>
      <w:bookmarkEnd w:id="37"/>
    </w:p>
    <w:p w:rsidRPr="00470269" w:rsidR="00A24D20" w:rsidP="00A24D20" w:rsidRDefault="007A6106" w14:paraId="5A83A3EF" w14:textId="7EC490A8">
      <w:pPr>
        <w:pStyle w:val="Standard"/>
      </w:pPr>
      <w:r w:rsidRPr="00470269">
        <w:t>In</w:t>
      </w:r>
      <w:r w:rsidRPr="00470269" w:rsidR="00097A37">
        <w:t xml:space="preserve"> 1997</w:t>
      </w:r>
      <w:r w:rsidRPr="00470269" w:rsidR="00C0076A">
        <w:t>,</w:t>
      </w:r>
      <w:r w:rsidRPr="00470269" w:rsidR="00097A37">
        <w:t xml:space="preserve"> the Legislature enacted the Public Water System Investment and Consolidation Act as codified in §§ 2718 -2</w:t>
      </w:r>
      <w:r w:rsidRPr="00470269" w:rsidR="005B3073">
        <w:t>720</w:t>
      </w:r>
      <w:r w:rsidRPr="00470269" w:rsidR="00FB2214">
        <w:t xml:space="preserve"> </w:t>
      </w:r>
      <w:r w:rsidRPr="00470269" w:rsidR="00EF5824">
        <w:t>and</w:t>
      </w:r>
      <w:r w:rsidRPr="00470269" w:rsidR="00A24D20">
        <w:t xml:space="preserve"> </w:t>
      </w:r>
      <w:r w:rsidRPr="00470269" w:rsidR="00C273B3">
        <w:t>which includes</w:t>
      </w:r>
      <w:r w:rsidRPr="00470269" w:rsidR="00D04FBB">
        <w:t xml:space="preserve"> as policy</w:t>
      </w:r>
      <w:r w:rsidRPr="00470269" w:rsidR="00A24D20">
        <w:t>:</w:t>
      </w:r>
    </w:p>
    <w:p w:rsidRPr="00470269" w:rsidR="00A24D20" w:rsidP="001D1BA9" w:rsidRDefault="00A24D20" w14:paraId="0734FC6B" w14:textId="1E8DDF5A">
      <w:pPr>
        <w:pStyle w:val="ListAlpha"/>
        <w:numPr>
          <w:ilvl w:val="7"/>
          <w:numId w:val="40"/>
        </w:numPr>
      </w:pPr>
      <w:r w:rsidRPr="00470269">
        <w:t>Public water systems are faced with the need to replace or upgrade the public water system infrastructure to meet increasingly stringent state and federal safe drinking water laws and regulations governing fire flow standards for public fire protection.</w:t>
      </w:r>
    </w:p>
    <w:p w:rsidRPr="00470269" w:rsidR="00A24D20" w:rsidP="001D1BA9" w:rsidRDefault="00A24D20" w14:paraId="16C43A43" w14:textId="1538CCE2">
      <w:pPr>
        <w:pStyle w:val="ListAlpha"/>
        <w:numPr>
          <w:ilvl w:val="7"/>
          <w:numId w:val="40"/>
        </w:numPr>
      </w:pPr>
      <w:r w:rsidRPr="00470269">
        <w:lastRenderedPageBreak/>
        <w:t>Increasing amounts of capital are required to finance the necessary investment in public water system infrastructure.</w:t>
      </w:r>
    </w:p>
    <w:p w:rsidRPr="00470269" w:rsidR="00A24D20" w:rsidP="001D1BA9" w:rsidRDefault="00A24D20" w14:paraId="00FBE852" w14:textId="4D0EFEAE">
      <w:pPr>
        <w:pStyle w:val="ListAlpha"/>
        <w:numPr>
          <w:ilvl w:val="7"/>
          <w:numId w:val="40"/>
        </w:numPr>
      </w:pPr>
      <w:r w:rsidRPr="00470269">
        <w:t>Scale economies are achievable in the operation of public water systems.</w:t>
      </w:r>
    </w:p>
    <w:p w:rsidRPr="00470269" w:rsidR="00A24D20" w:rsidP="001D1BA9" w:rsidRDefault="00A24D20" w14:paraId="7018BCAD" w14:textId="764862DA">
      <w:pPr>
        <w:pStyle w:val="ListAlpha"/>
        <w:numPr>
          <w:ilvl w:val="7"/>
          <w:numId w:val="40"/>
        </w:numPr>
      </w:pPr>
      <w:r w:rsidRPr="00470269">
        <w:t>Providing water corporations with an incentive to achieve these scale economies will provide benefits to ratepayers.</w:t>
      </w:r>
      <w:r w:rsidRPr="00470269">
        <w:rPr>
          <w:rStyle w:val="FootnoteReference"/>
        </w:rPr>
        <w:footnoteReference w:id="15"/>
      </w:r>
    </w:p>
    <w:p w:rsidRPr="00470269" w:rsidR="00802735" w:rsidP="006C39BD" w:rsidRDefault="005B3073" w14:paraId="5152E3A8" w14:textId="2FA92822">
      <w:pPr>
        <w:pStyle w:val="Standard"/>
      </w:pPr>
      <w:r w:rsidRPr="00470269">
        <w:t xml:space="preserve">The </w:t>
      </w:r>
      <w:r w:rsidR="003818FC">
        <w:t xml:space="preserve">Public </w:t>
      </w:r>
      <w:r w:rsidRPr="00470269" w:rsidR="00FB2214">
        <w:t xml:space="preserve">Water System Investment </w:t>
      </w:r>
      <w:r w:rsidRPr="00470269" w:rsidR="0092343F">
        <w:t xml:space="preserve">and Consolidation </w:t>
      </w:r>
      <w:r w:rsidRPr="00470269" w:rsidR="00FB2214">
        <w:t xml:space="preserve">Act </w:t>
      </w:r>
      <w:r w:rsidRPr="00470269" w:rsidR="00A24D20">
        <w:t>set</w:t>
      </w:r>
      <w:r w:rsidRPr="00470269" w:rsidR="00EF5824">
        <w:t>s</w:t>
      </w:r>
      <w:r w:rsidRPr="00470269" w:rsidR="00A24D20">
        <w:t xml:space="preserve"> out a framework to incentivize </w:t>
      </w:r>
      <w:r w:rsidRPr="00470269" w:rsidR="000329B9">
        <w:t>acquisition</w:t>
      </w:r>
      <w:r w:rsidR="00BC49E3">
        <w:t>s</w:t>
      </w:r>
      <w:r w:rsidRPr="00470269" w:rsidR="000329B9">
        <w:t xml:space="preserve"> of small water systems by larger, more financially secure</w:t>
      </w:r>
      <w:r w:rsidRPr="00470269" w:rsidR="00E43263">
        <w:t xml:space="preserve"> entities</w:t>
      </w:r>
      <w:r w:rsidRPr="00470269" w:rsidR="00EF5824">
        <w:t>,</w:t>
      </w:r>
      <w:r w:rsidRPr="00470269" w:rsidR="00A24D20">
        <w:t xml:space="preserve"> while leaving intact the Commission</w:t>
      </w:r>
      <w:r w:rsidRPr="00470269" w:rsidR="00EF5824">
        <w:t xml:space="preserve"> existing </w:t>
      </w:r>
      <w:r w:rsidRPr="00470269" w:rsidR="00A24D20">
        <w:t>“powers and responsibilities granted pursuant to Sections 851 and 852.”</w:t>
      </w:r>
      <w:r w:rsidRPr="00470269" w:rsidR="00EF5824">
        <w:rPr>
          <w:rStyle w:val="FootnoteReference"/>
        </w:rPr>
        <w:footnoteReference w:id="16"/>
      </w:r>
      <w:r w:rsidRPr="00470269" w:rsidR="00EF5824">
        <w:t xml:space="preserve"> </w:t>
      </w:r>
      <w:r w:rsidR="00506E52">
        <w:t xml:space="preserve"> </w:t>
      </w:r>
      <w:r w:rsidRPr="00470269" w:rsidR="00B9022B">
        <w:t xml:space="preserve">Significantly, </w:t>
      </w:r>
      <w:r w:rsidRPr="00470269" w:rsidR="00802735">
        <w:t>§</w:t>
      </w:r>
      <w:r w:rsidR="00506E52">
        <w:t> </w:t>
      </w:r>
      <w:r w:rsidRPr="00470269" w:rsidR="00802735">
        <w:t>2720, subsection (a) provides:</w:t>
      </w:r>
    </w:p>
    <w:p w:rsidRPr="00470269" w:rsidR="00145398" w:rsidP="001D1BA9" w:rsidRDefault="00802735" w14:paraId="798C8CC9" w14:textId="2D27C41E">
      <w:pPr>
        <w:pStyle w:val="BlockQuote"/>
      </w:pPr>
      <w:r w:rsidRPr="00470269">
        <w:t>The commission shall use the standard of fair market value when establishing the rate base value for the distribution system of a public water system acquired by a water corporation.</w:t>
      </w:r>
    </w:p>
    <w:p w:rsidRPr="00470269" w:rsidR="003102FA" w:rsidP="00636FD3" w:rsidRDefault="0009604F" w14:paraId="66C2A443" w14:textId="331BE81D">
      <w:pPr>
        <w:pStyle w:val="Standard"/>
      </w:pPr>
      <w:bookmarkStart w:name="_Hlk72343902" w:id="38"/>
      <w:r w:rsidRPr="00470269">
        <w:t>T</w:t>
      </w:r>
      <w:r w:rsidRPr="00470269" w:rsidR="00942B4D">
        <w:t xml:space="preserve">he </w:t>
      </w:r>
      <w:r w:rsidRPr="00470269" w:rsidR="00345345">
        <w:t>Public Water System Investment and Consolidation Act</w:t>
      </w:r>
      <w:r w:rsidRPr="00470269" w:rsidR="00942B4D">
        <w:t xml:space="preserve"> </w:t>
      </w:r>
      <w:r w:rsidR="001E271B">
        <w:t xml:space="preserve">requires the Commission to </w:t>
      </w:r>
      <w:r w:rsidRPr="00470269" w:rsidR="00CA21E6">
        <w:t>include</w:t>
      </w:r>
      <w:r w:rsidR="00EC3C73">
        <w:t xml:space="preserve"> </w:t>
      </w:r>
      <w:r w:rsidRPr="00470269" w:rsidR="0018433D">
        <w:t>in the acquiring water company’s rate base</w:t>
      </w:r>
      <w:r w:rsidR="00C60AC3">
        <w:t xml:space="preserve"> the fair market value</w:t>
      </w:r>
      <w:r w:rsidR="00941720">
        <w:t xml:space="preserve"> of the acquired assets</w:t>
      </w:r>
      <w:r w:rsidRPr="00470269" w:rsidR="0018433D">
        <w:t>.</w:t>
      </w:r>
      <w:r w:rsidR="00C57430">
        <w:rPr>
          <w:rStyle w:val="FootnoteReference"/>
        </w:rPr>
        <w:footnoteReference w:id="17"/>
      </w:r>
      <w:r w:rsidRPr="00470269" w:rsidR="0018433D">
        <w:t xml:space="preserve"> </w:t>
      </w:r>
      <w:r w:rsidR="0015769A">
        <w:t>T</w:t>
      </w:r>
      <w:r w:rsidRPr="00636FD3" w:rsidR="0015769A">
        <w:t>he fair market value</w:t>
      </w:r>
      <w:r w:rsidR="0015769A">
        <w:t xml:space="preserve"> </w:t>
      </w:r>
      <w:r w:rsidRPr="00636FD3" w:rsidR="0015769A">
        <w:t>is determined in accordance with § 2720(a), as the purchase price (below appraisal) agreed to by a willing buyer and willing seller. When the fair market value exceeds the reproduction cost of the acquired system, the Commission shall further determine whether fair and reasonable to also include the excess in rate base in accordance with § 2720(b)</w:t>
      </w:r>
      <w:r w:rsidR="0015769A">
        <w:t>.</w:t>
      </w:r>
      <w:r w:rsidRPr="00636FD3" w:rsidR="0015769A">
        <w:t xml:space="preserve"> </w:t>
      </w:r>
      <w:r w:rsidRPr="00470269" w:rsidR="0018433D">
        <w:t xml:space="preserve">The difference between the book value of the assets prior to acquisition, and </w:t>
      </w:r>
      <w:r w:rsidR="00F54C74">
        <w:t xml:space="preserve">fair market value </w:t>
      </w:r>
      <w:r w:rsidR="002166C9">
        <w:t>approved for inclusion in rate base</w:t>
      </w:r>
      <w:r w:rsidR="0015769A">
        <w:t xml:space="preserve"> is known as an acquisition premium</w:t>
      </w:r>
      <w:r w:rsidRPr="00470269" w:rsidR="0018433D">
        <w:t xml:space="preserve">. </w:t>
      </w:r>
      <w:bookmarkEnd w:id="38"/>
    </w:p>
    <w:p w:rsidR="001B2F5D" w:rsidRDefault="00DB02C5" w14:paraId="1A01108E" w14:textId="3D80819C">
      <w:pPr>
        <w:pStyle w:val="Standard"/>
      </w:pPr>
      <w:r w:rsidRPr="00470269">
        <w:lastRenderedPageBreak/>
        <w:t>Recovering the acquisition premium in rates</w:t>
      </w:r>
      <w:r w:rsidRPr="00470269" w:rsidR="00F77FD5">
        <w:t xml:space="preserve"> </w:t>
      </w:r>
      <w:r w:rsidRPr="00470269" w:rsidR="004A15C2">
        <w:t>provide</w:t>
      </w:r>
      <w:r w:rsidRPr="00470269">
        <w:t>s</w:t>
      </w:r>
      <w:r w:rsidRPr="00470269" w:rsidR="004A15C2">
        <w:t xml:space="preserve"> an incentive for</w:t>
      </w:r>
      <w:r w:rsidRPr="00470269" w:rsidR="001A10BC">
        <w:t xml:space="preserve"> the</w:t>
      </w:r>
      <w:r w:rsidRPr="00470269" w:rsidR="00AB24F2">
        <w:t xml:space="preserve"> </w:t>
      </w:r>
      <w:r w:rsidRPr="00470269" w:rsidR="008A106E">
        <w:t>larger companies to acquire the</w:t>
      </w:r>
      <w:r w:rsidRPr="00470269" w:rsidR="00AB24F2">
        <w:t xml:space="preserve"> small water systems</w:t>
      </w:r>
      <w:r w:rsidRPr="00470269" w:rsidR="00C0076A">
        <w:t>,</w:t>
      </w:r>
      <w:r w:rsidRPr="00470269" w:rsidR="00AB24F2">
        <w:t xml:space="preserve"> </w:t>
      </w:r>
      <w:r w:rsidRPr="00470269" w:rsidR="00D7760B">
        <w:t xml:space="preserve">but </w:t>
      </w:r>
      <w:r w:rsidRPr="00470269" w:rsidR="00AB24F2">
        <w:t xml:space="preserve">it </w:t>
      </w:r>
      <w:r w:rsidRPr="00470269" w:rsidR="0006084D">
        <w:t>does not create a legal presumption</w:t>
      </w:r>
      <w:r w:rsidRPr="00470269" w:rsidR="00AB24F2">
        <w:t xml:space="preserve"> that</w:t>
      </w:r>
      <w:r w:rsidRPr="00470269" w:rsidR="00A7683E">
        <w:t xml:space="preserve"> </w:t>
      </w:r>
      <w:r w:rsidRPr="00470269" w:rsidR="001A10BC">
        <w:t xml:space="preserve">any </w:t>
      </w:r>
      <w:r w:rsidRPr="00470269" w:rsidR="00A7683E">
        <w:t>acquisition of a smaller water system by a larger entity is</w:t>
      </w:r>
      <w:r w:rsidRPr="00470269" w:rsidR="001A10BC">
        <w:t xml:space="preserve"> </w:t>
      </w:r>
      <w:r w:rsidRPr="00470269" w:rsidR="00A7683E">
        <w:t>in the public interest.</w:t>
      </w:r>
      <w:r w:rsidRPr="00470269" w:rsidR="00AB24F2">
        <w:t xml:space="preserve"> </w:t>
      </w:r>
      <w:r w:rsidRPr="00470269" w:rsidR="00A7683E">
        <w:t xml:space="preserve">Rather, </w:t>
      </w:r>
      <w:r w:rsidRPr="00470269" w:rsidR="00E02509">
        <w:t>by referring to § 851, the Legislature indicate</w:t>
      </w:r>
      <w:r w:rsidRPr="00470269" w:rsidR="00E40166">
        <w:t>d</w:t>
      </w:r>
      <w:r w:rsidRPr="00470269" w:rsidR="00E02509">
        <w:t xml:space="preserve"> </w:t>
      </w:r>
      <w:r w:rsidRPr="00470269" w:rsidR="00E37460">
        <w:t xml:space="preserve">that </w:t>
      </w:r>
      <w:r w:rsidRPr="00470269" w:rsidR="00E02509">
        <w:t xml:space="preserve">the </w:t>
      </w:r>
      <w:r w:rsidRPr="00470269" w:rsidR="00DC0E95">
        <w:t>acquisition</w:t>
      </w:r>
      <w:r w:rsidRPr="00470269" w:rsidR="00E02509">
        <w:t xml:space="preserve"> must </w:t>
      </w:r>
      <w:r w:rsidRPr="00470269" w:rsidR="00E37460">
        <w:t xml:space="preserve">first </w:t>
      </w:r>
      <w:r w:rsidRPr="00470269" w:rsidR="00E02509">
        <w:t>be determined to be in the</w:t>
      </w:r>
      <w:r w:rsidRPr="00470269" w:rsidR="00972F02">
        <w:t xml:space="preserve"> public interest</w:t>
      </w:r>
      <w:r w:rsidRPr="00470269" w:rsidR="00E37460">
        <w:t>.</w:t>
      </w:r>
      <w:r w:rsidR="00C57430">
        <w:t xml:space="preserve"> In our consideration of the public interest, we employ </w:t>
      </w:r>
      <w:r w:rsidR="00372FF0">
        <w:t>relevant guidance from</w:t>
      </w:r>
      <w:bookmarkStart w:name="_Hlk72343941" w:id="39"/>
      <w:r w:rsidRPr="00470269" w:rsidR="00A55E69">
        <w:t xml:space="preserve"> the </w:t>
      </w:r>
      <w:r w:rsidRPr="00470269" w:rsidR="00345345">
        <w:t>Public Water System Investment and Consolidation Act</w:t>
      </w:r>
      <w:r w:rsidR="00C57430">
        <w:t>, specifically the p</w:t>
      </w:r>
      <w:r w:rsidR="001B2F5D">
        <w:t>art of</w:t>
      </w:r>
      <w:r w:rsidRPr="00C32B68" w:rsidR="001B2F5D">
        <w:t xml:space="preserve"> </w:t>
      </w:r>
      <w:r w:rsidR="001B2F5D">
        <w:t>§ 2720(b) itemiz</w:t>
      </w:r>
      <w:r w:rsidR="00C57430">
        <w:t>ing</w:t>
      </w:r>
      <w:r w:rsidR="001B2F5D">
        <w:t xml:space="preserve"> benefits anticipated in acquisitions of smaller water systems:</w:t>
      </w:r>
    </w:p>
    <w:p w:rsidRPr="00636FD3" w:rsidR="003412FC" w:rsidP="003412FC" w:rsidRDefault="003412FC" w14:paraId="4F637500" w14:textId="638A01F0">
      <w:pPr>
        <w:pStyle w:val="Standard"/>
        <w:rPr>
          <w:sz w:val="4"/>
          <w:szCs w:val="4"/>
        </w:rPr>
      </w:pPr>
    </w:p>
    <w:p w:rsidRPr="00470269" w:rsidR="00FF42B5" w:rsidP="001D1BA9" w:rsidRDefault="003412FC" w14:paraId="00ACD507" w14:textId="72026A1F">
      <w:pPr>
        <w:pStyle w:val="BlockQuote"/>
      </w:pPr>
      <w:r w:rsidRPr="00470269">
        <w:t>In determining whether the additional amounts are fair and reasonable the commission shall consider whether the acquisition of the public water system will improve water system reliability, whether the ability of the water system to comply with health and safety regulations is improved, whether the water corporation by acquiring the public water system can achieve efficiencies and economies of scale that would not otherwise be available, and whether the effect on existing customers of the water corporation and the acquired public water system is fair and reasonable.</w:t>
      </w:r>
    </w:p>
    <w:p w:rsidRPr="00054EB4" w:rsidR="009C7F86" w:rsidP="00506E52" w:rsidRDefault="009C7F86" w14:paraId="0FAD9473" w14:textId="6DC10D74">
      <w:pPr>
        <w:pStyle w:val="Heading2"/>
      </w:pPr>
      <w:bookmarkStart w:name="_Toc72748068" w:id="40"/>
      <w:bookmarkStart w:name="_Toc76995743" w:id="41"/>
      <w:bookmarkStart w:name="_Hlk71548207" w:id="42"/>
      <w:bookmarkEnd w:id="39"/>
      <w:r w:rsidRPr="00054EB4">
        <w:t xml:space="preserve">Public Interest </w:t>
      </w:r>
      <w:r w:rsidRPr="00054EB4" w:rsidR="00F35EF3">
        <w:t xml:space="preserve">Review and </w:t>
      </w:r>
      <w:r w:rsidRPr="001D1BA9" w:rsidR="00F35EF3">
        <w:t>Rate</w:t>
      </w:r>
      <w:r w:rsidRPr="001D1BA9" w:rsidR="007A53E0">
        <w:t>p</w:t>
      </w:r>
      <w:r w:rsidRPr="001D1BA9" w:rsidR="00F35EF3">
        <w:t>ayer</w:t>
      </w:r>
      <w:r w:rsidRPr="00054EB4" w:rsidR="00F35EF3">
        <w:t xml:space="preserve"> </w:t>
      </w:r>
      <w:r w:rsidR="00506E52">
        <w:br/>
      </w:r>
      <w:r w:rsidRPr="00054EB4" w:rsidR="00F35EF3">
        <w:t>Indifference Standard</w:t>
      </w:r>
      <w:bookmarkEnd w:id="40"/>
      <w:bookmarkEnd w:id="41"/>
    </w:p>
    <w:bookmarkEnd w:id="42"/>
    <w:p w:rsidRPr="00470269" w:rsidR="00EF070C" w:rsidP="00D46100" w:rsidRDefault="00657FB9" w14:paraId="037886E3" w14:textId="5377B16D">
      <w:pPr>
        <w:pStyle w:val="Standard"/>
      </w:pPr>
      <w:r w:rsidRPr="00470269">
        <w:t xml:space="preserve">Prior to the enactment of the </w:t>
      </w:r>
      <w:r w:rsidRPr="00470269" w:rsidR="00345345">
        <w:t>Public Water System Investment and Consolidation Act</w:t>
      </w:r>
      <w:r w:rsidRPr="00470269">
        <w:t xml:space="preserve">, </w:t>
      </w:r>
      <w:r w:rsidR="007157FE">
        <w:t xml:space="preserve">once </w:t>
      </w:r>
      <w:r w:rsidRPr="00470269">
        <w:t xml:space="preserve">the </w:t>
      </w:r>
      <w:r w:rsidR="007157FE">
        <w:t xml:space="preserve">transaction was determined to be in the public interest according to </w:t>
      </w:r>
      <w:r w:rsidRPr="00470269" w:rsidR="007157FE">
        <w:t>§ 851</w:t>
      </w:r>
      <w:r w:rsidR="007157FE">
        <w:t xml:space="preserve">, the </w:t>
      </w:r>
      <w:r w:rsidRPr="00470269">
        <w:t>acquiring company's new rate base after the acquisition would have been the value that was on the acquired company's books.</w:t>
      </w:r>
      <w:r w:rsidRPr="00470269" w:rsidR="007C316F">
        <w:t xml:space="preserve"> </w:t>
      </w:r>
      <w:r w:rsidRPr="00470269" w:rsidR="002C730F">
        <w:t xml:space="preserve"> </w:t>
      </w:r>
      <w:r w:rsidRPr="00470269" w:rsidR="00FC33CE">
        <w:t>Now, however, we must look to t</w:t>
      </w:r>
      <w:r w:rsidRPr="00470269" w:rsidR="00C44FB2">
        <w:t xml:space="preserve">he </w:t>
      </w:r>
      <w:r w:rsidRPr="00470269" w:rsidR="00CB641F">
        <w:t xml:space="preserve">public interest </w:t>
      </w:r>
      <w:r w:rsidRPr="00470269" w:rsidR="00FC33CE">
        <w:t xml:space="preserve">considerations </w:t>
      </w:r>
      <w:r w:rsidR="007157FE">
        <w:t>in</w:t>
      </w:r>
      <w:r w:rsidR="002E0AFA">
        <w:t xml:space="preserve"> </w:t>
      </w:r>
      <w:r w:rsidRPr="00470269" w:rsidR="007157FE">
        <w:t>§§</w:t>
      </w:r>
      <w:r w:rsidR="00506E52">
        <w:t> </w:t>
      </w:r>
      <w:r w:rsidRPr="00470269" w:rsidR="007157FE">
        <w:t xml:space="preserve">851 </w:t>
      </w:r>
      <w:r w:rsidRPr="00470269" w:rsidR="007157FE">
        <w:rPr>
          <w:i/>
          <w:iCs/>
        </w:rPr>
        <w:t>et seq</w:t>
      </w:r>
      <w:r w:rsidRPr="00470269" w:rsidR="007157FE">
        <w:t>.</w:t>
      </w:r>
      <w:r w:rsidR="00555A21">
        <w:t>,</w:t>
      </w:r>
      <w:r w:rsidRPr="00470269" w:rsidR="007157FE">
        <w:t xml:space="preserve"> </w:t>
      </w:r>
      <w:r w:rsidR="007157FE">
        <w:t xml:space="preserve">as illuminated by </w:t>
      </w:r>
      <w:r w:rsidRPr="00470269" w:rsidR="000663DD">
        <w:t xml:space="preserve">§§ </w:t>
      </w:r>
      <w:r w:rsidRPr="00470269" w:rsidR="00FC33CE">
        <w:t xml:space="preserve">2718 </w:t>
      </w:r>
      <w:r w:rsidRPr="008279CB" w:rsidR="00FC33CE">
        <w:rPr>
          <w:i/>
          <w:iCs/>
        </w:rPr>
        <w:t>et seq</w:t>
      </w:r>
      <w:r w:rsidRPr="008279CB" w:rsidR="00292D62">
        <w:rPr>
          <w:i/>
          <w:iCs/>
        </w:rPr>
        <w:t>.</w:t>
      </w:r>
      <w:bookmarkStart w:name="_Hlk60749654" w:id="43"/>
      <w:r w:rsidRPr="00470269" w:rsidR="00EF070C">
        <w:t xml:space="preserve"> </w:t>
      </w:r>
    </w:p>
    <w:p w:rsidRPr="00470269" w:rsidR="00DA5BFF" w:rsidP="00D46100" w:rsidRDefault="00FB46DC" w14:paraId="75A34849" w14:textId="19707445">
      <w:pPr>
        <w:pStyle w:val="Standard"/>
        <w:rPr>
          <w:rFonts w:eastAsia="Book Antiqua" w:cs="Book Antiqua"/>
          <w:szCs w:val="26"/>
        </w:rPr>
      </w:pPr>
      <w:proofErr w:type="gramStart"/>
      <w:r w:rsidRPr="00470269">
        <w:t xml:space="preserve">In </w:t>
      </w:r>
      <w:r w:rsidRPr="00470269" w:rsidR="001533AE">
        <w:t>weigh</w:t>
      </w:r>
      <w:r w:rsidRPr="00470269">
        <w:t>ing the public interest</w:t>
      </w:r>
      <w:r w:rsidRPr="00470269" w:rsidR="001533AE">
        <w:t xml:space="preserve"> considerations</w:t>
      </w:r>
      <w:r w:rsidRPr="00470269">
        <w:t>, the</w:t>
      </w:r>
      <w:r w:rsidRPr="00470269" w:rsidR="001533AE">
        <w:t>re</w:t>
      </w:r>
      <w:proofErr w:type="gramEnd"/>
      <w:r w:rsidRPr="00470269" w:rsidR="001533AE">
        <w:t xml:space="preserve"> is a</w:t>
      </w:r>
      <w:r w:rsidRPr="00470269">
        <w:t xml:space="preserve"> </w:t>
      </w:r>
      <w:r w:rsidRPr="00470269" w:rsidR="00F50B71">
        <w:t xml:space="preserve">large </w:t>
      </w:r>
      <w:r w:rsidRPr="00470269">
        <w:t>body of</w:t>
      </w:r>
      <w:r w:rsidRPr="00470269" w:rsidR="002021CA">
        <w:t xml:space="preserve"> prior</w:t>
      </w:r>
      <w:r w:rsidRPr="00470269">
        <w:t xml:space="preserve"> Commission decisions applying a </w:t>
      </w:r>
      <w:r w:rsidRPr="00470269" w:rsidR="001316C5">
        <w:t>“</w:t>
      </w:r>
      <w:r w:rsidRPr="00470269">
        <w:t>ratepayer indifference standard,</w:t>
      </w:r>
      <w:r w:rsidRPr="00470269" w:rsidR="001316C5">
        <w:t>”</w:t>
      </w:r>
      <w:r w:rsidRPr="00470269">
        <w:t xml:space="preserve"> where no harm or adverse impact</w:t>
      </w:r>
      <w:r w:rsidRPr="00470269">
        <w:rPr>
          <w:rFonts w:eastAsia="Book Antiqua" w:cs="Book Antiqua"/>
          <w:szCs w:val="26"/>
        </w:rPr>
        <w:t xml:space="preserve"> to the ratepayer is identified</w:t>
      </w:r>
      <w:r w:rsidRPr="00470269" w:rsidR="00F50B71">
        <w:rPr>
          <w:rFonts w:eastAsia="Book Antiqua" w:cs="Book Antiqua"/>
          <w:szCs w:val="26"/>
        </w:rPr>
        <w:t>.</w:t>
      </w:r>
      <w:r w:rsidR="00276D4D">
        <w:rPr>
          <w:rFonts w:eastAsia="Book Antiqua" w:cs="Book Antiqua"/>
          <w:szCs w:val="26"/>
        </w:rPr>
        <w:t xml:space="preserve"> </w:t>
      </w:r>
      <w:r w:rsidRPr="00470269" w:rsidR="00F50B71">
        <w:rPr>
          <w:rFonts w:eastAsia="Book Antiqua" w:cs="Book Antiqua"/>
          <w:szCs w:val="26"/>
        </w:rPr>
        <w:t xml:space="preserve"> There are also a few </w:t>
      </w:r>
      <w:r w:rsidRPr="00470269" w:rsidR="00F50B71">
        <w:rPr>
          <w:rFonts w:eastAsia="Book Antiqua" w:cs="Book Antiqua"/>
          <w:szCs w:val="26"/>
        </w:rPr>
        <w:lastRenderedPageBreak/>
        <w:t xml:space="preserve">decisions applying </w:t>
      </w:r>
      <w:r w:rsidRPr="00470269">
        <w:rPr>
          <w:rFonts w:eastAsia="Book Antiqua" w:cs="Book Antiqua"/>
          <w:szCs w:val="26"/>
        </w:rPr>
        <w:t xml:space="preserve">a higher bar of </w:t>
      </w:r>
      <w:r w:rsidRPr="00470269" w:rsidR="001316C5">
        <w:rPr>
          <w:rFonts w:eastAsia="Book Antiqua" w:cs="Book Antiqua"/>
          <w:szCs w:val="26"/>
        </w:rPr>
        <w:t>“</w:t>
      </w:r>
      <w:r w:rsidRPr="00470269">
        <w:rPr>
          <w:rFonts w:eastAsia="Book Antiqua" w:cs="Book Antiqua"/>
          <w:szCs w:val="26"/>
        </w:rPr>
        <w:t>tangible ratepayer benefit</w:t>
      </w:r>
      <w:r w:rsidRPr="00470269" w:rsidR="00F50B71">
        <w:rPr>
          <w:rFonts w:eastAsia="Book Antiqua" w:cs="Book Antiqua"/>
          <w:szCs w:val="26"/>
        </w:rPr>
        <w:t>,</w:t>
      </w:r>
      <w:r w:rsidRPr="00470269" w:rsidR="001316C5">
        <w:rPr>
          <w:rFonts w:eastAsia="Book Antiqua" w:cs="Book Antiqua"/>
          <w:szCs w:val="26"/>
        </w:rPr>
        <w:t>”</w:t>
      </w:r>
      <w:r w:rsidRPr="00470269" w:rsidR="004F5C5A">
        <w:rPr>
          <w:rStyle w:val="FootnoteReference"/>
          <w:rFonts w:eastAsia="Book Antiqua" w:cs="Book Antiqua"/>
          <w:szCs w:val="26"/>
        </w:rPr>
        <w:footnoteReference w:id="18"/>
      </w:r>
      <w:r w:rsidRPr="00470269" w:rsidR="004F5C5A">
        <w:rPr>
          <w:rFonts w:eastAsia="Book Antiqua" w:cs="Book Antiqua"/>
          <w:szCs w:val="26"/>
        </w:rPr>
        <w:t xml:space="preserve"> </w:t>
      </w:r>
      <w:r w:rsidRPr="00470269" w:rsidR="00F50B71">
        <w:rPr>
          <w:rFonts w:eastAsia="Book Antiqua" w:cs="Book Antiqua"/>
          <w:szCs w:val="26"/>
        </w:rPr>
        <w:t>as the standard. Here, b</w:t>
      </w:r>
      <w:r w:rsidRPr="00470269" w:rsidR="004F6D14">
        <w:rPr>
          <w:rFonts w:eastAsia="Book Antiqua" w:cs="Book Antiqua"/>
          <w:szCs w:val="26"/>
        </w:rPr>
        <w:t xml:space="preserve">oth </w:t>
      </w:r>
      <w:r w:rsidRPr="00470269" w:rsidR="00BC3D07">
        <w:rPr>
          <w:rFonts w:eastAsia="Book Antiqua" w:cs="Book Antiqua"/>
          <w:szCs w:val="26"/>
        </w:rPr>
        <w:t xml:space="preserve">the Joint Applicants and </w:t>
      </w:r>
      <w:r w:rsidR="00E1741C">
        <w:rPr>
          <w:rFonts w:eastAsia="Book Antiqua" w:cs="Book Antiqua"/>
          <w:szCs w:val="26"/>
        </w:rPr>
        <w:t>t</w:t>
      </w:r>
      <w:r w:rsidRPr="00470269" w:rsidR="00BC3D07">
        <w:rPr>
          <w:rFonts w:eastAsia="Book Antiqua" w:cs="Book Antiqua"/>
          <w:szCs w:val="26"/>
        </w:rPr>
        <w:t>he Public Advocates Office</w:t>
      </w:r>
      <w:r w:rsidRPr="00470269" w:rsidR="004F6D14">
        <w:rPr>
          <w:rFonts w:eastAsia="Book Antiqua" w:cs="Book Antiqua"/>
          <w:szCs w:val="26"/>
        </w:rPr>
        <w:t xml:space="preserve"> assert the </w:t>
      </w:r>
      <w:r w:rsidRPr="00470269" w:rsidR="001316C5">
        <w:rPr>
          <w:rFonts w:eastAsia="Book Antiqua" w:cs="Book Antiqua"/>
          <w:szCs w:val="26"/>
        </w:rPr>
        <w:t>“</w:t>
      </w:r>
      <w:r w:rsidRPr="00470269" w:rsidR="00E6745B">
        <w:rPr>
          <w:rFonts w:eastAsia="Book Antiqua" w:cs="Book Antiqua"/>
          <w:szCs w:val="26"/>
        </w:rPr>
        <w:t>r</w:t>
      </w:r>
      <w:r w:rsidRPr="00470269" w:rsidR="004F6D14">
        <w:rPr>
          <w:rFonts w:eastAsia="Book Antiqua" w:cs="Book Antiqua"/>
          <w:szCs w:val="26"/>
        </w:rPr>
        <w:t>atepayer indifference standard</w:t>
      </w:r>
      <w:r w:rsidRPr="00470269" w:rsidR="001316C5">
        <w:rPr>
          <w:rFonts w:eastAsia="Book Antiqua" w:cs="Book Antiqua"/>
          <w:szCs w:val="26"/>
        </w:rPr>
        <w:t>”</w:t>
      </w:r>
      <w:r w:rsidRPr="00470269" w:rsidR="004F6D14">
        <w:rPr>
          <w:rFonts w:eastAsia="Book Antiqua" w:cs="Book Antiqua"/>
          <w:szCs w:val="26"/>
        </w:rPr>
        <w:t xml:space="preserve"> </w:t>
      </w:r>
      <w:r w:rsidRPr="00470269" w:rsidR="00F61097">
        <w:rPr>
          <w:rFonts w:eastAsia="Book Antiqua" w:cs="Book Antiqua"/>
          <w:szCs w:val="26"/>
        </w:rPr>
        <w:t>should apply</w:t>
      </w:r>
      <w:r w:rsidRPr="00470269" w:rsidR="004F6D14">
        <w:rPr>
          <w:rFonts w:eastAsia="Book Antiqua" w:cs="Book Antiqua"/>
          <w:szCs w:val="26"/>
        </w:rPr>
        <w:t>.</w:t>
      </w:r>
      <w:r w:rsidRPr="00470269" w:rsidR="004F6D14">
        <w:rPr>
          <w:rStyle w:val="FootnoteReference"/>
          <w:rFonts w:eastAsia="Book Antiqua" w:cs="Book Antiqua"/>
          <w:szCs w:val="26"/>
        </w:rPr>
        <w:footnoteReference w:id="19"/>
      </w:r>
      <w:r w:rsidRPr="00470269" w:rsidR="002C763B">
        <w:rPr>
          <w:rFonts w:eastAsia="Book Antiqua" w:cs="Book Antiqua"/>
          <w:szCs w:val="26"/>
        </w:rPr>
        <w:t xml:space="preserve"> </w:t>
      </w:r>
      <w:r w:rsidRPr="00470269" w:rsidR="002C730F">
        <w:rPr>
          <w:rFonts w:eastAsia="Book Antiqua" w:cs="Book Antiqua"/>
          <w:szCs w:val="26"/>
        </w:rPr>
        <w:t xml:space="preserve"> </w:t>
      </w:r>
      <w:r w:rsidRPr="00470269" w:rsidR="00AB227A">
        <w:rPr>
          <w:rFonts w:eastAsia="Book Antiqua" w:cs="Book Antiqua"/>
          <w:szCs w:val="26"/>
        </w:rPr>
        <w:t>T</w:t>
      </w:r>
      <w:r w:rsidRPr="00470269" w:rsidR="002C763B">
        <w:rPr>
          <w:rFonts w:eastAsia="Book Antiqua" w:cs="Book Antiqua"/>
          <w:szCs w:val="26"/>
        </w:rPr>
        <w:t>he Public Advocates Office</w:t>
      </w:r>
      <w:r w:rsidRPr="00470269" w:rsidR="00AB227A">
        <w:rPr>
          <w:rFonts w:eastAsia="Book Antiqua" w:cs="Book Antiqua"/>
          <w:szCs w:val="26"/>
        </w:rPr>
        <w:t xml:space="preserve"> </w:t>
      </w:r>
      <w:r w:rsidRPr="00470269" w:rsidR="00F61097">
        <w:rPr>
          <w:rFonts w:eastAsia="Book Antiqua" w:cs="Book Antiqua"/>
          <w:szCs w:val="26"/>
        </w:rPr>
        <w:t>argued</w:t>
      </w:r>
      <w:r w:rsidRPr="00470269" w:rsidR="002F6E20">
        <w:rPr>
          <w:rFonts w:eastAsia="Book Antiqua" w:cs="Book Antiqua"/>
          <w:szCs w:val="26"/>
        </w:rPr>
        <w:t>:</w:t>
      </w:r>
      <w:r w:rsidRPr="00470269" w:rsidR="002C763B">
        <w:rPr>
          <w:rFonts w:eastAsia="Book Antiqua" w:cs="Book Antiqua"/>
          <w:szCs w:val="26"/>
        </w:rPr>
        <w:t xml:space="preserve"> </w:t>
      </w:r>
    </w:p>
    <w:p w:rsidRPr="00470269" w:rsidR="00175D01" w:rsidP="00175D01" w:rsidRDefault="002C763B" w14:paraId="21A25296" w14:textId="5FCFA5ED">
      <w:pPr>
        <w:pStyle w:val="BlockQuote"/>
      </w:pPr>
      <w:r w:rsidRPr="00470269">
        <w:t xml:space="preserve">The </w:t>
      </w:r>
      <w:r w:rsidRPr="00470269" w:rsidR="005B2332">
        <w:t>[</w:t>
      </w:r>
      <w:r w:rsidR="003818FC">
        <w:t xml:space="preserve">Public </w:t>
      </w:r>
      <w:r w:rsidRPr="00470269" w:rsidR="008C0A63">
        <w:t xml:space="preserve">Water System Investment </w:t>
      </w:r>
      <w:r w:rsidR="003818FC">
        <w:t xml:space="preserve">and Consolidation </w:t>
      </w:r>
      <w:r w:rsidRPr="00470269" w:rsidR="008C0A63">
        <w:t xml:space="preserve">Act] </w:t>
      </w:r>
      <w:r w:rsidRPr="00470269">
        <w:t xml:space="preserve">creates incentives for larger water companies to acquire smaller water utilities, </w:t>
      </w:r>
      <w:proofErr w:type="gramStart"/>
      <w:r w:rsidRPr="00470269">
        <w:t>in order to</w:t>
      </w:r>
      <w:proofErr w:type="gramEnd"/>
      <w:r w:rsidRPr="00470269">
        <w:t xml:space="preserve"> better capitalize necessary infrastructure improvements and ensure regulatory compliance with water quality standards, by allowing fair market valuation of the acquired utility’s assets, and inclusion of the full purchase price in the purchaser’s rate</w:t>
      </w:r>
      <w:r w:rsidRPr="00470269" w:rsidR="0088779B">
        <w:t xml:space="preserve"> </w:t>
      </w:r>
      <w:r w:rsidRPr="00470269">
        <w:t xml:space="preserve">base. </w:t>
      </w:r>
      <w:r w:rsidRPr="00470269" w:rsidR="002C730F">
        <w:t xml:space="preserve"> </w:t>
      </w:r>
      <w:r w:rsidRPr="00470269">
        <w:t>These incentives, however, pose certain risks that the Commission must address to ensure that the transaction is in the public interest and no harm or negative effect on the ratepayer will result from the acquisition.</w:t>
      </w:r>
      <w:r w:rsidRPr="00470269">
        <w:rPr>
          <w:rStyle w:val="FootnoteReference"/>
          <w:rFonts w:eastAsia="Book Antiqua" w:cs="Book Antiqua"/>
          <w:szCs w:val="26"/>
        </w:rPr>
        <w:footnoteReference w:id="20"/>
      </w:r>
      <w:r w:rsidRPr="00470269">
        <w:t xml:space="preserve"> </w:t>
      </w:r>
    </w:p>
    <w:p w:rsidRPr="00470269" w:rsidR="00F35EF3" w:rsidP="001D1BA9" w:rsidRDefault="00F50B71" w14:paraId="6C3D4248" w14:textId="23324B9E">
      <w:pPr>
        <w:pStyle w:val="Standard"/>
      </w:pPr>
      <w:bookmarkStart w:name="_Hlk71556185" w:id="44"/>
      <w:bookmarkStart w:name="_Hlk71207456" w:id="45"/>
      <w:r w:rsidRPr="00470269">
        <w:t>In reviewing the proposed transaction, w</w:t>
      </w:r>
      <w:r w:rsidRPr="00470269" w:rsidR="00E83C44">
        <w:t xml:space="preserve">e are compelled by the </w:t>
      </w:r>
      <w:r w:rsidRPr="00470269" w:rsidR="00177C67">
        <w:t>legislative</w:t>
      </w:r>
      <w:r w:rsidRPr="00470269" w:rsidR="00E83C44">
        <w:t>ly</w:t>
      </w:r>
      <w:r w:rsidRPr="00470269" w:rsidR="00177C67">
        <w:t xml:space="preserve"> declared public interests, as set forth the </w:t>
      </w:r>
      <w:r w:rsidRPr="00470269" w:rsidR="00345345">
        <w:t>Public Water System Investment and Consolidation Act</w:t>
      </w:r>
      <w:r w:rsidRPr="00470269" w:rsidR="00E83C44">
        <w:t xml:space="preserve">. </w:t>
      </w:r>
      <w:r w:rsidRPr="00470269" w:rsidR="00644FCD">
        <w:t xml:space="preserve"> </w:t>
      </w:r>
      <w:r w:rsidRPr="00470269" w:rsidR="00E83C44">
        <w:t>And i</w:t>
      </w:r>
      <w:r w:rsidRPr="00470269" w:rsidR="004F5C5A">
        <w:t xml:space="preserve">n </w:t>
      </w:r>
      <w:r w:rsidRPr="00470269" w:rsidR="00650290">
        <w:t xml:space="preserve">keeping with </w:t>
      </w:r>
      <w:proofErr w:type="gramStart"/>
      <w:r w:rsidRPr="00470269" w:rsidR="00650290">
        <w:t xml:space="preserve">the </w:t>
      </w:r>
      <w:r w:rsidRPr="00470269" w:rsidR="004F5C5A">
        <w:t>majority of</w:t>
      </w:r>
      <w:proofErr w:type="gramEnd"/>
      <w:r w:rsidRPr="00470269" w:rsidR="004F5C5A">
        <w:t xml:space="preserve"> prior Commission decisions considering public water utility transactions, </w:t>
      </w:r>
      <w:r w:rsidRPr="00470269" w:rsidR="00E83C44">
        <w:t>we agree with the active parties in this proceeding</w:t>
      </w:r>
      <w:r w:rsidRPr="00470269">
        <w:t>,</w:t>
      </w:r>
      <w:r w:rsidRPr="00470269" w:rsidR="00E83C44">
        <w:t xml:space="preserve"> and </w:t>
      </w:r>
      <w:r w:rsidRPr="00470269" w:rsidR="00FA14B0">
        <w:t xml:space="preserve">we </w:t>
      </w:r>
      <w:r w:rsidRPr="00470269" w:rsidR="00E83C44">
        <w:t xml:space="preserve">apply the “ratepayer indifference standard” </w:t>
      </w:r>
      <w:r w:rsidRPr="00470269" w:rsidR="00BC36CC">
        <w:t>to</w:t>
      </w:r>
      <w:r w:rsidRPr="00470269" w:rsidR="00936FAF">
        <w:t xml:space="preserve"> the proposed acquisition.</w:t>
      </w:r>
      <w:bookmarkEnd w:id="44"/>
    </w:p>
    <w:p w:rsidRPr="00054EB4" w:rsidR="00F35EF3" w:rsidP="00506E52" w:rsidRDefault="00F35EF3" w14:paraId="0524C21D" w14:textId="222E03D1">
      <w:pPr>
        <w:pStyle w:val="Heading2"/>
      </w:pPr>
      <w:bookmarkStart w:name="_Toc72748069" w:id="46"/>
      <w:bookmarkStart w:name="_Toc76995744" w:id="47"/>
      <w:r w:rsidRPr="00054EB4">
        <w:t>Post-</w:t>
      </w:r>
      <w:r w:rsidRPr="001D1BA9">
        <w:t>Transaction</w:t>
      </w:r>
      <w:r w:rsidRPr="00054EB4">
        <w:t xml:space="preserve"> Ratemaking Under </w:t>
      </w:r>
      <w:r w:rsidR="00506E52">
        <w:br/>
      </w:r>
      <w:r w:rsidR="008162B1">
        <w:t xml:space="preserve">Section </w:t>
      </w:r>
      <w:r w:rsidRPr="00054EB4">
        <w:t xml:space="preserve">2720 and </w:t>
      </w:r>
      <w:r w:rsidR="008162B1">
        <w:t xml:space="preserve">Sections </w:t>
      </w:r>
      <w:r w:rsidRPr="00054EB4">
        <w:t>451</w:t>
      </w:r>
      <w:r w:rsidR="001D1BA9">
        <w:t> </w:t>
      </w:r>
      <w:r w:rsidRPr="001D1BA9">
        <w:rPr>
          <w:i/>
          <w:iCs/>
        </w:rPr>
        <w:t>et seq.</w:t>
      </w:r>
      <w:bookmarkEnd w:id="46"/>
      <w:bookmarkEnd w:id="47"/>
    </w:p>
    <w:bookmarkEnd w:id="43"/>
    <w:bookmarkEnd w:id="45"/>
    <w:p w:rsidRPr="00470269" w:rsidR="00175D01" w:rsidP="00AC6BC6" w:rsidRDefault="000663DD" w14:paraId="1F07FB39" w14:textId="71150813">
      <w:pPr>
        <w:pStyle w:val="Standard"/>
      </w:pPr>
      <w:r w:rsidRPr="00470269">
        <w:t xml:space="preserve">Subsection (a) of </w:t>
      </w:r>
      <w:bookmarkStart w:name="_Hlk71203604" w:id="48"/>
      <w:bookmarkStart w:name="_Hlk71548274" w:id="49"/>
      <w:r w:rsidRPr="00470269">
        <w:t>§</w:t>
      </w:r>
      <w:r w:rsidR="00F1070B">
        <w:t xml:space="preserve"> </w:t>
      </w:r>
      <w:r w:rsidRPr="00470269" w:rsidR="00EF775B">
        <w:t>2720</w:t>
      </w:r>
      <w:bookmarkEnd w:id="48"/>
      <w:r w:rsidRPr="00470269" w:rsidR="00EF775B">
        <w:t xml:space="preserve"> </w:t>
      </w:r>
      <w:bookmarkEnd w:id="49"/>
      <w:r w:rsidRPr="00470269" w:rsidR="00EF775B">
        <w:t>establishe</w:t>
      </w:r>
      <w:r w:rsidRPr="00470269" w:rsidR="00D51A93">
        <w:t>d</w:t>
      </w:r>
      <w:r w:rsidRPr="00470269" w:rsidR="00EF775B">
        <w:t xml:space="preserve"> </w:t>
      </w:r>
      <w:r w:rsidRPr="00470269" w:rsidR="007616AD">
        <w:t>the</w:t>
      </w:r>
      <w:r w:rsidRPr="00470269" w:rsidR="00EF775B">
        <w:t xml:space="preserve"> post-acquisition</w:t>
      </w:r>
      <w:r w:rsidRPr="00470269" w:rsidR="004A0549">
        <w:t xml:space="preserve"> ratemaking </w:t>
      </w:r>
      <w:r w:rsidRPr="00470269" w:rsidR="00EF7F83">
        <w:t xml:space="preserve">for this </w:t>
      </w:r>
      <w:r w:rsidRPr="00470269" w:rsidR="00FF503A">
        <w:t xml:space="preserve">type of </w:t>
      </w:r>
      <w:r w:rsidRPr="00470269" w:rsidR="00EF7F83">
        <w:t>transaction:</w:t>
      </w:r>
    </w:p>
    <w:p w:rsidRPr="00470269" w:rsidR="00175D01" w:rsidP="001D1BA9" w:rsidRDefault="00EF775B" w14:paraId="20336E82" w14:textId="138E7AA8">
      <w:pPr>
        <w:pStyle w:val="BlockQuote"/>
      </w:pPr>
      <w:r w:rsidRPr="00470269">
        <w:lastRenderedPageBreak/>
        <w:t xml:space="preserve">The commission shall use the standard of fair market value when establishing the rate base value for the distribution system of a public water system acquired by a water corporation. This standard shall be used for </w:t>
      </w:r>
      <w:proofErr w:type="spellStart"/>
      <w:r w:rsidRPr="00470269">
        <w:t>ratesetting</w:t>
      </w:r>
      <w:proofErr w:type="spellEnd"/>
      <w:r w:rsidRPr="00470269">
        <w:t>.</w:t>
      </w:r>
    </w:p>
    <w:p w:rsidRPr="00470269" w:rsidR="003C5F69" w:rsidP="00B95942" w:rsidRDefault="00B95942" w14:paraId="470D24BA" w14:textId="2023B254">
      <w:pPr>
        <w:pStyle w:val="Standard"/>
      </w:pPr>
      <w:bookmarkStart w:name="_Hlk71564974" w:id="50"/>
      <w:r w:rsidRPr="00470269">
        <w:t xml:space="preserve">The Commission must </w:t>
      </w:r>
      <w:r w:rsidRPr="00470269" w:rsidR="00F50B71">
        <w:t>also</w:t>
      </w:r>
      <w:r w:rsidRPr="00470269" w:rsidR="001B6076">
        <w:t xml:space="preserve"> ensure that </w:t>
      </w:r>
      <w:r w:rsidRPr="00470269" w:rsidR="00FF503A">
        <w:t xml:space="preserve">subsequent </w:t>
      </w:r>
      <w:r w:rsidRPr="00470269" w:rsidR="001B6076">
        <w:t xml:space="preserve">rates are just and reasonable under </w:t>
      </w:r>
      <w:r w:rsidRPr="00470269" w:rsidR="0054237D">
        <w:t>§</w:t>
      </w:r>
      <w:r w:rsidRPr="00470269" w:rsidR="00020C90">
        <w:t xml:space="preserve"> 451</w:t>
      </w:r>
      <w:r w:rsidR="007D0B21">
        <w:t xml:space="preserve"> </w:t>
      </w:r>
      <w:r w:rsidRPr="00636FD3" w:rsidR="007D0B21">
        <w:rPr>
          <w:i/>
          <w:iCs/>
        </w:rPr>
        <w:t>et</w:t>
      </w:r>
      <w:r w:rsidR="007D0B21">
        <w:t xml:space="preserve"> </w:t>
      </w:r>
      <w:r w:rsidRPr="00636FD3" w:rsidR="007D0B21">
        <w:rPr>
          <w:i/>
          <w:iCs/>
        </w:rPr>
        <w:t>seq</w:t>
      </w:r>
      <w:r w:rsidRPr="00470269" w:rsidR="00294D68">
        <w:t>.</w:t>
      </w:r>
      <w:r w:rsidRPr="00470269" w:rsidR="00644FCD">
        <w:t xml:space="preserve"> </w:t>
      </w:r>
      <w:r w:rsidRPr="00470269" w:rsidR="00294D68">
        <w:t xml:space="preserve"> </w:t>
      </w:r>
      <w:bookmarkEnd w:id="50"/>
      <w:r w:rsidR="007853EA">
        <w:t>While water utility sales and acquisitions g</w:t>
      </w:r>
      <w:r w:rsidRPr="00470269" w:rsidR="003C5F69">
        <w:t>enerally</w:t>
      </w:r>
      <w:r w:rsidR="007853EA">
        <w:t xml:space="preserve"> occur independent of GRCs</w:t>
      </w:r>
      <w:r w:rsidRPr="00470269" w:rsidR="003C5F69">
        <w:t xml:space="preserve">, </w:t>
      </w:r>
      <w:r w:rsidR="00041304">
        <w:t xml:space="preserve">sales and acquisitions create new costs and savings, as does </w:t>
      </w:r>
      <w:r w:rsidR="007853EA">
        <w:t xml:space="preserve">the statutory requirement </w:t>
      </w:r>
      <w:r w:rsidR="00AF055D">
        <w:t>in</w:t>
      </w:r>
      <w:r w:rsidR="007853EA">
        <w:t xml:space="preserve"> </w:t>
      </w:r>
      <w:r w:rsidRPr="00470269" w:rsidR="007853EA">
        <w:t>§</w:t>
      </w:r>
      <w:r w:rsidRPr="00470269" w:rsidR="00041304">
        <w:t>2720</w:t>
      </w:r>
      <w:r w:rsidR="00041304">
        <w:t xml:space="preserve"> </w:t>
      </w:r>
      <w:r w:rsidRPr="00470269" w:rsidR="00041304">
        <w:t>(a)</w:t>
      </w:r>
      <w:r w:rsidR="007D0B21">
        <w:t xml:space="preserve">. </w:t>
      </w:r>
      <w:r w:rsidR="00175CE4">
        <w:t xml:space="preserve"> </w:t>
      </w:r>
      <w:r w:rsidR="00FD5646">
        <w:t>R</w:t>
      </w:r>
      <w:r w:rsidRPr="00470269" w:rsidR="003C5F69">
        <w:t>ate changes</w:t>
      </w:r>
      <w:r w:rsidR="00FD5646">
        <w:t>, driven by revenue requirements</w:t>
      </w:r>
      <w:r w:rsidR="00AF055D">
        <w:t xml:space="preserve"> and </w:t>
      </w:r>
      <w:r w:rsidR="005D4683">
        <w:t>cost allocation decisions,</w:t>
      </w:r>
      <w:r w:rsidRPr="00470269" w:rsidR="003C5F69">
        <w:t xml:space="preserve"> are made </w:t>
      </w:r>
      <w:r w:rsidRPr="00470269" w:rsidR="00F06ED7">
        <w:t>during a water corporation’</w:t>
      </w:r>
      <w:r w:rsidRPr="00470269" w:rsidR="000B7C6A">
        <w:t>s GRC</w:t>
      </w:r>
      <w:r w:rsidRPr="00470269" w:rsidR="00F06ED7">
        <w:t xml:space="preserve"> during which the Commission reviews the </w:t>
      </w:r>
      <w:r w:rsidRPr="00470269" w:rsidR="00C57F31">
        <w:t>utility’s total operations.</w:t>
      </w:r>
      <w:r w:rsidRPr="00470269" w:rsidR="00644FCD">
        <w:t xml:space="preserve"> </w:t>
      </w:r>
      <w:r w:rsidRPr="00470269" w:rsidR="00C57F31">
        <w:t xml:space="preserve"> </w:t>
      </w:r>
      <w:r w:rsidRPr="00470269" w:rsidR="004037F1">
        <w:t>E</w:t>
      </w:r>
      <w:r w:rsidRPr="00470269" w:rsidR="0054237D">
        <w:t xml:space="preserve">very water corporation </w:t>
      </w:r>
      <w:r w:rsidRPr="00470269" w:rsidR="003C5F69">
        <w:t xml:space="preserve">is required </w:t>
      </w:r>
      <w:r w:rsidRPr="00470269" w:rsidR="0054237D">
        <w:t xml:space="preserve">to submit a </w:t>
      </w:r>
      <w:r w:rsidRPr="00470269" w:rsidR="000B7C6A">
        <w:t>GRC</w:t>
      </w:r>
      <w:r w:rsidRPr="00470269" w:rsidR="003C5F69">
        <w:t xml:space="preserve"> application </w:t>
      </w:r>
      <w:r w:rsidRPr="00470269" w:rsidR="0054237D">
        <w:t>every three years</w:t>
      </w:r>
      <w:r w:rsidRPr="00470269" w:rsidR="004037F1">
        <w:t xml:space="preserve"> pursuant </w:t>
      </w:r>
      <w:r w:rsidRPr="00470269" w:rsidR="001C0C9A">
        <w:t xml:space="preserve">to </w:t>
      </w:r>
      <w:r w:rsidRPr="00470269" w:rsidR="000B7C6A">
        <w:t xml:space="preserve">§ </w:t>
      </w:r>
      <w:r w:rsidRPr="00470269" w:rsidR="004037F1">
        <w:t>455.2(c)</w:t>
      </w:r>
      <w:r w:rsidRPr="00470269" w:rsidR="001C0C9A">
        <w:t xml:space="preserve"> and the Commis</w:t>
      </w:r>
      <w:r w:rsidRPr="00470269" w:rsidR="000F7E9C">
        <w:t>s</w:t>
      </w:r>
      <w:r w:rsidRPr="00470269" w:rsidR="001C0C9A">
        <w:t xml:space="preserve">ion’s </w:t>
      </w:r>
      <w:r w:rsidRPr="00470269" w:rsidR="00642823">
        <w:t>currently in effect rate case plan for Class A companies which includes Ca</w:t>
      </w:r>
      <w:r w:rsidRPr="00470269" w:rsidR="000F7E9C">
        <w:t>l</w:t>
      </w:r>
      <w:r w:rsidRPr="00470269" w:rsidR="00642823">
        <w:t>-Am</w:t>
      </w:r>
      <w:r w:rsidRPr="00470269" w:rsidR="00A66BC4">
        <w:t>.</w:t>
      </w:r>
      <w:r w:rsidRPr="00470269" w:rsidR="0054237D">
        <w:t xml:space="preserve"> </w:t>
      </w:r>
    </w:p>
    <w:p w:rsidRPr="00470269" w:rsidR="00F50B71" w:rsidP="00D228D6" w:rsidRDefault="002F1C5F" w14:paraId="1BF0B1E4" w14:textId="1EA17265">
      <w:pPr>
        <w:pStyle w:val="Standard"/>
      </w:pPr>
      <w:r w:rsidRPr="00470269">
        <w:t>Because this acquisition is governed by the</w:t>
      </w:r>
      <w:r w:rsidRPr="00470269" w:rsidR="00A9673E">
        <w:t xml:space="preserve"> </w:t>
      </w:r>
      <w:r w:rsidR="003818FC">
        <w:t xml:space="preserve">Public </w:t>
      </w:r>
      <w:r w:rsidRPr="00470269" w:rsidR="00A9673E">
        <w:t xml:space="preserve">Water System Investment </w:t>
      </w:r>
      <w:r w:rsidRPr="00470269" w:rsidR="00F50B71">
        <w:t xml:space="preserve">and Consolidation </w:t>
      </w:r>
      <w:r w:rsidRPr="00470269" w:rsidR="00A9673E">
        <w:t>Act</w:t>
      </w:r>
      <w:r w:rsidRPr="00470269">
        <w:t xml:space="preserve">, an </w:t>
      </w:r>
      <w:r w:rsidRPr="00470269" w:rsidR="0018159D">
        <w:t xml:space="preserve">acquisition premium </w:t>
      </w:r>
      <w:r w:rsidRPr="00470269" w:rsidR="00DF6830">
        <w:t xml:space="preserve">is </w:t>
      </w:r>
      <w:r w:rsidRPr="00470269" w:rsidR="00F35D76">
        <w:t>permitt</w:t>
      </w:r>
      <w:r w:rsidRPr="00470269" w:rsidR="00DF6830">
        <w:t>ed</w:t>
      </w:r>
      <w:r w:rsidRPr="00470269" w:rsidR="00F50B71">
        <w:t xml:space="preserve"> </w:t>
      </w:r>
      <w:proofErr w:type="gramStart"/>
      <w:r w:rsidR="00D228D6">
        <w:t>as long as</w:t>
      </w:r>
      <w:proofErr w:type="gramEnd"/>
      <w:r w:rsidR="00D228D6">
        <w:t xml:space="preserve"> the transaction </w:t>
      </w:r>
      <w:r w:rsidR="00D620CA">
        <w:t>is determined to be</w:t>
      </w:r>
      <w:r w:rsidR="00D70ECB">
        <w:t xml:space="preserve"> in</w:t>
      </w:r>
      <w:r w:rsidRPr="00470269" w:rsidR="00F50B71">
        <w:t xml:space="preserve"> the pub</w:t>
      </w:r>
      <w:r w:rsidRPr="00470269" w:rsidR="007A53E0">
        <w:t>l</w:t>
      </w:r>
      <w:r w:rsidRPr="00470269" w:rsidR="00F50B71">
        <w:t>ic interest</w:t>
      </w:r>
      <w:r w:rsidR="00D620CA">
        <w:t>,</w:t>
      </w:r>
      <w:r w:rsidRPr="00470269" w:rsidR="00F50B71">
        <w:t xml:space="preserve"> </w:t>
      </w:r>
      <w:r w:rsidR="00FD14E4">
        <w:t xml:space="preserve">with reference to the guidance </w:t>
      </w:r>
      <w:r w:rsidRPr="00470269" w:rsidR="00F50B71">
        <w:t xml:space="preserve">set forth in </w:t>
      </w:r>
      <w:r w:rsidR="00FD14E4">
        <w:t xml:space="preserve">part of </w:t>
      </w:r>
      <w:r w:rsidRPr="00470269" w:rsidR="007D0B21">
        <w:t>§</w:t>
      </w:r>
      <w:r w:rsidR="007D0B21">
        <w:t xml:space="preserve"> </w:t>
      </w:r>
      <w:r w:rsidRPr="00470269" w:rsidR="00F50B71">
        <w:t xml:space="preserve">2720(b): </w:t>
      </w:r>
    </w:p>
    <w:p w:rsidRPr="00470269" w:rsidR="00D763CA" w:rsidP="00FD14E4" w:rsidRDefault="00F50B71" w14:paraId="625AAA21" w14:textId="771BC559">
      <w:pPr>
        <w:pStyle w:val="BlockQuote"/>
      </w:pPr>
      <w:r w:rsidRPr="00470269">
        <w:t>… whether the acquisition of the public water system will improve water system reliability, whether the ability of the water system to comply with health and safety regulations is improved, whether the water corporation by acquiring the public water system can achieve efficiencies and economies of scale that would not otherwise be available, and whether the effect on existing customers of the water corporation and the acquired public water system is fair and reasonable.</w:t>
      </w:r>
    </w:p>
    <w:p w:rsidRPr="00470269" w:rsidR="00432FAD" w:rsidP="00C95FB7" w:rsidRDefault="00D763CA" w14:paraId="1CEA65DF" w14:textId="4CDC6228">
      <w:pPr>
        <w:pStyle w:val="Standard"/>
      </w:pPr>
      <w:r w:rsidRPr="00470269">
        <w:t xml:space="preserve">Such </w:t>
      </w:r>
      <w:r w:rsidRPr="00470269" w:rsidR="00DF6830">
        <w:t>premium will ultimately result in an increase in the utility’s revenue requirement</w:t>
      </w:r>
      <w:r w:rsidRPr="00470269" w:rsidR="001866B1">
        <w:t xml:space="preserve"> and corresponding increase in customer rates. </w:t>
      </w:r>
      <w:r w:rsidRPr="00470269" w:rsidR="00644FCD">
        <w:t xml:space="preserve"> </w:t>
      </w:r>
      <w:r w:rsidR="00572081">
        <w:t>Though</w:t>
      </w:r>
      <w:r w:rsidRPr="00470269" w:rsidR="001866B1">
        <w:t xml:space="preserve"> this transaction occurs </w:t>
      </w:r>
      <w:r w:rsidRPr="00470269" w:rsidR="0033136A">
        <w:t xml:space="preserve">outside of the normal </w:t>
      </w:r>
      <w:r w:rsidRPr="00470269" w:rsidR="002372F4">
        <w:t>GRC</w:t>
      </w:r>
      <w:r w:rsidRPr="00470269" w:rsidR="0033136A">
        <w:t xml:space="preserve"> review, we must </w:t>
      </w:r>
      <w:r w:rsidR="00572081">
        <w:t>remain</w:t>
      </w:r>
      <w:r w:rsidRPr="00470269" w:rsidR="00AD4E35">
        <w:t xml:space="preserve"> alert to the i</w:t>
      </w:r>
      <w:r w:rsidR="00FD14E4">
        <w:t>mpacts on</w:t>
      </w:r>
      <w:r w:rsidRPr="00470269" w:rsidR="00AD4E35">
        <w:t xml:space="preserve"> ratepayers</w:t>
      </w:r>
      <w:r w:rsidRPr="00470269" w:rsidR="004B23F7">
        <w:t xml:space="preserve"> when evaluating the public interest. </w:t>
      </w:r>
      <w:bookmarkStart w:name="_Toc27484315" w:id="51"/>
      <w:bookmarkStart w:name="_Toc8123720" w:id="52"/>
      <w:bookmarkEnd w:id="28"/>
    </w:p>
    <w:p w:rsidRPr="001D1BA9" w:rsidR="00235905" w:rsidP="00506E52" w:rsidRDefault="0010179F" w14:paraId="24EF6DAB" w14:textId="416D65E2">
      <w:pPr>
        <w:pStyle w:val="Heading1"/>
      </w:pPr>
      <w:bookmarkStart w:name="_Toc72748070" w:id="53"/>
      <w:bookmarkStart w:name="_Toc76995745" w:id="54"/>
      <w:r w:rsidRPr="001D1BA9">
        <w:lastRenderedPageBreak/>
        <w:t>Discussion</w:t>
      </w:r>
      <w:bookmarkEnd w:id="53"/>
      <w:bookmarkEnd w:id="54"/>
    </w:p>
    <w:p w:rsidRPr="00470269" w:rsidR="00117A63" w:rsidP="006E042D" w:rsidRDefault="00117A63" w14:paraId="7F31A713" w14:textId="12CA540A">
      <w:pPr>
        <w:pStyle w:val="standard0"/>
        <w:rPr>
          <w:rFonts w:ascii="Book Antiqua" w:hAnsi="Book Antiqua"/>
        </w:rPr>
      </w:pPr>
      <w:r w:rsidRPr="00470269">
        <w:rPr>
          <w:rFonts w:ascii="Book Antiqua" w:hAnsi="Book Antiqua" w:eastAsia="Book Antiqua" w:cs="Book Antiqua"/>
          <w:szCs w:val="26"/>
        </w:rPr>
        <w:t xml:space="preserve">The threshold issue is whether the proposed sale and asset purchase transaction </w:t>
      </w:r>
      <w:r w:rsidRPr="00470269" w:rsidR="003102FA">
        <w:rPr>
          <w:rFonts w:ascii="Book Antiqua" w:hAnsi="Book Antiqua" w:eastAsia="Book Antiqua" w:cs="Book Antiqua"/>
          <w:szCs w:val="26"/>
        </w:rPr>
        <w:t>is</w:t>
      </w:r>
      <w:r w:rsidRPr="00470269">
        <w:rPr>
          <w:rFonts w:ascii="Book Antiqua" w:hAnsi="Book Antiqua" w:eastAsia="Book Antiqua" w:cs="Book Antiqua"/>
          <w:szCs w:val="26"/>
        </w:rPr>
        <w:t xml:space="preserve"> in the public interest. </w:t>
      </w:r>
      <w:r w:rsidRPr="00470269" w:rsidR="00644FCD">
        <w:rPr>
          <w:rFonts w:ascii="Book Antiqua" w:hAnsi="Book Antiqua" w:eastAsia="Book Antiqua" w:cs="Book Antiqua"/>
          <w:szCs w:val="26"/>
        </w:rPr>
        <w:t xml:space="preserve"> </w:t>
      </w:r>
      <w:r w:rsidRPr="00470269" w:rsidR="00145BB0">
        <w:rPr>
          <w:rFonts w:ascii="Book Antiqua" w:hAnsi="Book Antiqua" w:eastAsia="Book Antiqua" w:cs="Book Antiqua"/>
          <w:szCs w:val="26"/>
        </w:rPr>
        <w:t xml:space="preserve">As discussed below, we find that </w:t>
      </w:r>
      <w:bookmarkStart w:name="_Hlk72341586" w:id="55"/>
      <w:r w:rsidRPr="00470269" w:rsidR="006E042D">
        <w:rPr>
          <w:rFonts w:ascii="Book Antiqua" w:hAnsi="Book Antiqua" w:eastAsia="Book Antiqua" w:cs="Book Antiqua"/>
          <w:szCs w:val="26"/>
        </w:rPr>
        <w:t xml:space="preserve">the proposed sale and asset purchase transaction </w:t>
      </w:r>
      <w:r w:rsidRPr="00470269">
        <w:rPr>
          <w:rFonts w:ascii="Book Antiqua" w:hAnsi="Book Antiqua" w:eastAsia="Book Antiqua" w:cs="Book Antiqua"/>
          <w:szCs w:val="26"/>
        </w:rPr>
        <w:t>is</w:t>
      </w:r>
      <w:r w:rsidRPr="00470269" w:rsidR="006E042D">
        <w:rPr>
          <w:rFonts w:ascii="Book Antiqua" w:hAnsi="Book Antiqua" w:eastAsia="Book Antiqua" w:cs="Book Antiqua"/>
          <w:szCs w:val="26"/>
        </w:rPr>
        <w:t xml:space="preserve"> in the public interest </w:t>
      </w:r>
      <w:r w:rsidRPr="00470269">
        <w:rPr>
          <w:rFonts w:ascii="Book Antiqua" w:hAnsi="Book Antiqua" w:eastAsia="Book Antiqua" w:cs="Book Antiqua"/>
          <w:szCs w:val="26"/>
        </w:rPr>
        <w:t xml:space="preserve">and consistent with </w:t>
      </w:r>
      <w:r w:rsidRPr="00470269" w:rsidR="006E042D">
        <w:rPr>
          <w:rFonts w:ascii="Book Antiqua" w:hAnsi="Book Antiqua" w:eastAsia="Book Antiqua" w:cs="Book Antiqua"/>
          <w:szCs w:val="26"/>
        </w:rPr>
        <w:t xml:space="preserve">§§ 851 </w:t>
      </w:r>
      <w:r w:rsidRPr="00636FD3" w:rsidR="006E042D">
        <w:rPr>
          <w:rFonts w:ascii="Book Antiqua" w:hAnsi="Book Antiqua"/>
          <w:i/>
        </w:rPr>
        <w:t>et seq</w:t>
      </w:r>
      <w:r w:rsidRPr="00470269" w:rsidR="006E042D">
        <w:rPr>
          <w:rFonts w:ascii="Book Antiqua" w:hAnsi="Book Antiqua"/>
        </w:rPr>
        <w:t xml:space="preserve">. </w:t>
      </w:r>
      <w:r w:rsidRPr="00470269">
        <w:rPr>
          <w:rFonts w:ascii="Book Antiqua" w:hAnsi="Book Antiqua"/>
        </w:rPr>
        <w:t xml:space="preserve">and §§ 2718 </w:t>
      </w:r>
      <w:r w:rsidRPr="00470269">
        <w:rPr>
          <w:rFonts w:ascii="Book Antiqua" w:hAnsi="Book Antiqua"/>
          <w:i/>
        </w:rPr>
        <w:t>et seq</w:t>
      </w:r>
      <w:r w:rsidRPr="00470269">
        <w:rPr>
          <w:rFonts w:ascii="Book Antiqua" w:hAnsi="Book Antiqua"/>
        </w:rPr>
        <w:t xml:space="preserve">. </w:t>
      </w:r>
      <w:bookmarkEnd w:id="55"/>
    </w:p>
    <w:p w:rsidRPr="000105A3" w:rsidR="009501D1" w:rsidP="00506E52" w:rsidRDefault="004954A6" w14:paraId="2D22243E" w14:textId="5EAA801A">
      <w:pPr>
        <w:pStyle w:val="Heading2"/>
      </w:pPr>
      <w:bookmarkStart w:name="_Toc76995747" w:id="56"/>
      <w:bookmarkStart w:name="_Toc76995748" w:id="57"/>
      <w:bookmarkStart w:name="_Toc76995749" w:id="58"/>
      <w:bookmarkStart w:name="_Toc76995750" w:id="59"/>
      <w:bookmarkStart w:name="_Toc76995751" w:id="60"/>
      <w:bookmarkStart w:name="_Toc76995752" w:id="61"/>
      <w:bookmarkStart w:name="_Toc76995753" w:id="62"/>
      <w:bookmarkStart w:name="_Toc76995754" w:id="63"/>
      <w:bookmarkStart w:name="_Toc76995755" w:id="64"/>
      <w:bookmarkStart w:name="_Toc76995756" w:id="65"/>
      <w:bookmarkStart w:name="_Toc76995757" w:id="66"/>
      <w:bookmarkStart w:name="_Toc76995758" w:id="67"/>
      <w:bookmarkStart w:name="_Toc76995759" w:id="68"/>
      <w:bookmarkStart w:name="_Toc76995760" w:id="69"/>
      <w:bookmarkStart w:name="_Toc76995761" w:id="70"/>
      <w:bookmarkStart w:name="_Toc76995762" w:id="71"/>
      <w:bookmarkStart w:name="_Toc76995763" w:id="72"/>
      <w:bookmarkStart w:name="_Toc76995764" w:id="73"/>
      <w:bookmarkStart w:name="_Toc76995765" w:id="74"/>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Start w:name="_Toc72748072" w:id="76"/>
      <w:bookmarkStart w:name="_Toc76995766" w:id="77"/>
      <w:bookmarkStart w:name="_Hlk12884083" w:id="78"/>
      <w:bookmarkEnd w:id="74"/>
      <w:r w:rsidRPr="001A57A9" w:rsidR="003102FA">
        <w:t>P</w:t>
      </w:r>
      <w:r w:rsidRPr="001A57A9" w:rsidR="009501D1">
        <w:t>urchase</w:t>
      </w:r>
      <w:r w:rsidRPr="000105A3" w:rsidR="009501D1">
        <w:t xml:space="preserve"> Price </w:t>
      </w:r>
      <w:r w:rsidRPr="000105A3" w:rsidR="002E6037">
        <w:t>a</w:t>
      </w:r>
      <w:r w:rsidRPr="000105A3" w:rsidR="009501D1">
        <w:t>s the Fair Market Value</w:t>
      </w:r>
      <w:bookmarkEnd w:id="76"/>
      <w:bookmarkEnd w:id="77"/>
    </w:p>
    <w:p w:rsidRPr="00470269" w:rsidR="00A70B1F" w:rsidP="00EE516C" w:rsidRDefault="00A70B1F" w14:paraId="6F50FAD9" w14:textId="249C075F">
      <w:pPr>
        <w:pStyle w:val="Standard"/>
      </w:pPr>
      <w:r w:rsidRPr="00470269">
        <w:t xml:space="preserve">As discussed below, the </w:t>
      </w:r>
      <w:bookmarkStart w:name="_Hlk72340829" w:id="79"/>
      <w:r w:rsidRPr="00470269">
        <w:t xml:space="preserve">total final purchase price of $34 million represents the fair market value as defined by Pub. Util. Code § 2720.  We therefore authorize </w:t>
      </w:r>
      <w:r w:rsidRPr="00470269" w:rsidR="0042123A">
        <w:t>the inclusion of the total final purchase price</w:t>
      </w:r>
      <w:r w:rsidRPr="00470269" w:rsidR="00C22F89">
        <w:t xml:space="preserve"> in</w:t>
      </w:r>
      <w:r w:rsidRPr="00470269" w:rsidR="0042123A">
        <w:t xml:space="preserve"> </w:t>
      </w:r>
      <w:r w:rsidRPr="00470269">
        <w:t xml:space="preserve">rate base. </w:t>
      </w:r>
      <w:bookmarkEnd w:id="79"/>
    </w:p>
    <w:p w:rsidRPr="00470269" w:rsidR="00A06B6B" w:rsidP="00EE516C" w:rsidRDefault="005A3D79" w14:paraId="31C70DB2" w14:textId="3EB67DBC">
      <w:pPr>
        <w:pStyle w:val="Standard"/>
      </w:pPr>
      <w:bookmarkStart w:name="_Hlk71549645" w:id="80"/>
      <w:r w:rsidRPr="00470269">
        <w:t>Here, w</w:t>
      </w:r>
      <w:r w:rsidRPr="00470269" w:rsidR="007A4F59">
        <w:t>e must</w:t>
      </w:r>
      <w:r w:rsidRPr="00470269" w:rsidR="009E6458">
        <w:t xml:space="preserve"> establish the fair market value of the proposed acquisition</w:t>
      </w:r>
      <w:r w:rsidRPr="00470269" w:rsidR="00BD3DF7">
        <w:t xml:space="preserve"> because that value </w:t>
      </w:r>
      <w:r w:rsidRPr="00470269">
        <w:t>would be</w:t>
      </w:r>
      <w:r w:rsidRPr="00470269" w:rsidR="005E74A1">
        <w:t xml:space="preserve"> used as the rate base for subsequent </w:t>
      </w:r>
      <w:proofErr w:type="spellStart"/>
      <w:r w:rsidRPr="00470269" w:rsidR="005E74A1">
        <w:t>ratesetting</w:t>
      </w:r>
      <w:proofErr w:type="spellEnd"/>
      <w:r w:rsidRPr="00470269" w:rsidR="005E74A1">
        <w:t xml:space="preserve"> proceedings</w:t>
      </w:r>
      <w:r w:rsidRPr="00470269" w:rsidR="00EE67A2">
        <w:t>.</w:t>
      </w:r>
      <w:r w:rsidRPr="00470269" w:rsidR="00644FCD">
        <w:t xml:space="preserve"> </w:t>
      </w:r>
      <w:r w:rsidRPr="00470269" w:rsidR="00EE67A2">
        <w:t xml:space="preserve"> </w:t>
      </w:r>
      <w:bookmarkStart w:name="_Hlk71202820" w:id="81"/>
      <w:r w:rsidRPr="00470269" w:rsidR="00EE67A2">
        <w:t xml:space="preserve">The </w:t>
      </w:r>
      <w:r w:rsidR="003818FC">
        <w:t xml:space="preserve">Public </w:t>
      </w:r>
      <w:r w:rsidRPr="00470269" w:rsidR="00EE67A2">
        <w:t xml:space="preserve">Water System Investment </w:t>
      </w:r>
      <w:r w:rsidRPr="00470269">
        <w:t xml:space="preserve">and Consolidation </w:t>
      </w:r>
      <w:r w:rsidRPr="00470269" w:rsidR="00EE67A2">
        <w:t xml:space="preserve">Act </w:t>
      </w:r>
      <w:r w:rsidRPr="00470269" w:rsidR="000017EB">
        <w:rPr>
          <w:rFonts w:eastAsia="Book Antiqua" w:cs="Times New Roman"/>
        </w:rPr>
        <w:t>de</w:t>
      </w:r>
      <w:r w:rsidRPr="00470269" w:rsidR="00A06B6B">
        <w:rPr>
          <w:rFonts w:eastAsia="Book Antiqua" w:cs="Times New Roman"/>
        </w:rPr>
        <w:t>fines</w:t>
      </w:r>
      <w:r w:rsidRPr="00470269" w:rsidR="000017EB">
        <w:rPr>
          <w:rFonts w:eastAsia="Book Antiqua" w:cs="Times New Roman"/>
        </w:rPr>
        <w:t xml:space="preserve"> </w:t>
      </w:r>
      <w:r w:rsidRPr="00470269" w:rsidR="009501D1">
        <w:t>the fair market value</w:t>
      </w:r>
      <w:r w:rsidRPr="00470269" w:rsidR="009A6A93">
        <w:t xml:space="preserve"> of the water system as a transaction between a</w:t>
      </w:r>
      <w:r w:rsidRPr="00470269" w:rsidR="00B34238">
        <w:t xml:space="preserve"> </w:t>
      </w:r>
      <w:r w:rsidRPr="00470269" w:rsidR="001316C5">
        <w:t>“</w:t>
      </w:r>
      <w:r w:rsidRPr="00470269" w:rsidR="009501D1">
        <w:t>willing seller</w:t>
      </w:r>
      <w:r w:rsidRPr="00470269" w:rsidR="001A57A9">
        <w:noBreakHyphen/>
      </w:r>
      <w:r w:rsidRPr="00470269" w:rsidR="009501D1">
        <w:t>willing buyer</w:t>
      </w:r>
      <w:r w:rsidRPr="00470269" w:rsidR="001316C5">
        <w:t>”</w:t>
      </w:r>
      <w:r w:rsidRPr="00470269" w:rsidR="009501D1">
        <w:t xml:space="preserve"> </w:t>
      </w:r>
      <w:r w:rsidRPr="00470269" w:rsidR="009A6A93">
        <w:t xml:space="preserve">consistent with </w:t>
      </w:r>
      <w:r w:rsidRPr="00470269" w:rsidR="009501D1">
        <w:t>C</w:t>
      </w:r>
      <w:r w:rsidRPr="00470269" w:rsidR="00B801F1">
        <w:t xml:space="preserve">alifornia Code of Civil Procedure </w:t>
      </w:r>
      <w:r w:rsidRPr="00470269" w:rsidR="009501D1">
        <w:t>Section</w:t>
      </w:r>
      <w:r w:rsidRPr="00470269" w:rsidR="001A57A9">
        <w:t> </w:t>
      </w:r>
      <w:r w:rsidRPr="00470269" w:rsidR="009501D1">
        <w:t>1263.320</w:t>
      </w:r>
      <w:bookmarkEnd w:id="81"/>
      <w:r w:rsidRPr="00470269" w:rsidR="00A06B6B">
        <w:t>.</w:t>
      </w:r>
      <w:r w:rsidRPr="00470269" w:rsidR="009501D1">
        <w:rPr>
          <w:rStyle w:val="FootnoteReference"/>
          <w:rFonts w:eastAsia="Times New Roman" w:cs="TimesNewRomanPSMT"/>
          <w:szCs w:val="26"/>
        </w:rPr>
        <w:footnoteReference w:id="21"/>
      </w:r>
      <w:r w:rsidRPr="00470269" w:rsidR="009501D1">
        <w:rPr>
          <w:rFonts w:eastAsia="Book Antiqua"/>
        </w:rPr>
        <w:t xml:space="preserve"> </w:t>
      </w:r>
    </w:p>
    <w:bookmarkEnd w:id="80"/>
    <w:p w:rsidRPr="00470269" w:rsidR="009501D1" w:rsidP="00437D43" w:rsidRDefault="009501D1" w14:paraId="11D51766" w14:textId="0AA9A081">
      <w:pPr>
        <w:pStyle w:val="standard0"/>
        <w:rPr>
          <w:rFonts w:ascii="Book Antiqua" w:hAnsi="Book Antiqua" w:cs="TimesNewRomanPSMT"/>
          <w:szCs w:val="26"/>
        </w:rPr>
      </w:pPr>
      <w:r w:rsidRPr="00470269">
        <w:rPr>
          <w:rFonts w:ascii="Book Antiqua" w:hAnsi="Book Antiqua" w:cs="TimesNewRomanPSMT"/>
          <w:szCs w:val="26"/>
        </w:rPr>
        <w:t xml:space="preserve">Joint Applicants </w:t>
      </w:r>
      <w:r w:rsidRPr="00470269" w:rsidR="004A2240">
        <w:rPr>
          <w:rFonts w:ascii="Book Antiqua" w:hAnsi="Book Antiqua" w:cs="TimesNewRomanPSMT"/>
          <w:szCs w:val="26"/>
        </w:rPr>
        <w:t>argue</w:t>
      </w:r>
      <w:r w:rsidRPr="00470269" w:rsidR="00112E91">
        <w:rPr>
          <w:rFonts w:ascii="Book Antiqua" w:hAnsi="Book Antiqua" w:cs="TimesNewRomanPSMT"/>
          <w:szCs w:val="26"/>
        </w:rPr>
        <w:t xml:space="preserve"> </w:t>
      </w:r>
      <w:r w:rsidRPr="00470269">
        <w:rPr>
          <w:rFonts w:ascii="Book Antiqua" w:hAnsi="Book Antiqua" w:cs="TimesNewRomanPSMT"/>
          <w:szCs w:val="26"/>
        </w:rPr>
        <w:t xml:space="preserve">that East Pasadena willingly </w:t>
      </w:r>
      <w:proofErr w:type="gramStart"/>
      <w:r w:rsidRPr="00470269">
        <w:rPr>
          <w:rFonts w:ascii="Book Antiqua" w:hAnsi="Book Antiqua" w:cs="TimesNewRomanPSMT"/>
          <w:szCs w:val="26"/>
        </w:rPr>
        <w:t>entered into</w:t>
      </w:r>
      <w:proofErr w:type="gramEnd"/>
      <w:r w:rsidRPr="00470269">
        <w:rPr>
          <w:rFonts w:ascii="Book Antiqua" w:hAnsi="Book Antiqua" w:cs="TimesNewRomanPSMT"/>
          <w:szCs w:val="26"/>
        </w:rPr>
        <w:t xml:space="preserve"> the contract with </w:t>
      </w:r>
      <w:r w:rsidRPr="00470269" w:rsidR="008D304C">
        <w:rPr>
          <w:rFonts w:ascii="Book Antiqua" w:hAnsi="Book Antiqua" w:cs="TimesNewRomanPSMT"/>
          <w:szCs w:val="26"/>
        </w:rPr>
        <w:t>Cal-Am</w:t>
      </w:r>
      <w:r w:rsidRPr="00470269" w:rsidR="004A2240">
        <w:rPr>
          <w:rFonts w:ascii="Book Antiqua" w:hAnsi="Book Antiqua" w:cs="TimesNewRomanPSMT"/>
          <w:szCs w:val="26"/>
        </w:rPr>
        <w:t xml:space="preserve"> </w:t>
      </w:r>
      <w:r w:rsidRPr="00470269">
        <w:rPr>
          <w:rFonts w:ascii="Book Antiqua" w:hAnsi="Book Antiqua" w:cs="TimesNewRomanPSMT"/>
          <w:szCs w:val="26"/>
        </w:rPr>
        <w:t xml:space="preserve">and </w:t>
      </w:r>
      <w:r w:rsidRPr="00470269" w:rsidR="007828C3">
        <w:rPr>
          <w:rFonts w:ascii="Book Antiqua" w:hAnsi="Book Antiqua" w:cs="TimesNewRomanPSMT"/>
          <w:szCs w:val="26"/>
        </w:rPr>
        <w:t xml:space="preserve">the seller </w:t>
      </w:r>
      <w:r w:rsidRPr="00470269">
        <w:rPr>
          <w:rFonts w:ascii="Book Antiqua" w:hAnsi="Book Antiqua" w:cs="TimesNewRomanPSMT"/>
          <w:szCs w:val="26"/>
        </w:rPr>
        <w:t>was under no pressure or obligation to agree to the sale.</w:t>
      </w:r>
      <w:r w:rsidRPr="00470269">
        <w:rPr>
          <w:rStyle w:val="FootnoteReference"/>
          <w:rFonts w:ascii="Book Antiqua" w:hAnsi="Book Antiqua" w:eastAsia="Book Antiqua" w:cs="Book Antiqua"/>
          <w:szCs w:val="26"/>
        </w:rPr>
        <w:footnoteReference w:id="22"/>
      </w:r>
      <w:r w:rsidRPr="00470269">
        <w:rPr>
          <w:rFonts w:ascii="Book Antiqua" w:hAnsi="Book Antiqua" w:eastAsia="Book Antiqua" w:cs="Book Antiqua"/>
          <w:szCs w:val="26"/>
        </w:rPr>
        <w:t xml:space="preserve"> </w:t>
      </w:r>
      <w:r w:rsidRPr="00470269" w:rsidR="00644FCD">
        <w:rPr>
          <w:rFonts w:ascii="Book Antiqua" w:hAnsi="Book Antiqua" w:eastAsia="Book Antiqua" w:cs="Book Antiqua"/>
          <w:szCs w:val="26"/>
        </w:rPr>
        <w:t xml:space="preserve"> </w:t>
      </w:r>
      <w:r w:rsidRPr="00470269" w:rsidR="00795DEA">
        <w:rPr>
          <w:rFonts w:ascii="Book Antiqua" w:hAnsi="Book Antiqua" w:cs="TimesNewRomanPSMT"/>
          <w:szCs w:val="26"/>
        </w:rPr>
        <w:t>Cal-Am</w:t>
      </w:r>
      <w:r w:rsidRPr="00470269">
        <w:rPr>
          <w:rFonts w:ascii="Book Antiqua" w:hAnsi="Book Antiqua" w:cs="TimesNewRomanPSMT"/>
          <w:szCs w:val="26"/>
        </w:rPr>
        <w:t xml:space="preserve"> and East Pasadena </w:t>
      </w:r>
      <w:r w:rsidRPr="00470269" w:rsidR="004A2240">
        <w:rPr>
          <w:rFonts w:ascii="Book Antiqua" w:hAnsi="Book Antiqua" w:cs="TimesNewRomanPSMT"/>
          <w:szCs w:val="26"/>
        </w:rPr>
        <w:t>assert</w:t>
      </w:r>
      <w:r w:rsidRPr="00470269" w:rsidR="00480597">
        <w:rPr>
          <w:rFonts w:ascii="Book Antiqua" w:hAnsi="Book Antiqua" w:cs="TimesNewRomanPSMT"/>
          <w:szCs w:val="26"/>
        </w:rPr>
        <w:t>ed</w:t>
      </w:r>
      <w:r w:rsidRPr="00470269" w:rsidR="004A2240">
        <w:rPr>
          <w:rFonts w:ascii="Book Antiqua" w:hAnsi="Book Antiqua" w:cs="TimesNewRomanPSMT"/>
          <w:szCs w:val="26"/>
        </w:rPr>
        <w:t xml:space="preserve"> that they </w:t>
      </w:r>
      <w:r w:rsidRPr="00470269">
        <w:rPr>
          <w:rFonts w:ascii="Book Antiqua" w:hAnsi="Book Antiqua" w:cs="TimesNewRomanPSMT"/>
          <w:szCs w:val="26"/>
        </w:rPr>
        <w:t>arrived a</w:t>
      </w:r>
      <w:r w:rsidRPr="00470269" w:rsidR="00F07CBF">
        <w:rPr>
          <w:rFonts w:ascii="Book Antiqua" w:hAnsi="Book Antiqua" w:cs="TimesNewRomanPSMT"/>
          <w:szCs w:val="26"/>
        </w:rPr>
        <w:t>t</w:t>
      </w:r>
      <w:r w:rsidRPr="00470269">
        <w:rPr>
          <w:rFonts w:ascii="Book Antiqua" w:hAnsi="Book Antiqua" w:cs="TimesNewRomanPSMT"/>
          <w:szCs w:val="26"/>
        </w:rPr>
        <w:t xml:space="preserve"> the </w:t>
      </w:r>
      <w:r w:rsidRPr="00470269">
        <w:rPr>
          <w:rFonts w:ascii="Book Antiqua" w:hAnsi="Book Antiqua" w:eastAsia="Book Antiqua" w:cs="Book Antiqua"/>
          <w:szCs w:val="26"/>
        </w:rPr>
        <w:t xml:space="preserve">agreed upon contract purchase price of $34 million </w:t>
      </w:r>
      <w:r w:rsidRPr="00470269">
        <w:rPr>
          <w:rFonts w:ascii="Book Antiqua" w:hAnsi="Book Antiqua" w:cs="TimesNewRomanPSMT"/>
          <w:szCs w:val="26"/>
        </w:rPr>
        <w:t xml:space="preserve">after arm’s length bargaining.  </w:t>
      </w:r>
    </w:p>
    <w:p w:rsidRPr="00470269" w:rsidR="002B4B4C" w:rsidP="00437D43" w:rsidRDefault="009501D1" w14:paraId="3FFDB6A5" w14:textId="287F1BAE">
      <w:pPr>
        <w:pStyle w:val="Standard"/>
      </w:pPr>
      <w:r w:rsidRPr="00470269">
        <w:lastRenderedPageBreak/>
        <w:t xml:space="preserve">The </w:t>
      </w:r>
      <w:r w:rsidRPr="00470269" w:rsidR="009B4CD8">
        <w:t xml:space="preserve">proposed </w:t>
      </w:r>
      <w:r w:rsidRPr="00470269">
        <w:t xml:space="preserve">purchase price </w:t>
      </w:r>
      <w:r w:rsidRPr="00470269" w:rsidR="00CD0C46">
        <w:t>wa</w:t>
      </w:r>
      <w:r w:rsidRPr="00470269">
        <w:t xml:space="preserve">s supported by the Joint Applicants’ appraisal, </w:t>
      </w:r>
      <w:r w:rsidRPr="00470269" w:rsidR="00F07CBF">
        <w:t xml:space="preserve">which </w:t>
      </w:r>
      <w:r w:rsidRPr="00470269" w:rsidR="00CD0C46">
        <w:t>was</w:t>
      </w:r>
      <w:r w:rsidRPr="00470269" w:rsidR="00F07CBF">
        <w:t xml:space="preserve"> </w:t>
      </w:r>
      <w:r w:rsidRPr="00470269">
        <w:t xml:space="preserve">based on the replacement cost new less depreciation method. </w:t>
      </w:r>
      <w:r w:rsidRPr="00470269" w:rsidR="00644FCD">
        <w:t xml:space="preserve"> </w:t>
      </w:r>
      <w:r w:rsidRPr="00470269">
        <w:t>The appraisal value</w:t>
      </w:r>
      <w:r w:rsidRPr="00470269" w:rsidR="009B4CD8">
        <w:t>d</w:t>
      </w:r>
      <w:r w:rsidRPr="00470269">
        <w:t xml:space="preserve"> the East Pasadena system assets at $42.9 million,</w:t>
      </w:r>
      <w:r w:rsidRPr="00470269">
        <w:rPr>
          <w:rStyle w:val="FootnoteReference"/>
          <w:rFonts w:eastAsia="Book Antiqua" w:cs="Book Antiqua"/>
          <w:szCs w:val="26"/>
        </w:rPr>
        <w:footnoteReference w:id="23"/>
      </w:r>
      <w:r w:rsidRPr="00470269">
        <w:t xml:space="preserve"> </w:t>
      </w:r>
      <w:r w:rsidRPr="00470269" w:rsidR="00DF0546">
        <w:t xml:space="preserve">consisting </w:t>
      </w:r>
      <w:r w:rsidRPr="00470269">
        <w:t xml:space="preserve">of tangible property assets of $9.3 million, real estate and vehicles of $7.2 million, and water rights of $26.7 million.  </w:t>
      </w:r>
    </w:p>
    <w:p w:rsidRPr="00470269" w:rsidR="009501D1" w:rsidP="003A178C" w:rsidRDefault="009501D1" w14:paraId="36EF695D" w14:textId="01E08CAA">
      <w:pPr>
        <w:pStyle w:val="Standard"/>
      </w:pPr>
      <w:r w:rsidRPr="00470269">
        <w:t xml:space="preserve">The Public Advocates Office </w:t>
      </w:r>
      <w:r w:rsidRPr="00470269" w:rsidR="002B4B4C">
        <w:t>presented</w:t>
      </w:r>
      <w:r w:rsidRPr="00470269">
        <w:t xml:space="preserve"> </w:t>
      </w:r>
      <w:r w:rsidRPr="00470269" w:rsidR="00650465">
        <w:t>its own</w:t>
      </w:r>
      <w:r w:rsidRPr="00470269">
        <w:t xml:space="preserve"> appraisal valuation of </w:t>
      </w:r>
      <w:r w:rsidRPr="00470269" w:rsidR="002B5EEE">
        <w:t>$38.5</w:t>
      </w:r>
      <w:r w:rsidRPr="00470269" w:rsidR="00644FCD">
        <w:t> </w:t>
      </w:r>
      <w:r w:rsidRPr="00470269" w:rsidR="002B5EEE">
        <w:t>million and</w:t>
      </w:r>
      <w:r w:rsidRPr="00470269" w:rsidR="002B4B4C">
        <w:t xml:space="preserve"> noted</w:t>
      </w:r>
      <w:r w:rsidRPr="00470269">
        <w:t xml:space="preserve"> </w:t>
      </w:r>
      <w:r w:rsidRPr="00470269" w:rsidR="00AC2AD8">
        <w:t xml:space="preserve">that </w:t>
      </w:r>
      <w:r w:rsidRPr="00470269">
        <w:t xml:space="preserve">the </w:t>
      </w:r>
      <w:r w:rsidRPr="00470269" w:rsidR="00AC2AD8">
        <w:t xml:space="preserve">proposed purchase </w:t>
      </w:r>
      <w:r w:rsidRPr="00470269">
        <w:t xml:space="preserve">price of $34 million is </w:t>
      </w:r>
      <w:proofErr w:type="gramStart"/>
      <w:r w:rsidRPr="00470269" w:rsidR="005A3D79">
        <w:t xml:space="preserve">actually </w:t>
      </w:r>
      <w:r w:rsidRPr="00470269">
        <w:t>lower</w:t>
      </w:r>
      <w:proofErr w:type="gramEnd"/>
      <w:r w:rsidRPr="00470269">
        <w:t xml:space="preserve"> than either appraisal provided by </w:t>
      </w:r>
      <w:r w:rsidRPr="00470269" w:rsidR="008D304C">
        <w:t>Cal-Am</w:t>
      </w:r>
      <w:r w:rsidRPr="00470269" w:rsidR="00A51D4F">
        <w:t xml:space="preserve"> </w:t>
      </w:r>
      <w:r w:rsidRPr="00470269">
        <w:t xml:space="preserve">or </w:t>
      </w:r>
      <w:r w:rsidRPr="00470269" w:rsidR="00A51D4F">
        <w:t xml:space="preserve">the </w:t>
      </w:r>
      <w:r w:rsidRPr="00470269">
        <w:t xml:space="preserve">Public Advocates Office. </w:t>
      </w:r>
    </w:p>
    <w:p w:rsidRPr="00470269" w:rsidR="00933B0C" w:rsidP="00037886" w:rsidRDefault="009501D1" w14:paraId="62F591B5" w14:textId="115EA805">
      <w:pPr>
        <w:pStyle w:val="standard0"/>
        <w:rPr>
          <w:rFonts w:ascii="Book Antiqua" w:hAnsi="Book Antiqua" w:eastAsia="Book Antiqua" w:cs="Book Antiqua"/>
          <w:szCs w:val="26"/>
        </w:rPr>
      </w:pPr>
      <w:r w:rsidRPr="00470269">
        <w:rPr>
          <w:rFonts w:ascii="Book Antiqua" w:hAnsi="Book Antiqua" w:eastAsia="Book Antiqua" w:cs="Book Antiqua"/>
          <w:szCs w:val="26"/>
        </w:rPr>
        <w:t xml:space="preserve">The Public Advocates Office </w:t>
      </w:r>
      <w:r w:rsidR="003362F8">
        <w:rPr>
          <w:rFonts w:ascii="Book Antiqua" w:hAnsi="Book Antiqua" w:eastAsia="Book Antiqua" w:cs="Book Antiqua"/>
          <w:szCs w:val="26"/>
        </w:rPr>
        <w:t>had no objection</w:t>
      </w:r>
      <w:r w:rsidRPr="00470269" w:rsidR="000B7C6A">
        <w:rPr>
          <w:rFonts w:ascii="Book Antiqua" w:hAnsi="Book Antiqua" w:eastAsia="Book Antiqua" w:cs="Book Antiqua"/>
          <w:szCs w:val="26"/>
        </w:rPr>
        <w:t xml:space="preserve"> </w:t>
      </w:r>
      <w:r w:rsidRPr="00470269" w:rsidR="00A06B6B">
        <w:rPr>
          <w:rFonts w:ascii="Book Antiqua" w:hAnsi="Book Antiqua" w:eastAsia="Book Antiqua" w:cs="Book Antiqua"/>
          <w:szCs w:val="26"/>
        </w:rPr>
        <w:t xml:space="preserve">to the purchase price amount and the </w:t>
      </w:r>
      <w:r w:rsidR="003818FC">
        <w:rPr>
          <w:rFonts w:ascii="Book Antiqua" w:hAnsi="Book Antiqua" w:eastAsia="Book Antiqua" w:cs="Book Antiqua"/>
          <w:szCs w:val="26"/>
        </w:rPr>
        <w:t xml:space="preserve">Public </w:t>
      </w:r>
      <w:r w:rsidRPr="00470269" w:rsidR="00A06B6B">
        <w:rPr>
          <w:rFonts w:ascii="Book Antiqua" w:hAnsi="Book Antiqua" w:eastAsia="Book Antiqua" w:cs="Book Antiqua"/>
          <w:szCs w:val="26"/>
        </w:rPr>
        <w:t xml:space="preserve">Water System Investment </w:t>
      </w:r>
      <w:r w:rsidRPr="00470269" w:rsidR="005A3D79">
        <w:rPr>
          <w:rFonts w:ascii="Book Antiqua" w:hAnsi="Book Antiqua" w:eastAsia="Book Antiqua" w:cs="Book Antiqua"/>
          <w:szCs w:val="26"/>
        </w:rPr>
        <w:t xml:space="preserve">and Consolidation </w:t>
      </w:r>
      <w:r w:rsidRPr="00470269" w:rsidR="00A06B6B">
        <w:rPr>
          <w:rFonts w:ascii="Book Antiqua" w:hAnsi="Book Antiqua" w:eastAsia="Book Antiqua" w:cs="Book Antiqua"/>
          <w:szCs w:val="26"/>
        </w:rPr>
        <w:t>Act definition of the fair market value (“willing seller-willing buyer” standard of California Code of Civil Procedure Section 1263.320)</w:t>
      </w:r>
      <w:r w:rsidRPr="00470269" w:rsidR="0020733E">
        <w:rPr>
          <w:rFonts w:ascii="Book Antiqua" w:hAnsi="Book Antiqua" w:eastAsia="Book Antiqua" w:cs="Book Antiqua"/>
          <w:szCs w:val="26"/>
        </w:rPr>
        <w:t>.</w:t>
      </w:r>
      <w:r w:rsidRPr="00470269" w:rsidR="00644FCD">
        <w:rPr>
          <w:rFonts w:ascii="Book Antiqua" w:hAnsi="Book Antiqua" w:eastAsia="Book Antiqua" w:cs="Book Antiqua"/>
          <w:szCs w:val="26"/>
        </w:rPr>
        <w:t xml:space="preserve"> </w:t>
      </w:r>
      <w:r w:rsidRPr="00470269" w:rsidR="0020733E">
        <w:rPr>
          <w:rFonts w:ascii="Book Antiqua" w:hAnsi="Book Antiqua" w:eastAsia="Book Antiqua" w:cs="Book Antiqua"/>
          <w:szCs w:val="26"/>
        </w:rPr>
        <w:t xml:space="preserve"> </w:t>
      </w:r>
      <w:r w:rsidR="003362F8">
        <w:rPr>
          <w:rFonts w:ascii="Book Antiqua" w:hAnsi="Book Antiqua" w:eastAsia="Book Antiqua" w:cs="Book Antiqua"/>
          <w:szCs w:val="26"/>
        </w:rPr>
        <w:t>Nevertheless, t</w:t>
      </w:r>
      <w:r w:rsidRPr="00470269" w:rsidR="0020733E">
        <w:rPr>
          <w:rFonts w:ascii="Book Antiqua" w:hAnsi="Book Antiqua" w:eastAsia="Book Antiqua" w:cs="Book Antiqua"/>
          <w:szCs w:val="26"/>
        </w:rPr>
        <w:t xml:space="preserve">he Public Advocates Office </w:t>
      </w:r>
      <w:r w:rsidRPr="00470269" w:rsidR="000B7C6A">
        <w:rPr>
          <w:rFonts w:ascii="Book Antiqua" w:hAnsi="Book Antiqua" w:eastAsia="Book Antiqua" w:cs="Book Antiqua"/>
          <w:szCs w:val="26"/>
        </w:rPr>
        <w:t xml:space="preserve">argued </w:t>
      </w:r>
      <w:r w:rsidRPr="00470269" w:rsidR="00A06B6B">
        <w:rPr>
          <w:rFonts w:ascii="Book Antiqua" w:hAnsi="Book Antiqua" w:eastAsia="Book Antiqua" w:cs="Book Antiqua"/>
          <w:szCs w:val="26"/>
        </w:rPr>
        <w:t>that su</w:t>
      </w:r>
      <w:r w:rsidRPr="00470269" w:rsidR="00AF5F89">
        <w:rPr>
          <w:rFonts w:ascii="Book Antiqua" w:hAnsi="Book Antiqua" w:eastAsia="Book Antiqua" w:cs="Book Antiqua"/>
          <w:szCs w:val="26"/>
        </w:rPr>
        <w:t xml:space="preserve">ch an approach to fair market value </w:t>
      </w:r>
      <w:r w:rsidRPr="00470269" w:rsidR="00E00B7A">
        <w:rPr>
          <w:rFonts w:ascii="Book Antiqua" w:hAnsi="Book Antiqua" w:eastAsia="Book Antiqua" w:cs="Book Antiqua"/>
          <w:szCs w:val="26"/>
        </w:rPr>
        <w:t xml:space="preserve">could be potentially abused or </w:t>
      </w:r>
      <w:r w:rsidRPr="00470269" w:rsidR="00A06B6B">
        <w:rPr>
          <w:rFonts w:ascii="Book Antiqua" w:hAnsi="Book Antiqua" w:eastAsia="Book Antiqua" w:cs="Book Antiqua"/>
          <w:szCs w:val="26"/>
        </w:rPr>
        <w:t xml:space="preserve">lead to </w:t>
      </w:r>
      <w:r w:rsidRPr="00470269" w:rsidR="00DC1B95">
        <w:rPr>
          <w:rFonts w:ascii="Book Antiqua" w:hAnsi="Book Antiqua" w:eastAsia="Book Antiqua" w:cs="Book Antiqua"/>
          <w:szCs w:val="26"/>
        </w:rPr>
        <w:t xml:space="preserve">an </w:t>
      </w:r>
      <w:r w:rsidRPr="00470269" w:rsidR="00E00B7A">
        <w:rPr>
          <w:rFonts w:ascii="Book Antiqua" w:hAnsi="Book Antiqua" w:eastAsia="Book Antiqua" w:cs="Book Antiqua"/>
          <w:szCs w:val="26"/>
        </w:rPr>
        <w:t>over-inflated</w:t>
      </w:r>
      <w:r w:rsidRPr="00470269" w:rsidR="00A06B6B">
        <w:rPr>
          <w:rFonts w:ascii="Book Antiqua" w:hAnsi="Book Antiqua" w:eastAsia="Book Antiqua" w:cs="Book Antiqua"/>
          <w:szCs w:val="26"/>
        </w:rPr>
        <w:t xml:space="preserve"> purchase price</w:t>
      </w:r>
      <w:r w:rsidRPr="00470269" w:rsidR="00E00B7A">
        <w:rPr>
          <w:rFonts w:ascii="Book Antiqua" w:hAnsi="Book Antiqua" w:eastAsia="Book Antiqua" w:cs="Book Antiqua"/>
          <w:szCs w:val="26"/>
        </w:rPr>
        <w:t>.</w:t>
      </w:r>
      <w:r w:rsidRPr="00470269" w:rsidR="00E00B7A">
        <w:rPr>
          <w:rStyle w:val="FootnoteReference"/>
          <w:rFonts w:ascii="Book Antiqua" w:hAnsi="Book Antiqua" w:eastAsia="Book Antiqua" w:cs="Book Antiqua"/>
          <w:szCs w:val="26"/>
        </w:rPr>
        <w:footnoteReference w:id="24"/>
      </w:r>
      <w:r w:rsidRPr="00470269" w:rsidR="00E00B7A">
        <w:rPr>
          <w:rFonts w:ascii="Book Antiqua" w:hAnsi="Book Antiqua" w:eastAsia="Book Antiqua" w:cs="Book Antiqua"/>
          <w:szCs w:val="26"/>
        </w:rPr>
        <w:t xml:space="preserve"> </w:t>
      </w:r>
      <w:r w:rsidRPr="00470269" w:rsidR="00644FCD">
        <w:rPr>
          <w:rFonts w:ascii="Book Antiqua" w:hAnsi="Book Antiqua" w:eastAsia="Book Antiqua" w:cs="Book Antiqua"/>
          <w:szCs w:val="26"/>
        </w:rPr>
        <w:t xml:space="preserve"> </w:t>
      </w:r>
      <w:r w:rsidRPr="00470269" w:rsidR="00933B0C">
        <w:rPr>
          <w:rFonts w:ascii="Book Antiqua" w:hAnsi="Book Antiqua" w:eastAsia="Book Antiqua" w:cs="Book Antiqua"/>
          <w:szCs w:val="26"/>
        </w:rPr>
        <w:t xml:space="preserve">The Public Advocates Office did not offer any evidence of abuse or over-inflation by the Joint Applicants in this proceeding. </w:t>
      </w:r>
    </w:p>
    <w:p w:rsidRPr="00470269" w:rsidR="00933B0C" w:rsidP="00437D43" w:rsidRDefault="00BC3F3F" w14:paraId="5E3EE553" w14:textId="4D71E661">
      <w:pPr>
        <w:pStyle w:val="standard0"/>
        <w:rPr>
          <w:rFonts w:ascii="Book Antiqua" w:hAnsi="Book Antiqua" w:eastAsia="Book Antiqua" w:cs="Book Antiqua"/>
          <w:szCs w:val="26"/>
        </w:rPr>
      </w:pPr>
      <w:r w:rsidRPr="00470269">
        <w:rPr>
          <w:rFonts w:ascii="Book Antiqua" w:hAnsi="Book Antiqua" w:eastAsia="Book Antiqua" w:cs="Book Antiqua"/>
          <w:szCs w:val="26"/>
        </w:rPr>
        <w:t>We acknowledge that t</w:t>
      </w:r>
      <w:r w:rsidRPr="00470269" w:rsidR="009501D1">
        <w:rPr>
          <w:rFonts w:ascii="Book Antiqua" w:hAnsi="Book Antiqua" w:eastAsia="Book Antiqua" w:cs="Book Antiqua"/>
          <w:szCs w:val="26"/>
        </w:rPr>
        <w:t xml:space="preserve">ransactions authorized under </w:t>
      </w:r>
      <w:r w:rsidRPr="00470269" w:rsidR="00F527B8">
        <w:rPr>
          <w:rFonts w:ascii="Book Antiqua" w:hAnsi="Book Antiqua" w:eastAsia="Book Antiqua" w:cs="Book Antiqua"/>
          <w:szCs w:val="26"/>
        </w:rPr>
        <w:t xml:space="preserve">the </w:t>
      </w:r>
      <w:r w:rsidR="003818FC">
        <w:rPr>
          <w:rFonts w:ascii="Book Antiqua" w:hAnsi="Book Antiqua" w:eastAsia="Book Antiqua" w:cs="Book Antiqua"/>
          <w:szCs w:val="26"/>
        </w:rPr>
        <w:t xml:space="preserve">Public </w:t>
      </w:r>
      <w:r w:rsidRPr="00470269" w:rsidR="00F527B8">
        <w:rPr>
          <w:rFonts w:ascii="Book Antiqua" w:hAnsi="Book Antiqua" w:eastAsia="Book Antiqua" w:cs="Book Antiqua"/>
          <w:szCs w:val="26"/>
        </w:rPr>
        <w:t xml:space="preserve">Water System Investment </w:t>
      </w:r>
      <w:r w:rsidRPr="00470269" w:rsidR="005A3D79">
        <w:rPr>
          <w:rFonts w:ascii="Book Antiqua" w:hAnsi="Book Antiqua" w:eastAsia="Book Antiqua" w:cs="Book Antiqua"/>
          <w:szCs w:val="26"/>
        </w:rPr>
        <w:t xml:space="preserve">and Consolidation </w:t>
      </w:r>
      <w:r w:rsidRPr="00470269" w:rsidR="00F527B8">
        <w:rPr>
          <w:rFonts w:ascii="Book Antiqua" w:hAnsi="Book Antiqua" w:eastAsia="Book Antiqua" w:cs="Book Antiqua"/>
          <w:szCs w:val="26"/>
        </w:rPr>
        <w:t>Act</w:t>
      </w:r>
      <w:r w:rsidRPr="00470269">
        <w:rPr>
          <w:rFonts w:ascii="Book Antiqua" w:hAnsi="Book Antiqua" w:eastAsia="Book Antiqua" w:cs="Book Antiqua"/>
          <w:szCs w:val="26"/>
        </w:rPr>
        <w:t>, like this one,</w:t>
      </w:r>
      <w:r w:rsidRPr="00470269" w:rsidR="001D1399">
        <w:rPr>
          <w:rFonts w:ascii="Book Antiqua" w:hAnsi="Book Antiqua" w:eastAsia="Book Antiqua" w:cs="Book Antiqua"/>
          <w:szCs w:val="26"/>
        </w:rPr>
        <w:t xml:space="preserve"> </w:t>
      </w:r>
      <w:r w:rsidRPr="00470269" w:rsidR="005A3D79">
        <w:rPr>
          <w:rFonts w:ascii="Book Antiqua" w:hAnsi="Book Antiqua" w:eastAsia="Book Antiqua" w:cs="Book Antiqua"/>
          <w:szCs w:val="26"/>
        </w:rPr>
        <w:t>may</w:t>
      </w:r>
      <w:r w:rsidRPr="00470269" w:rsidR="00A453A3">
        <w:rPr>
          <w:rFonts w:ascii="Book Antiqua" w:hAnsi="Book Antiqua" w:eastAsia="Book Antiqua" w:cs="Book Antiqua"/>
          <w:szCs w:val="26"/>
        </w:rPr>
        <w:t xml:space="preserve"> </w:t>
      </w:r>
      <w:r w:rsidRPr="00470269" w:rsidR="009501D1">
        <w:rPr>
          <w:rFonts w:ascii="Book Antiqua" w:hAnsi="Book Antiqua" w:eastAsia="Book Antiqua" w:cs="Book Antiqua"/>
          <w:szCs w:val="26"/>
        </w:rPr>
        <w:t>lead to rate increases</w:t>
      </w:r>
      <w:r w:rsidRPr="00470269" w:rsidR="00AF5F89">
        <w:rPr>
          <w:rFonts w:ascii="Book Antiqua" w:hAnsi="Book Antiqua" w:eastAsia="Book Antiqua" w:cs="Book Antiqua"/>
          <w:szCs w:val="26"/>
        </w:rPr>
        <w:t xml:space="preserve"> but will also </w:t>
      </w:r>
      <w:r w:rsidRPr="00470269" w:rsidR="005A3D79">
        <w:rPr>
          <w:rFonts w:ascii="Book Antiqua" w:hAnsi="Book Antiqua" w:eastAsia="Book Antiqua" w:cs="Book Antiqua"/>
          <w:szCs w:val="26"/>
        </w:rPr>
        <w:t xml:space="preserve">likely </w:t>
      </w:r>
      <w:r w:rsidRPr="00470269" w:rsidR="00AF5F89">
        <w:rPr>
          <w:rFonts w:ascii="Book Antiqua" w:hAnsi="Book Antiqua" w:eastAsia="Book Antiqua" w:cs="Book Antiqua"/>
          <w:szCs w:val="26"/>
        </w:rPr>
        <w:t xml:space="preserve">lead to other </w:t>
      </w:r>
      <w:r w:rsidRPr="00470269">
        <w:rPr>
          <w:rFonts w:ascii="Book Antiqua" w:hAnsi="Book Antiqua" w:eastAsia="Book Antiqua" w:cs="Book Antiqua"/>
          <w:szCs w:val="26"/>
        </w:rPr>
        <w:t xml:space="preserve">important </w:t>
      </w:r>
      <w:r w:rsidRPr="00470269" w:rsidR="00AF5F89">
        <w:rPr>
          <w:rFonts w:ascii="Book Antiqua" w:hAnsi="Book Antiqua" w:eastAsia="Book Antiqua" w:cs="Book Antiqua"/>
          <w:szCs w:val="26"/>
        </w:rPr>
        <w:t xml:space="preserve">ratepayer benefits envisioned by the </w:t>
      </w:r>
      <w:r w:rsidR="003818FC">
        <w:rPr>
          <w:rFonts w:ascii="Book Antiqua" w:hAnsi="Book Antiqua" w:eastAsia="Book Antiqua" w:cs="Book Antiqua"/>
          <w:szCs w:val="26"/>
        </w:rPr>
        <w:t xml:space="preserve">Public </w:t>
      </w:r>
      <w:r w:rsidRPr="00470269" w:rsidR="00AF5F89">
        <w:rPr>
          <w:rFonts w:ascii="Book Antiqua" w:hAnsi="Book Antiqua" w:eastAsia="Book Antiqua" w:cs="Book Antiqua"/>
          <w:szCs w:val="26"/>
        </w:rPr>
        <w:t xml:space="preserve">Water System Investment </w:t>
      </w:r>
      <w:r w:rsidRPr="00470269" w:rsidR="005A3D79">
        <w:rPr>
          <w:rFonts w:ascii="Book Antiqua" w:hAnsi="Book Antiqua" w:eastAsia="Book Antiqua" w:cs="Book Antiqua"/>
          <w:szCs w:val="26"/>
        </w:rPr>
        <w:t xml:space="preserve">and Consolidation </w:t>
      </w:r>
      <w:r w:rsidRPr="00470269" w:rsidR="00AF5F89">
        <w:rPr>
          <w:rFonts w:ascii="Book Antiqua" w:hAnsi="Book Antiqua" w:eastAsia="Book Antiqua" w:cs="Book Antiqua"/>
          <w:szCs w:val="26"/>
        </w:rPr>
        <w:t>Act</w:t>
      </w:r>
      <w:r w:rsidRPr="00470269" w:rsidR="009501D1">
        <w:rPr>
          <w:rFonts w:ascii="Book Antiqua" w:hAnsi="Book Antiqua" w:eastAsia="Book Antiqua" w:cs="Book Antiqua"/>
          <w:szCs w:val="26"/>
        </w:rPr>
        <w:t xml:space="preserve">. </w:t>
      </w:r>
      <w:r w:rsidRPr="00470269" w:rsidR="00644FCD">
        <w:rPr>
          <w:rFonts w:ascii="Book Antiqua" w:hAnsi="Book Antiqua" w:eastAsia="Book Antiqua" w:cs="Book Antiqua"/>
          <w:szCs w:val="26"/>
        </w:rPr>
        <w:t xml:space="preserve"> </w:t>
      </w:r>
      <w:r w:rsidRPr="00470269" w:rsidR="009501D1">
        <w:rPr>
          <w:rFonts w:ascii="Book Antiqua" w:hAnsi="Book Antiqua" w:eastAsia="Book Antiqua" w:cs="Book Antiqua"/>
          <w:szCs w:val="26"/>
        </w:rPr>
        <w:t xml:space="preserve">As stated in D.01-09-057, </w:t>
      </w:r>
      <w:r w:rsidRPr="00470269" w:rsidR="001D1399">
        <w:rPr>
          <w:rFonts w:ascii="Book Antiqua" w:hAnsi="Book Antiqua" w:eastAsia="Book Antiqua" w:cs="Book Antiqua"/>
          <w:szCs w:val="26"/>
        </w:rPr>
        <w:t>“</w:t>
      </w:r>
      <w:r w:rsidRPr="00470269" w:rsidR="00AF5F89">
        <w:rPr>
          <w:rFonts w:ascii="Book Antiqua" w:hAnsi="Book Antiqua" w:eastAsia="Book Antiqua" w:cs="Book Antiqua"/>
          <w:szCs w:val="26"/>
        </w:rPr>
        <w:t>[a]</w:t>
      </w:r>
      <w:proofErr w:type="spellStart"/>
      <w:r w:rsidRPr="00470269" w:rsidR="009501D1">
        <w:rPr>
          <w:rFonts w:ascii="Book Antiqua" w:hAnsi="Book Antiqua"/>
        </w:rPr>
        <w:t>pplying</w:t>
      </w:r>
      <w:proofErr w:type="spellEnd"/>
      <w:r w:rsidRPr="00470269" w:rsidR="009501D1">
        <w:rPr>
          <w:rFonts w:ascii="Book Antiqua" w:hAnsi="Book Antiqua"/>
        </w:rPr>
        <w:t xml:space="preserve"> Section 2720 places a cost on ratepayers:</w:t>
      </w:r>
      <w:r w:rsidRPr="00470269" w:rsidR="00644FCD">
        <w:rPr>
          <w:rFonts w:ascii="Book Antiqua" w:hAnsi="Book Antiqua"/>
        </w:rPr>
        <w:t xml:space="preserve"> </w:t>
      </w:r>
      <w:r w:rsidRPr="00470269" w:rsidR="009501D1">
        <w:rPr>
          <w:rFonts w:ascii="Book Antiqua" w:hAnsi="Book Antiqua"/>
        </w:rPr>
        <w:t xml:space="preserve"> that </w:t>
      </w:r>
      <w:r w:rsidRPr="00470269" w:rsidR="009501D1">
        <w:rPr>
          <w:rFonts w:ascii="Book Antiqua" w:hAnsi="Book Antiqua"/>
        </w:rPr>
        <w:lastRenderedPageBreak/>
        <w:t>of supporting a rate base higher than it would otherwise be because it is set at fair market value</w:t>
      </w:r>
      <w:r w:rsidRPr="00470269" w:rsidR="00933B0C">
        <w:rPr>
          <w:rFonts w:ascii="Book Antiqua" w:hAnsi="Book Antiqua"/>
        </w:rPr>
        <w:t>.</w:t>
      </w:r>
      <w:r w:rsidRPr="00470269" w:rsidR="001316C5">
        <w:rPr>
          <w:rFonts w:ascii="Book Antiqua" w:hAnsi="Book Antiqua"/>
        </w:rPr>
        <w:t>”</w:t>
      </w:r>
      <w:r w:rsidRPr="00470269" w:rsidR="009501D1">
        <w:rPr>
          <w:rStyle w:val="FootnoteReference"/>
          <w:rFonts w:ascii="Book Antiqua" w:hAnsi="Book Antiqua"/>
        </w:rPr>
        <w:footnoteReference w:id="25"/>
      </w:r>
      <w:r w:rsidRPr="00470269" w:rsidR="00540B56">
        <w:rPr>
          <w:rFonts w:ascii="Book Antiqua" w:hAnsi="Book Antiqua" w:eastAsia="Book Antiqua" w:cs="Book Antiqua"/>
          <w:szCs w:val="26"/>
        </w:rPr>
        <w:t xml:space="preserve"> </w:t>
      </w:r>
      <w:r w:rsidRPr="00470269" w:rsidR="00933B0C">
        <w:rPr>
          <w:rFonts w:ascii="Book Antiqua" w:hAnsi="Book Antiqua" w:eastAsia="Book Antiqua" w:cs="Book Antiqua"/>
          <w:szCs w:val="26"/>
        </w:rPr>
        <w:t xml:space="preserve">That is by design to incentivize these transactions to </w:t>
      </w:r>
      <w:r w:rsidR="00E37FE6">
        <w:rPr>
          <w:rFonts w:ascii="Book Antiqua" w:hAnsi="Book Antiqua" w:eastAsia="Book Antiqua" w:cs="Book Antiqua"/>
          <w:szCs w:val="26"/>
        </w:rPr>
        <w:t>“</w:t>
      </w:r>
      <w:r w:rsidRPr="00470269" w:rsidR="00933B0C">
        <w:rPr>
          <w:rFonts w:ascii="Book Antiqua" w:hAnsi="Book Antiqua" w:eastAsia="Book Antiqua" w:cs="Book Antiqua"/>
          <w:szCs w:val="26"/>
        </w:rPr>
        <w:t>achieve these scale economies will provide benefits to ratepayers</w:t>
      </w:r>
      <w:r w:rsidR="00E37FE6">
        <w:rPr>
          <w:rFonts w:ascii="Book Antiqua" w:hAnsi="Book Antiqua" w:eastAsia="Book Antiqua" w:cs="Book Antiqua"/>
          <w:szCs w:val="26"/>
        </w:rPr>
        <w:t>”</w:t>
      </w:r>
      <w:r w:rsidRPr="00470269" w:rsidR="00933B0C">
        <w:rPr>
          <w:rStyle w:val="FootnoteReference"/>
          <w:rFonts w:ascii="Book Antiqua" w:hAnsi="Book Antiqua" w:eastAsia="Book Antiqua" w:cs="Book Antiqua"/>
          <w:szCs w:val="26"/>
        </w:rPr>
        <w:footnoteReference w:id="26"/>
      </w:r>
      <w:r w:rsidRPr="00470269" w:rsidR="005A3D79">
        <w:rPr>
          <w:rFonts w:ascii="Book Antiqua" w:hAnsi="Book Antiqua" w:eastAsia="Book Antiqua" w:cs="Book Antiqua"/>
          <w:szCs w:val="26"/>
        </w:rPr>
        <w:t xml:space="preserve"> as well as </w:t>
      </w:r>
      <w:r w:rsidRPr="00470269" w:rsidR="002F07EB">
        <w:rPr>
          <w:rFonts w:ascii="Book Antiqua" w:hAnsi="Book Antiqua" w:eastAsia="Book Antiqua" w:cs="Book Antiqua"/>
          <w:szCs w:val="26"/>
        </w:rPr>
        <w:t>other legislatively i</w:t>
      </w:r>
      <w:r w:rsidR="00462A5D">
        <w:rPr>
          <w:rFonts w:ascii="Book Antiqua" w:hAnsi="Book Antiqua" w:eastAsia="Book Antiqua" w:cs="Book Antiqua"/>
          <w:szCs w:val="26"/>
        </w:rPr>
        <w:t>mputed</w:t>
      </w:r>
      <w:r w:rsidRPr="00470269" w:rsidR="002F07EB">
        <w:rPr>
          <w:rFonts w:ascii="Book Antiqua" w:hAnsi="Book Antiqua" w:eastAsia="Book Antiqua" w:cs="Book Antiqua"/>
          <w:szCs w:val="26"/>
        </w:rPr>
        <w:t xml:space="preserve"> public interests, set forth in </w:t>
      </w:r>
      <w:r w:rsidR="000C396F">
        <w:rPr>
          <w:rFonts w:ascii="Book Antiqua" w:hAnsi="Book Antiqua" w:eastAsia="Book Antiqua" w:cs="Book Antiqua"/>
          <w:szCs w:val="26"/>
        </w:rPr>
        <w:t>statute</w:t>
      </w:r>
      <w:r w:rsidRPr="00470269" w:rsidR="002F07EB">
        <w:rPr>
          <w:rFonts w:ascii="Book Antiqua" w:hAnsi="Book Antiqua" w:eastAsia="Book Antiqua" w:cs="Book Antiqua"/>
          <w:szCs w:val="26"/>
        </w:rPr>
        <w:t>.</w:t>
      </w:r>
    </w:p>
    <w:p w:rsidRPr="00470269" w:rsidR="007A2A31" w:rsidRDefault="009501D1" w14:paraId="3D7237A9" w14:textId="34ED4116">
      <w:pPr>
        <w:pStyle w:val="standard0"/>
        <w:rPr>
          <w:rFonts w:ascii="Book Antiqua" w:hAnsi="Book Antiqua" w:eastAsia="Book Antiqua" w:cs="Book Antiqua"/>
          <w:szCs w:val="26"/>
        </w:rPr>
      </w:pPr>
      <w:r w:rsidRPr="00470269">
        <w:rPr>
          <w:rFonts w:ascii="Book Antiqua" w:hAnsi="Book Antiqua" w:eastAsia="Book Antiqua" w:cs="Book Antiqua"/>
          <w:szCs w:val="26"/>
        </w:rPr>
        <w:t>Based upon the evidence</w:t>
      </w:r>
      <w:r w:rsidRPr="00470269" w:rsidR="00AF5F89">
        <w:rPr>
          <w:rFonts w:ascii="Book Antiqua" w:hAnsi="Book Antiqua" w:eastAsia="Book Antiqua" w:cs="Book Antiqua"/>
          <w:szCs w:val="26"/>
        </w:rPr>
        <w:t xml:space="preserve"> and the controlling authorities</w:t>
      </w:r>
      <w:r w:rsidRPr="00470269">
        <w:rPr>
          <w:rFonts w:ascii="Book Antiqua" w:hAnsi="Book Antiqua" w:eastAsia="Book Antiqua" w:cs="Book Antiqua"/>
          <w:szCs w:val="26"/>
        </w:rPr>
        <w:t xml:space="preserve">, </w:t>
      </w:r>
      <w:r w:rsidRPr="00470269" w:rsidR="00BC3F3F">
        <w:rPr>
          <w:rFonts w:ascii="Book Antiqua" w:hAnsi="Book Antiqua" w:eastAsia="Book Antiqua" w:cs="Book Antiqua"/>
          <w:szCs w:val="26"/>
        </w:rPr>
        <w:t xml:space="preserve">we are persuaded </w:t>
      </w:r>
      <w:r w:rsidRPr="00470269" w:rsidR="00DC1B95">
        <w:rPr>
          <w:rFonts w:ascii="Book Antiqua" w:hAnsi="Book Antiqua" w:eastAsia="Book Antiqua" w:cs="Book Antiqua"/>
          <w:szCs w:val="26"/>
        </w:rPr>
        <w:t xml:space="preserve">that the purchase price is </w:t>
      </w:r>
      <w:r w:rsidR="002B4A30">
        <w:rPr>
          <w:rFonts w:ascii="Book Antiqua" w:hAnsi="Book Antiqua" w:eastAsia="Book Antiqua" w:cs="Book Antiqua"/>
          <w:szCs w:val="26"/>
        </w:rPr>
        <w:t>the fair market value</w:t>
      </w:r>
      <w:r w:rsidRPr="00470269" w:rsidR="002F07EB">
        <w:rPr>
          <w:rFonts w:ascii="Book Antiqua" w:hAnsi="Book Antiqua" w:eastAsia="Book Antiqua" w:cs="Book Antiqua"/>
          <w:szCs w:val="26"/>
        </w:rPr>
        <w:t>.</w:t>
      </w:r>
      <w:r w:rsidRPr="00470269" w:rsidR="00644FCD">
        <w:rPr>
          <w:rFonts w:ascii="Book Antiqua" w:hAnsi="Book Antiqua" w:eastAsia="Book Antiqua" w:cs="Book Antiqua"/>
          <w:szCs w:val="26"/>
        </w:rPr>
        <w:t xml:space="preserve"> </w:t>
      </w:r>
      <w:r w:rsidRPr="00470269" w:rsidR="002F07EB">
        <w:rPr>
          <w:rFonts w:ascii="Book Antiqua" w:hAnsi="Book Antiqua" w:eastAsia="Book Antiqua" w:cs="Book Antiqua"/>
          <w:szCs w:val="26"/>
        </w:rPr>
        <w:t xml:space="preserve"> Moreover, </w:t>
      </w:r>
      <w:r w:rsidRPr="00470269" w:rsidR="00BC3F3F">
        <w:rPr>
          <w:rFonts w:ascii="Book Antiqua" w:hAnsi="Book Antiqua" w:eastAsia="Book Antiqua" w:cs="Book Antiqua"/>
          <w:szCs w:val="26"/>
        </w:rPr>
        <w:t>the two appraisals valued the water system well above the final purchase price</w:t>
      </w:r>
      <w:r w:rsidRPr="00470269" w:rsidR="002F07EB">
        <w:rPr>
          <w:rFonts w:ascii="Book Antiqua" w:hAnsi="Book Antiqua" w:eastAsia="Book Antiqua" w:cs="Book Antiqua"/>
          <w:szCs w:val="26"/>
        </w:rPr>
        <w:t xml:space="preserve">. </w:t>
      </w:r>
      <w:r w:rsidRPr="00470269" w:rsidR="00644FCD">
        <w:rPr>
          <w:rFonts w:ascii="Book Antiqua" w:hAnsi="Book Antiqua" w:eastAsia="Book Antiqua" w:cs="Book Antiqua"/>
          <w:szCs w:val="26"/>
        </w:rPr>
        <w:t xml:space="preserve"> </w:t>
      </w:r>
      <w:r w:rsidRPr="00470269" w:rsidR="002F07EB">
        <w:rPr>
          <w:rFonts w:ascii="Book Antiqua" w:hAnsi="Book Antiqua" w:eastAsia="Book Antiqua" w:cs="Book Antiqua"/>
          <w:szCs w:val="26"/>
        </w:rPr>
        <w:t>W</w:t>
      </w:r>
      <w:r w:rsidRPr="00470269" w:rsidR="00BC3F3F">
        <w:rPr>
          <w:rFonts w:ascii="Book Antiqua" w:hAnsi="Book Antiqua" w:eastAsia="Book Antiqua" w:cs="Book Antiqua"/>
          <w:szCs w:val="26"/>
        </w:rPr>
        <w:t xml:space="preserve">e </w:t>
      </w:r>
      <w:r w:rsidRPr="00470269" w:rsidR="00DC1B95">
        <w:rPr>
          <w:rFonts w:ascii="Book Antiqua" w:hAnsi="Book Antiqua" w:eastAsia="Book Antiqua" w:cs="Book Antiqua"/>
          <w:szCs w:val="26"/>
        </w:rPr>
        <w:t xml:space="preserve">therefore find </w:t>
      </w:r>
      <w:r w:rsidRPr="00470269" w:rsidR="00BC3F3F">
        <w:rPr>
          <w:rFonts w:ascii="Book Antiqua" w:hAnsi="Book Antiqua" w:eastAsia="Book Antiqua" w:cs="Book Antiqua"/>
          <w:szCs w:val="26"/>
        </w:rPr>
        <w:t>the final purchase price of $34 million represents the fair market value as defined by Pub. Util. Code § 2720 -- a transaction between a “willing seller-willing buyer” consistent with California Code of Civil Procedure Section 1263.320.</w:t>
      </w:r>
      <w:r w:rsidRPr="00470269" w:rsidR="00BC3F3F">
        <w:rPr>
          <w:rFonts w:ascii="Book Antiqua" w:hAnsi="Book Antiqua" w:eastAsia="Book Antiqua" w:cs="Book Antiqua"/>
          <w:szCs w:val="26"/>
          <w:vertAlign w:val="superscript"/>
        </w:rPr>
        <w:footnoteReference w:id="27"/>
      </w:r>
      <w:r w:rsidRPr="00470269" w:rsidR="00BC3F3F">
        <w:rPr>
          <w:rFonts w:ascii="Book Antiqua" w:hAnsi="Book Antiqua" w:eastAsia="Book Antiqua" w:cs="Book Antiqua"/>
          <w:szCs w:val="26"/>
        </w:rPr>
        <w:t xml:space="preserve"> </w:t>
      </w:r>
      <w:r w:rsidRPr="00470269" w:rsidR="00644FCD">
        <w:rPr>
          <w:rFonts w:ascii="Book Antiqua" w:hAnsi="Book Antiqua" w:eastAsia="Book Antiqua" w:cs="Book Antiqua"/>
          <w:szCs w:val="26"/>
        </w:rPr>
        <w:t xml:space="preserve"> </w:t>
      </w:r>
      <w:r w:rsidRPr="00470269" w:rsidR="00BC3F3F">
        <w:rPr>
          <w:rFonts w:ascii="Book Antiqua" w:hAnsi="Book Antiqua" w:eastAsia="Book Antiqua" w:cs="Book Antiqua"/>
          <w:szCs w:val="26"/>
        </w:rPr>
        <w:t>We therefore authorize rate base equal to the total final purchase price</w:t>
      </w:r>
      <w:r w:rsidRPr="00470269" w:rsidR="00BC3F3F">
        <w:rPr>
          <w:rFonts w:ascii="Book Antiqua" w:hAnsi="Book Antiqua"/>
        </w:rPr>
        <w:t xml:space="preserve"> of </w:t>
      </w:r>
      <w:r w:rsidRPr="00470269" w:rsidR="00BC3F3F">
        <w:rPr>
          <w:rFonts w:ascii="Book Antiqua" w:hAnsi="Book Antiqua" w:eastAsia="Book Antiqua" w:cs="Book Antiqua"/>
          <w:szCs w:val="26"/>
        </w:rPr>
        <w:t xml:space="preserve">$34 million as the fair market value of the East Pasadena’s used and useful utility assets. </w:t>
      </w:r>
      <w:r w:rsidRPr="00470269" w:rsidR="00644FCD">
        <w:rPr>
          <w:rFonts w:ascii="Book Antiqua" w:hAnsi="Book Antiqua" w:eastAsia="Book Antiqua" w:cs="Book Antiqua"/>
          <w:szCs w:val="26"/>
        </w:rPr>
        <w:t xml:space="preserve"> </w:t>
      </w:r>
      <w:r w:rsidRPr="00470269" w:rsidR="00BC3F3F">
        <w:rPr>
          <w:rFonts w:ascii="Book Antiqua" w:hAnsi="Book Antiqua" w:eastAsia="Book Antiqua" w:cs="Book Antiqua"/>
          <w:szCs w:val="26"/>
        </w:rPr>
        <w:t>The incentive that results from using the purchase price as the new rate base, was estimated by Cal-Am to result in $1.945 million more in revenue requirement annually.</w:t>
      </w:r>
    </w:p>
    <w:p w:rsidRPr="00054EB4" w:rsidR="0004597B" w:rsidP="00506E52" w:rsidRDefault="003A0228" w14:paraId="6D504F6A" w14:textId="31DE76AB">
      <w:pPr>
        <w:pStyle w:val="Heading2"/>
      </w:pPr>
      <w:bookmarkStart w:name="_Toc72748073" w:id="82"/>
      <w:bookmarkStart w:name="_Toc76995767" w:id="83"/>
      <w:bookmarkEnd w:id="51"/>
      <w:bookmarkEnd w:id="78"/>
      <w:r>
        <w:t xml:space="preserve">Rate Impacts of the </w:t>
      </w:r>
      <w:r w:rsidRPr="00054EB4" w:rsidR="00225583">
        <w:t>Purchase</w:t>
      </w:r>
      <w:r w:rsidRPr="00054EB4" w:rsidR="004671A5">
        <w:t xml:space="preserve"> </w:t>
      </w:r>
      <w:r w:rsidR="00506E52">
        <w:br/>
      </w:r>
      <w:r w:rsidRPr="00054EB4" w:rsidR="004671A5">
        <w:t>Price</w:t>
      </w:r>
      <w:r w:rsidRPr="00054EB4" w:rsidR="0004597B">
        <w:t xml:space="preserve"> </w:t>
      </w:r>
      <w:r w:rsidRPr="00054EB4" w:rsidR="007A2A31">
        <w:t>in Rate Base</w:t>
      </w:r>
      <w:bookmarkEnd w:id="82"/>
      <w:bookmarkEnd w:id="83"/>
    </w:p>
    <w:p w:rsidRPr="00470269" w:rsidR="007A2A31" w:rsidP="007A2A31" w:rsidRDefault="0081486C" w14:paraId="35C97190" w14:textId="07CCF60B">
      <w:pPr>
        <w:pStyle w:val="Standard"/>
        <w:rPr>
          <w:rFonts w:cs="TimesNewRomanPSMT"/>
          <w:szCs w:val="26"/>
        </w:rPr>
      </w:pPr>
      <w:r w:rsidRPr="00470269">
        <w:t xml:space="preserve">As discussed </w:t>
      </w:r>
      <w:bookmarkStart w:name="_Hlk72341937" w:id="84"/>
      <w:r w:rsidR="00054C2E">
        <w:t>throughout this decision</w:t>
      </w:r>
      <w:r w:rsidR="00912724">
        <w:t>, our finding of purchase</w:t>
      </w:r>
      <w:r w:rsidRPr="00470269" w:rsidR="004671A5">
        <w:t xml:space="preserve"> </w:t>
      </w:r>
      <w:r w:rsidRPr="00470269" w:rsidR="007A2A31">
        <w:t>price</w:t>
      </w:r>
      <w:r w:rsidRPr="00470269" w:rsidR="004671A5">
        <w:t xml:space="preserve"> </w:t>
      </w:r>
      <w:r w:rsidR="00912724">
        <w:t xml:space="preserve">as the fair market value </w:t>
      </w:r>
      <w:r w:rsidRPr="00470269" w:rsidR="007A2A31">
        <w:t>for the proposed transaction</w:t>
      </w:r>
      <w:r w:rsidRPr="00470269" w:rsidR="001F0FCE">
        <w:t xml:space="preserve"> </w:t>
      </w:r>
      <w:r w:rsidR="00054C2E">
        <w:t>provides an incentive, termed</w:t>
      </w:r>
      <w:r w:rsidRPr="00470269" w:rsidR="001F0FCE">
        <w:t xml:space="preserve"> </w:t>
      </w:r>
      <w:r w:rsidR="00912724">
        <w:t xml:space="preserve">an </w:t>
      </w:r>
      <w:r w:rsidR="00054C2E">
        <w:t>“</w:t>
      </w:r>
      <w:r w:rsidR="00912724">
        <w:t>acquisition</w:t>
      </w:r>
      <w:r w:rsidRPr="00470269" w:rsidR="001F0FCE">
        <w:t xml:space="preserve"> premium</w:t>
      </w:r>
      <w:r w:rsidR="00476F8D">
        <w:t>,</w:t>
      </w:r>
      <w:r w:rsidR="00054C2E">
        <w:t>”</w:t>
      </w:r>
      <w:r w:rsidR="00912724">
        <w:t xml:space="preserve"> </w:t>
      </w:r>
      <w:r w:rsidR="00054C2E">
        <w:t>to</w:t>
      </w:r>
      <w:r w:rsidR="00912724">
        <w:t xml:space="preserve"> Cal-Am.</w:t>
      </w:r>
      <w:bookmarkEnd w:id="84"/>
      <w:r w:rsidR="00912724">
        <w:t xml:space="preserve"> </w:t>
      </w:r>
      <w:r w:rsidR="00A640EC">
        <w:t xml:space="preserve"> </w:t>
      </w:r>
      <w:r w:rsidRPr="00470269" w:rsidR="00763BD2">
        <w:t xml:space="preserve">The </w:t>
      </w:r>
      <w:r w:rsidR="003818FC">
        <w:t xml:space="preserve">Public </w:t>
      </w:r>
      <w:r w:rsidRPr="00470269" w:rsidR="00763BD2">
        <w:t xml:space="preserve">Water System Investment and </w:t>
      </w:r>
      <w:r w:rsidRPr="00470269" w:rsidR="00763BD2">
        <w:lastRenderedPageBreak/>
        <w:t>Consolidation Act provides that an acquisition premium</w:t>
      </w:r>
      <w:r w:rsidRPr="00470269" w:rsidR="002F07EB">
        <w:t xml:space="preserve"> </w:t>
      </w:r>
      <w:r w:rsidR="00B767BF">
        <w:t>shall</w:t>
      </w:r>
      <w:r w:rsidRPr="00470269" w:rsidR="00763BD2">
        <w:t xml:space="preserve"> be included in the acquiring water company’s rate base. </w:t>
      </w:r>
      <w:r w:rsidRPr="00470269" w:rsidR="00644FCD">
        <w:t xml:space="preserve"> </w:t>
      </w:r>
      <w:r w:rsidRPr="00470269" w:rsidR="00763BD2">
        <w:t xml:space="preserve">This premium refers to the difference between the book value of the assets prior to acquisition, and the </w:t>
      </w:r>
      <w:r w:rsidRPr="00470269" w:rsidR="002F07EB">
        <w:t xml:space="preserve">actual </w:t>
      </w:r>
      <w:r w:rsidRPr="00470269" w:rsidR="00763BD2">
        <w:t xml:space="preserve">price at which the assets are purchased. </w:t>
      </w:r>
      <w:r w:rsidRPr="00470269" w:rsidR="00644FCD">
        <w:t xml:space="preserve"> </w:t>
      </w:r>
      <w:r w:rsidRPr="00470269" w:rsidR="007A2A31">
        <w:rPr>
          <w:rFonts w:cs="TimesNewRomanPSMT"/>
          <w:szCs w:val="26"/>
        </w:rPr>
        <w:t xml:space="preserve">Here, </w:t>
      </w:r>
      <w:r w:rsidR="00537904">
        <w:rPr>
          <w:rFonts w:cs="TimesNewRomanPSMT"/>
          <w:szCs w:val="26"/>
        </w:rPr>
        <w:t xml:space="preserve">Cal-Am will realize </w:t>
      </w:r>
      <w:r w:rsidRPr="00470269" w:rsidR="007A2A31">
        <w:rPr>
          <w:rFonts w:cs="TimesNewRomanPSMT"/>
          <w:szCs w:val="26"/>
        </w:rPr>
        <w:t>an acquisition premium of $30</w:t>
      </w:r>
      <w:r w:rsidRPr="00470269" w:rsidR="001A57A9">
        <w:rPr>
          <w:rFonts w:cs="TimesNewRomanPSMT"/>
          <w:szCs w:val="26"/>
        </w:rPr>
        <w:t> </w:t>
      </w:r>
      <w:r w:rsidRPr="00470269" w:rsidR="007A2A31">
        <w:rPr>
          <w:rFonts w:cs="TimesNewRomanPSMT"/>
          <w:szCs w:val="26"/>
        </w:rPr>
        <w:t xml:space="preserve">million, the difference between the purchase price of $34 million and the current </w:t>
      </w:r>
      <w:r w:rsidR="00537904">
        <w:rPr>
          <w:rFonts w:cs="TimesNewRomanPSMT"/>
          <w:szCs w:val="26"/>
        </w:rPr>
        <w:t xml:space="preserve">East Pasadena </w:t>
      </w:r>
      <w:r w:rsidRPr="00470269" w:rsidR="007A2A31">
        <w:rPr>
          <w:rFonts w:cs="TimesNewRomanPSMT"/>
          <w:szCs w:val="26"/>
        </w:rPr>
        <w:t>assets’ worth $4 million.</w:t>
      </w:r>
      <w:r w:rsidR="00537904">
        <w:rPr>
          <w:rStyle w:val="FootnoteReference"/>
          <w:rFonts w:cs="TimesNewRomanPSMT"/>
          <w:szCs w:val="26"/>
        </w:rPr>
        <w:footnoteReference w:id="28"/>
      </w:r>
      <w:r w:rsidRPr="00470269" w:rsidR="000B18C0">
        <w:rPr>
          <w:rFonts w:cs="TimesNewRomanPSMT"/>
          <w:szCs w:val="26"/>
        </w:rPr>
        <w:t xml:space="preserve"> </w:t>
      </w:r>
      <w:r w:rsidRPr="00470269" w:rsidR="007A2A31">
        <w:rPr>
          <w:rFonts w:cs="TimesNewRomanPSMT"/>
          <w:szCs w:val="26"/>
        </w:rPr>
        <w:t xml:space="preserve"> </w:t>
      </w:r>
      <w:r w:rsidR="00AC2064">
        <w:rPr>
          <w:rFonts w:cs="TimesNewRomanPSMT"/>
          <w:szCs w:val="26"/>
        </w:rPr>
        <w:t>Put another way</w:t>
      </w:r>
      <w:r w:rsidRPr="00470269" w:rsidR="007A2A31">
        <w:rPr>
          <w:rFonts w:cs="TimesNewRomanPSMT"/>
          <w:szCs w:val="26"/>
        </w:rPr>
        <w:t xml:space="preserve">, the post-transaction rate base will be $30 million greater than the current rate base for the stand-alone East Pasadena. </w:t>
      </w:r>
      <w:r w:rsidRPr="00470269" w:rsidR="000B18C0">
        <w:rPr>
          <w:rFonts w:cs="TimesNewRomanPSMT"/>
          <w:szCs w:val="26"/>
        </w:rPr>
        <w:t xml:space="preserve"> </w:t>
      </w:r>
    </w:p>
    <w:p w:rsidR="007A4560" w:rsidP="00D718BE" w:rsidRDefault="007A2A31" w14:paraId="5263B454" w14:textId="1E394B61">
      <w:pPr>
        <w:pStyle w:val="Standard"/>
      </w:pPr>
      <w:r w:rsidRPr="00470269">
        <w:rPr>
          <w:rFonts w:cs="TimesNewRomanPSMT"/>
          <w:szCs w:val="26"/>
        </w:rPr>
        <w:t xml:space="preserve">If the proposed acquisition is approved and immediately implemented for ratemaking purposes, Cal–Am’s forecast of a </w:t>
      </w:r>
      <w:r w:rsidRPr="00470269">
        <w:t>$689.9 million rate base in 2021</w:t>
      </w:r>
      <w:r w:rsidRPr="00470269">
        <w:rPr>
          <w:rStyle w:val="FootnoteReference"/>
        </w:rPr>
        <w:footnoteReference w:id="29"/>
      </w:r>
      <w:r w:rsidRPr="00470269">
        <w:t xml:space="preserve"> would change to approximately $72</w:t>
      </w:r>
      <w:r w:rsidR="003C354C">
        <w:t>4</w:t>
      </w:r>
      <w:r w:rsidRPr="00470269">
        <w:t xml:space="preserve"> million.</w:t>
      </w:r>
      <w:r w:rsidR="00A640EC">
        <w:t xml:space="preserve"> </w:t>
      </w:r>
      <w:r w:rsidRPr="00470269">
        <w:t xml:space="preserve"> Joint Applicants estimate the corresponding revenue requirement increase</w:t>
      </w:r>
      <w:r w:rsidR="00D718BE">
        <w:t xml:space="preserve"> of the $3</w:t>
      </w:r>
      <w:r w:rsidR="003C354C">
        <w:t>4</w:t>
      </w:r>
      <w:r w:rsidR="00D718BE">
        <w:t xml:space="preserve"> million increase in rate base</w:t>
      </w:r>
      <w:r w:rsidRPr="00470269">
        <w:t xml:space="preserve"> would be $1.945 million and claim that this $1.945 million in new revenue requirement would result in a 0.71</w:t>
      </w:r>
      <w:r w:rsidRPr="00470269" w:rsidR="001A57A9">
        <w:t xml:space="preserve"> percent</w:t>
      </w:r>
      <w:r w:rsidRPr="00470269">
        <w:t xml:space="preserve"> increase per bill for each customer of the Los Angeles </w:t>
      </w:r>
      <w:r w:rsidR="000A7CCF">
        <w:t xml:space="preserve">County </w:t>
      </w:r>
      <w:r w:rsidRPr="00470269">
        <w:t xml:space="preserve">District (including </w:t>
      </w:r>
      <w:r w:rsidRPr="00470269" w:rsidR="00FC19B0">
        <w:t xml:space="preserve">both </w:t>
      </w:r>
      <w:r w:rsidRPr="00470269">
        <w:t>existing customers and customers from the newly acquired East Pasadena system).</w:t>
      </w:r>
      <w:r w:rsidRPr="00470269">
        <w:rPr>
          <w:rStyle w:val="FootnoteReference"/>
        </w:rPr>
        <w:footnoteReference w:id="30"/>
      </w:r>
      <w:r w:rsidR="00E25417">
        <w:t xml:space="preserve"> </w:t>
      </w:r>
      <w:r w:rsidR="00D718BE">
        <w:t xml:space="preserve"> </w:t>
      </w:r>
      <w:r w:rsidR="007A4560">
        <w:t xml:space="preserve">The </w:t>
      </w:r>
      <w:r w:rsidR="00D718BE">
        <w:t xml:space="preserve">new revenue requirement of </w:t>
      </w:r>
      <w:r w:rsidR="007A4560">
        <w:t xml:space="preserve">$1.945 million </w:t>
      </w:r>
      <w:r w:rsidR="00D718BE">
        <w:t>is net, after accounting for the revenues that East Pasadena customers will bring, and the cost savings</w:t>
      </w:r>
      <w:r w:rsidR="00054C2E">
        <w:t xml:space="preserve"> and synergies from </w:t>
      </w:r>
      <w:r w:rsidR="00054C2E">
        <w:lastRenderedPageBreak/>
        <w:t>economies of scope and scale.</w:t>
      </w:r>
      <w:r w:rsidRPr="000D1BC4" w:rsidR="000D1BC4">
        <w:rPr>
          <w:rStyle w:val="FootnoteReference"/>
        </w:rPr>
        <w:t xml:space="preserve"> </w:t>
      </w:r>
      <w:r w:rsidR="000D1BC4">
        <w:rPr>
          <w:rStyle w:val="FootnoteReference"/>
        </w:rPr>
        <w:footnoteReference w:id="31"/>
      </w:r>
      <w:r w:rsidR="00054C2E">
        <w:t xml:space="preserve"> </w:t>
      </w:r>
      <w:r w:rsidR="00950FCB">
        <w:t xml:space="preserve"> </w:t>
      </w:r>
      <w:r w:rsidR="000D1BC4">
        <w:t xml:space="preserve">Therefore, of the $34 million, </w:t>
      </w:r>
      <w:r w:rsidR="00D718BE">
        <w:t xml:space="preserve">only </w:t>
      </w:r>
      <w:r w:rsidR="007A4560">
        <w:t xml:space="preserve">$16.39 million </w:t>
      </w:r>
      <w:r w:rsidR="00D718BE">
        <w:t>new rate base</w:t>
      </w:r>
      <w:r w:rsidR="000D1BC4">
        <w:t xml:space="preserve"> is associated with the $1.945 new revenue</w:t>
      </w:r>
      <w:r w:rsidR="007A4560">
        <w:t xml:space="preserve">. </w:t>
      </w:r>
    </w:p>
    <w:p w:rsidRPr="00470269" w:rsidR="007A2A31" w:rsidP="007A2A31" w:rsidRDefault="007A2A31" w14:paraId="5573D95B" w14:textId="41129F49">
      <w:pPr>
        <w:pStyle w:val="Standard"/>
        <w:rPr>
          <w:rFonts w:cs="TimesNewRomanPSMT"/>
          <w:szCs w:val="26"/>
        </w:rPr>
      </w:pPr>
      <w:r w:rsidRPr="00470269">
        <w:t xml:space="preserve">The proposed $34 million addition to Cal-Am’s consolidated rate base would be composed of both assets that are depreciable for ratemaking purposes, and other assets such as land and water rights, which are not depreciable, but retain their full value for as long as they remain in rate base. For those assets that depreciate annually, rate base decreases over time and the utility would recover that depreciation in rates. </w:t>
      </w:r>
      <w:r w:rsidRPr="00470269" w:rsidR="000B18C0">
        <w:t xml:space="preserve"> </w:t>
      </w:r>
      <w:r w:rsidRPr="00470269">
        <w:t>The increase in rate base associated with land and water rights, however, would be a permanent component of rate base. Cal-Am requests the purchase price be attributed to depreciable and non-depreciable assets in the same proportion as valued by the appraisal.</w:t>
      </w:r>
      <w:r w:rsidRPr="00470269">
        <w:rPr>
          <w:rStyle w:val="FootnoteReference"/>
        </w:rPr>
        <w:footnoteReference w:id="32"/>
      </w:r>
      <w:r w:rsidRPr="00470269">
        <w:t xml:space="preserve"> The appraisal values presented by Cal-Am allocates the non-depreciable assets at 62</w:t>
      </w:r>
      <w:r w:rsidRPr="00470269" w:rsidR="001A57A9">
        <w:t xml:space="preserve"> percent</w:t>
      </w:r>
      <w:r w:rsidRPr="00470269">
        <w:t xml:space="preserve"> of the rate base.</w:t>
      </w:r>
      <w:r w:rsidRPr="00470269">
        <w:rPr>
          <w:rStyle w:val="FootnoteReference"/>
        </w:rPr>
        <w:footnoteReference w:id="33"/>
      </w:r>
    </w:p>
    <w:p w:rsidRPr="00470269" w:rsidR="007A2A31" w:rsidP="007A2A31" w:rsidRDefault="007A2A31" w14:paraId="586661EE" w14:textId="0CDB1CC6">
      <w:pPr>
        <w:pStyle w:val="Standard"/>
        <w:rPr>
          <w:rFonts w:cs="TimesNewRomanPSMT"/>
          <w:szCs w:val="26"/>
        </w:rPr>
      </w:pPr>
      <w:r w:rsidRPr="00470269">
        <w:rPr>
          <w:rFonts w:cs="TimesNewRomanPSMT"/>
          <w:szCs w:val="26"/>
        </w:rPr>
        <w:t>The Commission last reviewed East Pasadena’s revenue requirement and associated rates to meet its revenue requirement in a GRC in 2015.</w:t>
      </w:r>
      <w:r w:rsidRPr="00470269">
        <w:rPr>
          <w:rStyle w:val="FootnoteReference"/>
          <w:rFonts w:cs="TimesNewRomanPSMT"/>
          <w:szCs w:val="26"/>
        </w:rPr>
        <w:footnoteReference w:id="34"/>
      </w:r>
      <w:r w:rsidRPr="00470269">
        <w:rPr>
          <w:rFonts w:cs="TimesNewRomanPSMT"/>
          <w:szCs w:val="26"/>
        </w:rPr>
        <w:t xml:space="preserve"> </w:t>
      </w:r>
      <w:r w:rsidRPr="00470269" w:rsidR="00F448F7">
        <w:rPr>
          <w:rFonts w:cs="TimesNewRomanPSMT"/>
          <w:szCs w:val="26"/>
        </w:rPr>
        <w:t xml:space="preserve"> </w:t>
      </w:r>
      <w:r w:rsidRPr="00470269">
        <w:t>This 2015</w:t>
      </w:r>
      <w:r w:rsidRPr="00470269" w:rsidR="00F448F7">
        <w:t> </w:t>
      </w:r>
      <w:r w:rsidRPr="00470269">
        <w:t xml:space="preserve">GRC adopted </w:t>
      </w:r>
      <w:r w:rsidRPr="00470269">
        <w:rPr>
          <w:rFonts w:cs="TimesNewRomanPSMT"/>
          <w:szCs w:val="26"/>
        </w:rPr>
        <w:t xml:space="preserve">$3,959,034 </w:t>
      </w:r>
      <w:r w:rsidRPr="00470269">
        <w:t xml:space="preserve">as </w:t>
      </w:r>
      <w:r w:rsidRPr="00470269">
        <w:rPr>
          <w:rFonts w:cs="TimesNewRomanPSMT"/>
          <w:szCs w:val="26"/>
        </w:rPr>
        <w:t>East Pasadena’s rate base on which investors have the opportunity to earn a 9.74</w:t>
      </w:r>
      <w:r w:rsidRPr="00470269" w:rsidR="001A57A9">
        <w:rPr>
          <w:rFonts w:cs="TimesNewRomanPSMT"/>
          <w:szCs w:val="26"/>
        </w:rPr>
        <w:t xml:space="preserve"> percent</w:t>
      </w:r>
      <w:r w:rsidRPr="00470269">
        <w:rPr>
          <w:rFonts w:cs="TimesNewRomanPSMT"/>
          <w:szCs w:val="26"/>
        </w:rPr>
        <w:t xml:space="preserve"> return, and the adopted overall </w:t>
      </w:r>
      <w:r w:rsidRPr="00470269">
        <w:rPr>
          <w:rFonts w:cs="TimesNewRomanPSMT"/>
          <w:szCs w:val="26"/>
        </w:rPr>
        <w:lastRenderedPageBreak/>
        <w:t>revenue requirement was $3,135,976.</w:t>
      </w:r>
      <w:r w:rsidRPr="00470269">
        <w:rPr>
          <w:rStyle w:val="FootnoteReference"/>
          <w:rFonts w:cs="TimesNewRomanPSMT"/>
          <w:szCs w:val="26"/>
        </w:rPr>
        <w:footnoteReference w:id="35"/>
      </w:r>
      <w:r w:rsidRPr="00470269">
        <w:rPr>
          <w:rFonts w:cs="TimesNewRomanPSMT"/>
          <w:szCs w:val="26"/>
        </w:rPr>
        <w:t xml:space="preserve"> </w:t>
      </w:r>
      <w:r w:rsidRPr="00470269" w:rsidR="00F448F7">
        <w:rPr>
          <w:rFonts w:cs="TimesNewRomanPSMT"/>
          <w:szCs w:val="26"/>
        </w:rPr>
        <w:t xml:space="preserve"> </w:t>
      </w:r>
      <w:r w:rsidRPr="00470269">
        <w:rPr>
          <w:rFonts w:cs="TimesNewRomanPSMT"/>
          <w:szCs w:val="26"/>
        </w:rPr>
        <w:t>East Pasadena residential customers’ average monthly bill in April 2020 was $68, consisting of a fixed meter charge and a quantity rate for each unit of water.</w:t>
      </w:r>
      <w:r w:rsidRPr="00470269">
        <w:rPr>
          <w:rStyle w:val="FootnoteReference"/>
          <w:rFonts w:cs="TimesNewRomanPSMT"/>
          <w:szCs w:val="26"/>
        </w:rPr>
        <w:footnoteReference w:id="36"/>
      </w:r>
      <w:r w:rsidRPr="00470269">
        <w:rPr>
          <w:rFonts w:cs="TimesNewRomanPSMT"/>
          <w:szCs w:val="26"/>
        </w:rPr>
        <w:t xml:space="preserve"> </w:t>
      </w:r>
      <w:r w:rsidRPr="00470269" w:rsidR="00F448F7">
        <w:rPr>
          <w:rFonts w:cs="TimesNewRomanPSMT"/>
          <w:szCs w:val="26"/>
        </w:rPr>
        <w:t xml:space="preserve"> </w:t>
      </w:r>
      <w:r w:rsidRPr="00470269">
        <w:rPr>
          <w:rFonts w:cs="TimesNewRomanPSMT"/>
          <w:szCs w:val="26"/>
        </w:rPr>
        <w:t xml:space="preserve">Residential, commercial, and industrial customers pay the same quantity rate but different fixed charges. </w:t>
      </w:r>
      <w:r w:rsidRPr="00470269" w:rsidR="00F448F7">
        <w:rPr>
          <w:rFonts w:cs="TimesNewRomanPSMT"/>
          <w:szCs w:val="26"/>
        </w:rPr>
        <w:t xml:space="preserve"> </w:t>
      </w:r>
      <w:r w:rsidRPr="00470269">
        <w:rPr>
          <w:rFonts w:cs="TimesNewRomanPSMT"/>
          <w:szCs w:val="26"/>
        </w:rPr>
        <w:t xml:space="preserve">The quantity charge does not vary based on water usage, so that high consuming customers pay the same price per unit of water as low consuming customers. </w:t>
      </w:r>
    </w:p>
    <w:p w:rsidRPr="00470269" w:rsidR="007A2A31" w:rsidP="007A2A31" w:rsidRDefault="007A2A31" w14:paraId="6AC7DA8C" w14:textId="4CEB92F9">
      <w:pPr>
        <w:pStyle w:val="Standard"/>
        <w:rPr>
          <w:rFonts w:cs="TimesNewRomanPSMT"/>
          <w:szCs w:val="26"/>
        </w:rPr>
      </w:pPr>
      <w:r w:rsidRPr="00470269">
        <w:rPr>
          <w:rFonts w:cs="TimesNewRomanPSMT"/>
          <w:szCs w:val="26"/>
        </w:rPr>
        <w:t>The Commission’s Water Division historically reviewed East Pasadena ‘s rates annually following its standard practice applicable to a Class B Water utility.</w:t>
      </w:r>
      <w:r w:rsidRPr="00470269">
        <w:rPr>
          <w:rStyle w:val="FootnoteReference"/>
          <w:rFonts w:cs="TimesNewRomanPSMT"/>
          <w:szCs w:val="26"/>
        </w:rPr>
        <w:footnoteReference w:id="37"/>
      </w:r>
      <w:r w:rsidRPr="00470269">
        <w:rPr>
          <w:rFonts w:cs="TimesNewRomanPSMT"/>
          <w:szCs w:val="26"/>
        </w:rPr>
        <w:t xml:space="preserve"> </w:t>
      </w:r>
      <w:r w:rsidRPr="00470269" w:rsidR="00F448F7">
        <w:rPr>
          <w:rFonts w:cs="TimesNewRomanPSMT"/>
          <w:szCs w:val="26"/>
        </w:rPr>
        <w:t xml:space="preserve"> </w:t>
      </w:r>
      <w:r w:rsidRPr="00470269">
        <w:rPr>
          <w:rFonts w:cs="TimesNewRomanPSMT"/>
          <w:szCs w:val="26"/>
        </w:rPr>
        <w:t>Accordingly, East Pasadena customer rates increased 2.10</w:t>
      </w:r>
      <w:r w:rsidRPr="00470269" w:rsidR="001A57A9">
        <w:rPr>
          <w:rFonts w:cs="TimesNewRomanPSMT"/>
          <w:szCs w:val="26"/>
        </w:rPr>
        <w:t xml:space="preserve"> percent</w:t>
      </w:r>
      <w:r w:rsidRPr="00470269">
        <w:rPr>
          <w:rFonts w:cs="TimesNewRomanPSMT"/>
          <w:szCs w:val="26"/>
        </w:rPr>
        <w:t xml:space="preserve"> in 2016,</w:t>
      </w:r>
      <w:r w:rsidRPr="00470269">
        <w:rPr>
          <w:rStyle w:val="FootnoteReference"/>
          <w:rFonts w:cs="TimesNewRomanPSMT"/>
          <w:szCs w:val="26"/>
        </w:rPr>
        <w:footnoteReference w:id="38"/>
      </w:r>
      <w:r w:rsidRPr="00470269">
        <w:rPr>
          <w:rFonts w:cs="TimesNewRomanPSMT"/>
          <w:szCs w:val="26"/>
        </w:rPr>
        <w:t xml:space="preserve"> 2.10</w:t>
      </w:r>
      <w:r w:rsidRPr="00470269" w:rsidR="001A57A9">
        <w:rPr>
          <w:rFonts w:cs="TimesNewRomanPSMT"/>
          <w:szCs w:val="26"/>
        </w:rPr>
        <w:t xml:space="preserve"> percent</w:t>
      </w:r>
      <w:r w:rsidRPr="00470269">
        <w:rPr>
          <w:rFonts w:cs="TimesNewRomanPSMT"/>
          <w:szCs w:val="26"/>
        </w:rPr>
        <w:t xml:space="preserve"> again in 2017,</w:t>
      </w:r>
      <w:r w:rsidRPr="00470269">
        <w:rPr>
          <w:rStyle w:val="FootnoteReference"/>
          <w:rFonts w:cs="TimesNewRomanPSMT"/>
          <w:szCs w:val="26"/>
        </w:rPr>
        <w:footnoteReference w:id="39"/>
      </w:r>
      <w:r w:rsidRPr="00470269">
        <w:rPr>
          <w:rFonts w:cs="TimesNewRomanPSMT"/>
          <w:szCs w:val="26"/>
        </w:rPr>
        <w:t xml:space="preserve"> and 1.90</w:t>
      </w:r>
      <w:r w:rsidRPr="00470269" w:rsidR="001A57A9">
        <w:rPr>
          <w:rFonts w:cs="TimesNewRomanPSMT"/>
          <w:szCs w:val="26"/>
        </w:rPr>
        <w:t xml:space="preserve"> percent</w:t>
      </w:r>
      <w:r w:rsidRPr="00470269">
        <w:rPr>
          <w:rFonts w:cs="TimesNewRomanPSMT"/>
          <w:szCs w:val="26"/>
        </w:rPr>
        <w:t xml:space="preserve"> in 2018,</w:t>
      </w:r>
      <w:r w:rsidRPr="00470269">
        <w:rPr>
          <w:rStyle w:val="FootnoteReference"/>
          <w:rFonts w:cs="TimesNewRomanPSMT"/>
          <w:szCs w:val="26"/>
        </w:rPr>
        <w:footnoteReference w:id="40"/>
      </w:r>
      <w:r w:rsidRPr="00470269">
        <w:rPr>
          <w:rFonts w:cs="TimesNewRomanPSMT"/>
          <w:szCs w:val="26"/>
        </w:rPr>
        <w:t xml:space="preserve"> with a 6.75</w:t>
      </w:r>
      <w:r w:rsidRPr="00470269" w:rsidR="001A57A9">
        <w:rPr>
          <w:rFonts w:cs="TimesNewRomanPSMT"/>
          <w:szCs w:val="26"/>
        </w:rPr>
        <w:t xml:space="preserve"> percent</w:t>
      </w:r>
      <w:r w:rsidRPr="00470269">
        <w:rPr>
          <w:rFonts w:cs="TimesNewRomanPSMT"/>
          <w:szCs w:val="26"/>
        </w:rPr>
        <w:t xml:space="preserve"> expense offset as well.</w:t>
      </w:r>
      <w:r w:rsidRPr="00470269">
        <w:rPr>
          <w:rStyle w:val="FootnoteReference"/>
          <w:rFonts w:cs="TimesNewRomanPSMT"/>
          <w:szCs w:val="26"/>
        </w:rPr>
        <w:footnoteReference w:id="41"/>
      </w:r>
    </w:p>
    <w:p w:rsidRPr="00470269" w:rsidR="007A2A31" w:rsidP="007A2A31" w:rsidRDefault="007A2A31" w14:paraId="10182D11" w14:textId="170D8A8D">
      <w:pPr>
        <w:pStyle w:val="Standard"/>
        <w:rPr>
          <w:szCs w:val="26"/>
        </w:rPr>
      </w:pPr>
      <w:r w:rsidRPr="00470269">
        <w:rPr>
          <w:szCs w:val="26"/>
        </w:rPr>
        <w:t xml:space="preserve">If the Joint Applicants’ proposal is approved and adopted, East Pasadena would be consolidated within the newly formed Cal-Am Southern </w:t>
      </w:r>
      <w:r w:rsidR="00224D8E">
        <w:rPr>
          <w:szCs w:val="26"/>
        </w:rPr>
        <w:t>D</w:t>
      </w:r>
      <w:r w:rsidRPr="00470269">
        <w:rPr>
          <w:szCs w:val="26"/>
        </w:rPr>
        <w:t>istrict</w:t>
      </w:r>
      <w:r w:rsidRPr="00470269">
        <w:rPr>
          <w:rStyle w:val="FootnoteReference"/>
          <w:szCs w:val="26"/>
        </w:rPr>
        <w:footnoteReference w:id="42"/>
      </w:r>
      <w:r w:rsidRPr="00470269">
        <w:rPr>
          <w:szCs w:val="26"/>
        </w:rPr>
        <w:t xml:space="preserve"> immediately for operational purposes, and in 2024</w:t>
      </w:r>
      <w:r w:rsidRPr="00470269">
        <w:rPr>
          <w:rStyle w:val="FootnoteReference"/>
          <w:szCs w:val="26"/>
        </w:rPr>
        <w:footnoteReference w:id="43"/>
      </w:r>
      <w:r w:rsidRPr="00470269">
        <w:rPr>
          <w:szCs w:val="26"/>
        </w:rPr>
        <w:t xml:space="preserve"> for ratemaking purposes.</w:t>
      </w:r>
      <w:r w:rsidRPr="00470269">
        <w:t xml:space="preserve"> For 2021, Cal-Am forecasts a revenue requirement of $272,624,200</w:t>
      </w:r>
      <w:r w:rsidRPr="00470269">
        <w:rPr>
          <w:rFonts w:cs="TimesNewRomanPSMT"/>
          <w:szCs w:val="26"/>
        </w:rPr>
        <w:t xml:space="preserve"> and a </w:t>
      </w:r>
      <w:r w:rsidRPr="00470269">
        <w:t xml:space="preserve">rate base of $689.9 million </w:t>
      </w:r>
      <w:r w:rsidRPr="00470269">
        <w:rPr>
          <w:rFonts w:cs="TimesNewRomanPSMT"/>
          <w:szCs w:val="26"/>
        </w:rPr>
        <w:t>on which investors will have the opportunity to earn a 7.61</w:t>
      </w:r>
      <w:r w:rsidRPr="00470269" w:rsidR="001A57A9">
        <w:rPr>
          <w:rFonts w:cs="TimesNewRomanPSMT"/>
          <w:szCs w:val="26"/>
        </w:rPr>
        <w:t> percent</w:t>
      </w:r>
      <w:r w:rsidRPr="00470269">
        <w:rPr>
          <w:rFonts w:cs="TimesNewRomanPSMT"/>
          <w:szCs w:val="26"/>
        </w:rPr>
        <w:t xml:space="preserve"> return</w:t>
      </w:r>
      <w:r w:rsidRPr="00470269">
        <w:t xml:space="preserve">. </w:t>
      </w:r>
      <w:r w:rsidRPr="00470269" w:rsidR="00F448F7">
        <w:t xml:space="preserve"> </w:t>
      </w:r>
      <w:r w:rsidRPr="00470269">
        <w:t xml:space="preserve">The average bill of Cal-Am’s customers in the Los Angeles </w:t>
      </w:r>
      <w:r w:rsidR="005C30D7">
        <w:lastRenderedPageBreak/>
        <w:t xml:space="preserve">County </w:t>
      </w:r>
      <w:r w:rsidRPr="00470269">
        <w:t>District ranged from $83</w:t>
      </w:r>
      <w:r w:rsidR="00154A38">
        <w:t xml:space="preserve"> </w:t>
      </w:r>
      <w:r w:rsidRPr="00470269">
        <w:t>-</w:t>
      </w:r>
      <w:r w:rsidR="00154A38">
        <w:t xml:space="preserve"> </w:t>
      </w:r>
      <w:r w:rsidRPr="00470269">
        <w:t>$90 in April 2020, for an amount of water approximately at or above East Pasadena’s average amount of water.</w:t>
      </w:r>
      <w:r w:rsidRPr="00470269">
        <w:rPr>
          <w:rStyle w:val="FootnoteReference"/>
        </w:rPr>
        <w:footnoteReference w:id="44"/>
      </w:r>
      <w:r w:rsidRPr="00470269">
        <w:t xml:space="preserve"> </w:t>
      </w:r>
      <w:r w:rsidRPr="00470269" w:rsidR="00F448F7">
        <w:t xml:space="preserve"> </w:t>
      </w:r>
      <w:r w:rsidRPr="00470269">
        <w:rPr>
          <w:szCs w:val="26"/>
        </w:rPr>
        <w:t xml:space="preserve">Cal-Am’s residential tariffs show an inverted conservation rate structure, which means </w:t>
      </w:r>
      <w:r w:rsidRPr="00470269">
        <w:rPr>
          <w:rFonts w:cs="TimesNewRomanPSMT"/>
          <w:szCs w:val="26"/>
        </w:rPr>
        <w:t>the price per unit of water varies based on consumption, so that high consumers pay a higher per unit of water than low consumers.</w:t>
      </w:r>
      <w:r w:rsidRPr="00470269">
        <w:rPr>
          <w:rStyle w:val="FootnoteReference"/>
          <w:rFonts w:cs="TimesNewRomanPSMT"/>
          <w:szCs w:val="26"/>
        </w:rPr>
        <w:footnoteReference w:id="45"/>
      </w:r>
    </w:p>
    <w:p w:rsidRPr="00470269" w:rsidR="00416BEB" w:rsidP="00DC1B95" w:rsidRDefault="00416BEB" w14:paraId="35D2CB57" w14:textId="015E2AC3">
      <w:pPr>
        <w:pStyle w:val="standard0"/>
        <w:rPr>
          <w:rFonts w:ascii="Book Antiqua" w:hAnsi="Book Antiqua"/>
        </w:rPr>
      </w:pPr>
      <w:r w:rsidRPr="00470269">
        <w:rPr>
          <w:rFonts w:ascii="Book Antiqua" w:hAnsi="Book Antiqua" w:eastAsia="Book Antiqua"/>
          <w:szCs w:val="26"/>
        </w:rPr>
        <w:t>The Public Advocates Office argued that the rate increase associated with the acquisition would constitute a harm to ratepayers</w:t>
      </w:r>
      <w:r w:rsidRPr="00470269" w:rsidR="00763BD2">
        <w:rPr>
          <w:rFonts w:ascii="Book Antiqua" w:hAnsi="Book Antiqua"/>
        </w:rPr>
        <w:t xml:space="preserve"> and claimed that the </w:t>
      </w:r>
      <w:r w:rsidRPr="00470269">
        <w:rPr>
          <w:rFonts w:ascii="Book Antiqua" w:hAnsi="Book Antiqua" w:eastAsia="Book Antiqua"/>
          <w:szCs w:val="26"/>
        </w:rPr>
        <w:t xml:space="preserve">proposed acquisition </w:t>
      </w:r>
      <w:r w:rsidRPr="00470269" w:rsidR="00763BD2">
        <w:rPr>
          <w:rFonts w:ascii="Book Antiqua" w:hAnsi="Book Antiqua" w:eastAsia="Book Antiqua"/>
          <w:szCs w:val="26"/>
        </w:rPr>
        <w:t xml:space="preserve">put </w:t>
      </w:r>
      <w:r w:rsidRPr="00470269">
        <w:rPr>
          <w:rFonts w:ascii="Book Antiqua" w:hAnsi="Book Antiqua" w:eastAsia="Book Antiqua"/>
          <w:szCs w:val="26"/>
        </w:rPr>
        <w:t xml:space="preserve">“burdens on [existing] Cal Am ratepayers statewide as well as former [East Pasadena] customers and Cal Am ratepayers in [its current] Los Angeles service area” and would be unfair and unnecessary.  </w:t>
      </w:r>
    </w:p>
    <w:p w:rsidRPr="00470269" w:rsidR="00242F8B" w:rsidP="00DC1B95" w:rsidRDefault="00416BEB" w14:paraId="4504259E" w14:textId="7004CC6D">
      <w:pPr>
        <w:pStyle w:val="standard0"/>
        <w:rPr>
          <w:rFonts w:ascii="Book Antiqua" w:hAnsi="Book Antiqua"/>
        </w:rPr>
      </w:pPr>
      <w:r w:rsidRPr="00470269">
        <w:rPr>
          <w:rFonts w:ascii="Book Antiqua" w:hAnsi="Book Antiqua" w:eastAsia="Book Antiqua"/>
          <w:szCs w:val="26"/>
        </w:rPr>
        <w:t xml:space="preserve">We find that the Public Advocates Office </w:t>
      </w:r>
      <w:r w:rsidR="00AC5813">
        <w:rPr>
          <w:rFonts w:ascii="Book Antiqua" w:hAnsi="Book Antiqua" w:eastAsia="Book Antiqua"/>
          <w:szCs w:val="26"/>
        </w:rPr>
        <w:t xml:space="preserve">failed to incorporate the benefits to the transaction </w:t>
      </w:r>
      <w:r w:rsidRPr="00470269">
        <w:rPr>
          <w:rFonts w:ascii="Book Antiqua" w:hAnsi="Book Antiqua" w:eastAsia="Book Antiqua"/>
          <w:szCs w:val="26"/>
        </w:rPr>
        <w:t>and therefore argued without merit that ratepayers would be treated unfairly.</w:t>
      </w:r>
    </w:p>
    <w:p w:rsidRPr="00470269" w:rsidR="00BD45B7" w:rsidRDefault="003726B1" w14:paraId="7944DDD4" w14:textId="6AF2A665">
      <w:pPr>
        <w:pStyle w:val="Standard"/>
      </w:pPr>
      <w:r w:rsidRPr="00470269">
        <w:t xml:space="preserve">On balance, </w:t>
      </w:r>
      <w:r w:rsidRPr="00470269" w:rsidR="00997451">
        <w:t xml:space="preserve">we find </w:t>
      </w:r>
      <w:r w:rsidRPr="00470269" w:rsidR="0004597B">
        <w:t xml:space="preserve">that there </w:t>
      </w:r>
      <w:r w:rsidRPr="00470269" w:rsidR="00AF7991">
        <w:t>are sufficient</w:t>
      </w:r>
      <w:r w:rsidRPr="00470269" w:rsidR="0004597B">
        <w:t xml:space="preserve"> benefits in the transaction to offset </w:t>
      </w:r>
      <w:r w:rsidRPr="00470269" w:rsidR="007A4995">
        <w:t xml:space="preserve">any </w:t>
      </w:r>
      <w:r w:rsidRPr="00470269" w:rsidR="00354181">
        <w:t xml:space="preserve">resultant </w:t>
      </w:r>
      <w:r w:rsidRPr="00470269" w:rsidR="0004597B">
        <w:t>rate increase</w:t>
      </w:r>
      <w:r w:rsidRPr="00470269" w:rsidR="006C1229">
        <w:t>.</w:t>
      </w:r>
      <w:r w:rsidRPr="00470269">
        <w:t xml:space="preserve"> </w:t>
      </w:r>
      <w:r w:rsidRPr="00470269" w:rsidR="00F448F7">
        <w:t xml:space="preserve"> </w:t>
      </w:r>
      <w:r w:rsidRPr="00470269">
        <w:t xml:space="preserve">In fact, </w:t>
      </w:r>
      <w:r w:rsidRPr="00470269" w:rsidR="00D804D5">
        <w:t xml:space="preserve">East Pasadena customers can expect </w:t>
      </w:r>
      <w:r w:rsidR="00154A38">
        <w:t xml:space="preserve">a </w:t>
      </w:r>
      <w:r w:rsidRPr="00470269" w:rsidR="00D804D5">
        <w:t xml:space="preserve">lower cost of service for the same or better water quality and reliability. </w:t>
      </w:r>
      <w:r w:rsidRPr="00470269" w:rsidR="00F448F7">
        <w:t xml:space="preserve"> </w:t>
      </w:r>
      <w:r w:rsidRPr="00470269" w:rsidR="008D304C">
        <w:t>Cal-Am</w:t>
      </w:r>
      <w:r w:rsidRPr="00470269" w:rsidR="00D804D5">
        <w:t xml:space="preserve"> quantified some of these savings</w:t>
      </w:r>
      <w:r w:rsidRPr="00470269" w:rsidR="00CD7D29">
        <w:t xml:space="preserve"> from economies of scale expected in one year</w:t>
      </w:r>
      <w:r w:rsidRPr="00470269" w:rsidR="00D804D5">
        <w:t xml:space="preserve"> in its projections for 2021.</w:t>
      </w:r>
      <w:r w:rsidRPr="00470269" w:rsidR="00D804D5">
        <w:rPr>
          <w:rStyle w:val="FootnoteReference"/>
        </w:rPr>
        <w:footnoteReference w:id="46"/>
      </w:r>
      <w:r w:rsidRPr="00470269" w:rsidR="00D804D5">
        <w:t xml:space="preserve"> </w:t>
      </w:r>
      <w:r w:rsidRPr="00470269" w:rsidR="00CD7D29">
        <w:t>The Joint Applicants assert</w:t>
      </w:r>
      <w:r w:rsidRPr="00470269" w:rsidR="006E1CB6">
        <w:t>ed</w:t>
      </w:r>
      <w:r w:rsidRPr="00470269" w:rsidR="00CD7D29">
        <w:t xml:space="preserve">, and we </w:t>
      </w:r>
      <w:r w:rsidRPr="00470269" w:rsidR="00461FD0">
        <w:t>agree</w:t>
      </w:r>
      <w:r w:rsidRPr="00470269" w:rsidR="00CD7D29">
        <w:t xml:space="preserve">, such economies of scale for East Pasadena customers </w:t>
      </w:r>
      <w:r w:rsidRPr="00470269" w:rsidR="00461FD0">
        <w:t>will</w:t>
      </w:r>
      <w:r w:rsidRPr="00470269" w:rsidR="00CD7D29">
        <w:t xml:space="preserve"> grow over time. </w:t>
      </w:r>
      <w:r w:rsidRPr="00470269" w:rsidR="00F448F7">
        <w:t xml:space="preserve"> </w:t>
      </w:r>
      <w:r w:rsidRPr="00470269" w:rsidR="00CD7D29">
        <w:t>Additionally, i</w:t>
      </w:r>
      <w:r w:rsidRPr="00470269" w:rsidR="00BD45B7">
        <w:t>n the short-term, East</w:t>
      </w:r>
      <w:r w:rsidRPr="00470269" w:rsidR="00F448F7">
        <w:t> </w:t>
      </w:r>
      <w:r w:rsidRPr="00470269" w:rsidR="00BD45B7">
        <w:t xml:space="preserve">Pasadena customers will gain access to </w:t>
      </w:r>
      <w:proofErr w:type="gramStart"/>
      <w:r w:rsidRPr="00470269" w:rsidR="00BD45B7">
        <w:t xml:space="preserve">a </w:t>
      </w:r>
      <w:r w:rsidRPr="00470269" w:rsidR="00BD45B7">
        <w:lastRenderedPageBreak/>
        <w:t>number of</w:t>
      </w:r>
      <w:proofErr w:type="gramEnd"/>
      <w:r w:rsidRPr="00470269" w:rsidR="00BD45B7">
        <w:t xml:space="preserve"> </w:t>
      </w:r>
      <w:r w:rsidRPr="00470269" w:rsidR="008D304C">
        <w:t>Cal-Am</w:t>
      </w:r>
      <w:r w:rsidRPr="00470269" w:rsidR="006D0A94">
        <w:t xml:space="preserve"> </w:t>
      </w:r>
      <w:r w:rsidRPr="00470269" w:rsidR="00BD45B7">
        <w:t>programs and services not offered by East Pasadena, including:</w:t>
      </w:r>
    </w:p>
    <w:p w:rsidRPr="00470269" w:rsidR="00BD45B7" w:rsidP="00DC1B95" w:rsidRDefault="00BD45B7" w14:paraId="61FF0141" w14:textId="6A9276C2">
      <w:pPr>
        <w:pStyle w:val="ListBullet"/>
        <w:ind w:right="1440"/>
      </w:pPr>
      <w:r w:rsidRPr="00470269">
        <w:t>Nearby locations for expanded customer service and more effective assistance in emergency situations</w:t>
      </w:r>
      <w:r w:rsidRPr="00470269" w:rsidR="0043765F">
        <w:t>;</w:t>
      </w:r>
      <w:r w:rsidRPr="00470269">
        <w:rPr>
          <w:rStyle w:val="FootnoteReference"/>
        </w:rPr>
        <w:footnoteReference w:id="47"/>
      </w:r>
    </w:p>
    <w:p w:rsidRPr="00470269" w:rsidR="00BD45B7" w:rsidP="00DC1B95" w:rsidRDefault="00BD45B7" w14:paraId="0EE0028B" w14:textId="0FE2EE49">
      <w:pPr>
        <w:pStyle w:val="ListBullet"/>
        <w:ind w:right="1440"/>
      </w:pPr>
      <w:r w:rsidRPr="00470269">
        <w:t>Self-service options over the internet, paperless billing, translation in several languages</w:t>
      </w:r>
      <w:r w:rsidRPr="00470269" w:rsidR="0043765F">
        <w:t>;</w:t>
      </w:r>
      <w:r w:rsidRPr="00470269">
        <w:rPr>
          <w:rStyle w:val="FootnoteReference"/>
        </w:rPr>
        <w:footnoteReference w:id="48"/>
      </w:r>
    </w:p>
    <w:p w:rsidRPr="00470269" w:rsidR="00BD45B7" w:rsidP="00DC1B95" w:rsidRDefault="00BD45B7" w14:paraId="42CE3F80" w14:textId="1BD00741">
      <w:pPr>
        <w:pStyle w:val="ListBullet"/>
        <w:ind w:right="1440"/>
      </w:pPr>
      <w:r w:rsidRPr="00470269">
        <w:t>Low-income assistance for qualifying customers</w:t>
      </w:r>
      <w:r w:rsidRPr="00470269" w:rsidR="0043765F">
        <w:t>;</w:t>
      </w:r>
      <w:r w:rsidRPr="00470269">
        <w:rPr>
          <w:rStyle w:val="FootnoteReference"/>
        </w:rPr>
        <w:footnoteReference w:id="49"/>
      </w:r>
      <w:r w:rsidRPr="00470269" w:rsidR="00890531">
        <w:t xml:space="preserve"> and</w:t>
      </w:r>
    </w:p>
    <w:p w:rsidRPr="00470269" w:rsidR="00BD45B7" w:rsidP="00DC1B95" w:rsidRDefault="00BD45B7" w14:paraId="7D66E365" w14:textId="09B8BEFE">
      <w:pPr>
        <w:pStyle w:val="ListBullet"/>
        <w:ind w:right="1440"/>
      </w:pPr>
      <w:r w:rsidRPr="00470269">
        <w:t>More robust conservation programs</w:t>
      </w:r>
      <w:r w:rsidRPr="00470269" w:rsidR="0043765F">
        <w:t>.</w:t>
      </w:r>
      <w:r w:rsidRPr="00470269">
        <w:rPr>
          <w:rStyle w:val="FootnoteReference"/>
        </w:rPr>
        <w:footnoteReference w:id="50"/>
      </w:r>
    </w:p>
    <w:p w:rsidRPr="00470269" w:rsidR="000E77A2" w:rsidP="00EC5DB7" w:rsidRDefault="00795DEA" w14:paraId="40B36AC9" w14:textId="3932FA40">
      <w:pPr>
        <w:pStyle w:val="Standard"/>
      </w:pPr>
      <w:r w:rsidRPr="00470269">
        <w:t>Cal-Am</w:t>
      </w:r>
      <w:r w:rsidRPr="00470269" w:rsidR="00F6094A">
        <w:t xml:space="preserve"> </w:t>
      </w:r>
      <w:r w:rsidRPr="00470269" w:rsidR="0031111A">
        <w:t xml:space="preserve">expects the long-term synergies from the acquisition to offset any rate increases to </w:t>
      </w:r>
      <w:r w:rsidRPr="00470269" w:rsidR="00F6094A">
        <w:t>customers of the former East Pasadena, stating</w:t>
      </w:r>
      <w:r w:rsidRPr="00470269" w:rsidR="00AF7991">
        <w:t>:</w:t>
      </w:r>
    </w:p>
    <w:p w:rsidRPr="00470269" w:rsidR="000E77A2" w:rsidP="00DC1B95" w:rsidRDefault="00F6094A" w14:paraId="006F2947" w14:textId="4E319C8C">
      <w:pPr>
        <w:pStyle w:val="BlockQuote"/>
        <w:ind w:right="1440"/>
      </w:pPr>
      <w:r w:rsidRPr="00470269">
        <w:t>While initial increases to the revenue requirement under California American Water appear to be slightly higher than they would if East Pasadena continued to operate the system, East Pasadena customers should experience the benefits of lower overall costs going forward.</w:t>
      </w:r>
      <w:r w:rsidRPr="00470269">
        <w:rPr>
          <w:rStyle w:val="FootnoteReference"/>
        </w:rPr>
        <w:footnoteReference w:id="51"/>
      </w:r>
      <w:r w:rsidRPr="00470269" w:rsidR="00EC5DB7">
        <w:t xml:space="preserve"> </w:t>
      </w:r>
    </w:p>
    <w:p w:rsidRPr="00470269" w:rsidR="00997451" w:rsidP="00997451" w:rsidRDefault="00997451" w14:paraId="524B6454" w14:textId="53ACDC45">
      <w:pPr>
        <w:pStyle w:val="Standard"/>
        <w:rPr>
          <w:rFonts w:eastAsia="Book Antiqua" w:cs="Book Antiqua"/>
          <w:szCs w:val="26"/>
        </w:rPr>
      </w:pPr>
      <w:bookmarkStart w:name="_Hlk71212707" w:id="85"/>
      <w:r w:rsidRPr="00470269">
        <w:rPr>
          <w:rFonts w:eastAsia="Book Antiqua" w:cs="Book Antiqua"/>
          <w:szCs w:val="26"/>
        </w:rPr>
        <w:lastRenderedPageBreak/>
        <w:t>Cal-Am also described the benefit of this transaction for all its customers statewide as the spreading of the fixed costs of the system across the additional 3,000 customers of East Pasadena</w:t>
      </w:r>
      <w:bookmarkEnd w:id="85"/>
      <w:r w:rsidRPr="00470269">
        <w:rPr>
          <w:rFonts w:eastAsia="Book Antiqua" w:cs="Book Antiqua"/>
          <w:szCs w:val="26"/>
        </w:rPr>
        <w:t>.</w:t>
      </w:r>
      <w:r w:rsidRPr="00470269">
        <w:rPr>
          <w:rStyle w:val="FootnoteReference"/>
          <w:rFonts w:eastAsia="Book Antiqua" w:cs="Book Antiqua"/>
          <w:szCs w:val="26"/>
        </w:rPr>
        <w:footnoteReference w:id="52"/>
      </w:r>
      <w:r w:rsidRPr="00470269">
        <w:rPr>
          <w:rFonts w:eastAsia="Book Antiqua" w:cs="Book Antiqua"/>
          <w:szCs w:val="26"/>
        </w:rPr>
        <w:t xml:space="preserve"> </w:t>
      </w:r>
    </w:p>
    <w:p w:rsidRPr="00470269" w:rsidR="000E77A2" w:rsidP="001A57A9" w:rsidRDefault="00A54BE5" w14:paraId="6362E3A8" w14:textId="79E66307">
      <w:pPr>
        <w:pStyle w:val="Standard"/>
      </w:pPr>
      <w:r w:rsidRPr="00470269">
        <w:t>T</w:t>
      </w:r>
      <w:r w:rsidRPr="00470269" w:rsidR="00BD45B7">
        <w:t xml:space="preserve">he Public Advocates Office </w:t>
      </w:r>
      <w:r w:rsidRPr="00470269">
        <w:t xml:space="preserve">objected </w:t>
      </w:r>
      <w:r w:rsidRPr="00470269" w:rsidR="006C1229">
        <w:t xml:space="preserve">and </w:t>
      </w:r>
      <w:r w:rsidRPr="00470269">
        <w:t>argu</w:t>
      </w:r>
      <w:r w:rsidRPr="00470269" w:rsidR="006C1229">
        <w:t>ed</w:t>
      </w:r>
      <w:r w:rsidRPr="00470269" w:rsidR="00BD45B7">
        <w:t xml:space="preserve"> that benefits will </w:t>
      </w:r>
      <w:r w:rsidRPr="00470269">
        <w:t xml:space="preserve">only </w:t>
      </w:r>
      <w:r w:rsidRPr="00470269" w:rsidR="00BD45B7">
        <w:t>accrue to existing East Pasadena customers.</w:t>
      </w:r>
      <w:r w:rsidRPr="00470269" w:rsidR="00BD45B7">
        <w:rPr>
          <w:rStyle w:val="FootnoteReference"/>
        </w:rPr>
        <w:footnoteReference w:id="53"/>
      </w:r>
      <w:r w:rsidRPr="00470269" w:rsidR="00BD45B7">
        <w:t xml:space="preserve"> </w:t>
      </w:r>
      <w:r w:rsidRPr="00470269" w:rsidR="00F448F7">
        <w:t xml:space="preserve"> </w:t>
      </w:r>
      <w:r w:rsidRPr="00470269" w:rsidR="00BD45B7">
        <w:t>A</w:t>
      </w:r>
      <w:r w:rsidRPr="00470269">
        <w:t>nd</w:t>
      </w:r>
      <w:r w:rsidRPr="00470269" w:rsidR="00BD45B7">
        <w:t xml:space="preserve">, as proposed, the transaction is not in the public interest, despite any benefits it may provide to </w:t>
      </w:r>
      <w:r w:rsidRPr="00470269" w:rsidR="0063771A">
        <w:t>East Pasadena</w:t>
      </w:r>
      <w:r w:rsidRPr="00470269" w:rsidR="00BD45B7">
        <w:t xml:space="preserve"> customers.</w:t>
      </w:r>
      <w:r w:rsidRPr="00470269" w:rsidR="00BD45B7">
        <w:rPr>
          <w:rStyle w:val="FootnoteReference"/>
        </w:rPr>
        <w:footnoteReference w:id="54"/>
      </w:r>
      <w:r w:rsidRPr="00470269" w:rsidR="00BD45B7">
        <w:t xml:space="preserve"> </w:t>
      </w:r>
      <w:r w:rsidRPr="00470269" w:rsidR="00F448F7">
        <w:t xml:space="preserve"> </w:t>
      </w:r>
      <w:r w:rsidRPr="00470269" w:rsidR="00DC66C2">
        <w:t>The Public Advocates Office a</w:t>
      </w:r>
      <w:r w:rsidRPr="00470269" w:rsidR="00781FD1">
        <w:t xml:space="preserve">rgued </w:t>
      </w:r>
      <w:r w:rsidRPr="00470269" w:rsidR="00646F21">
        <w:t xml:space="preserve">there would be an </w:t>
      </w:r>
      <w:r w:rsidRPr="00470269" w:rsidR="00DC66C2">
        <w:t xml:space="preserve">unreasonable </w:t>
      </w:r>
      <w:r w:rsidRPr="00470269" w:rsidR="00646F21">
        <w:t>impa</w:t>
      </w:r>
      <w:r w:rsidRPr="00470269" w:rsidR="00C178CF">
        <w:t>ct on</w:t>
      </w:r>
      <w:r w:rsidRPr="00470269" w:rsidR="00DC66C2">
        <w:t xml:space="preserve"> </w:t>
      </w:r>
      <w:r w:rsidRPr="00470269" w:rsidR="008D304C">
        <w:t>Cal-Am</w:t>
      </w:r>
      <w:r w:rsidRPr="00470269" w:rsidR="006D0A94">
        <w:t xml:space="preserve"> </w:t>
      </w:r>
      <w:r w:rsidRPr="00470269" w:rsidR="00DC66C2">
        <w:t xml:space="preserve">customers in other parts of the state outside of the </w:t>
      </w:r>
      <w:r w:rsidRPr="00470269" w:rsidR="00391899">
        <w:t xml:space="preserve">proposed </w:t>
      </w:r>
      <w:r w:rsidRPr="00470269" w:rsidR="00DC66C2">
        <w:t xml:space="preserve">Los Angeles </w:t>
      </w:r>
      <w:r w:rsidR="00046162">
        <w:t>D</w:t>
      </w:r>
      <w:r w:rsidRPr="00470269" w:rsidR="00DC66C2">
        <w:t>istrict (including East Pasadena)</w:t>
      </w:r>
      <w:r w:rsidRPr="00470269" w:rsidR="00C178CF">
        <w:t xml:space="preserve"> </w:t>
      </w:r>
      <w:r w:rsidRPr="00470269" w:rsidR="00926A37">
        <w:t xml:space="preserve">currently under review in </w:t>
      </w:r>
      <w:r w:rsidRPr="00470269" w:rsidR="00E469D5">
        <w:t>Cal-Am’s</w:t>
      </w:r>
      <w:r w:rsidRPr="00470269" w:rsidR="00926A37">
        <w:t xml:space="preserve"> pending GRC</w:t>
      </w:r>
      <w:r w:rsidRPr="00470269" w:rsidR="00E469D5">
        <w:t>:</w:t>
      </w:r>
      <w:r w:rsidRPr="00470269" w:rsidR="00DC66C2">
        <w:t xml:space="preserve"> </w:t>
      </w:r>
    </w:p>
    <w:p w:rsidRPr="00470269" w:rsidR="000E77A2" w:rsidP="00DC1B95" w:rsidRDefault="00DC66C2" w14:paraId="0905CD2C" w14:textId="680D351C">
      <w:pPr>
        <w:pStyle w:val="BlockQuote"/>
        <w:ind w:right="1440"/>
      </w:pPr>
      <w:r w:rsidRPr="00470269">
        <w:t xml:space="preserve">Imposing additional rate burdens on captive ratepayers who will have none of the benefits described in Pub. Util. Code </w:t>
      </w:r>
      <w:r w:rsidRPr="00470269">
        <w:rPr>
          <w:rFonts w:eastAsia="Book Antiqua" w:cs="Book Antiqua"/>
          <w:szCs w:val="26"/>
        </w:rPr>
        <w:t>§</w:t>
      </w:r>
      <w:r w:rsidRPr="00470269" w:rsidR="00F448F7">
        <w:t> </w:t>
      </w:r>
      <w:r w:rsidRPr="00470269">
        <w:t>2719 is not merely unfair, but also conflicts with a key premise of the statute that ratepayers will benefit from the transaction.</w:t>
      </w:r>
      <w:r w:rsidRPr="00470269">
        <w:rPr>
          <w:rStyle w:val="FootnoteReference"/>
        </w:rPr>
        <w:footnoteReference w:id="55"/>
      </w:r>
      <w:r w:rsidRPr="00470269">
        <w:t xml:space="preserve"> </w:t>
      </w:r>
    </w:p>
    <w:p w:rsidRPr="00470269" w:rsidR="00FD686C" w:rsidP="00C90666" w:rsidRDefault="00997451" w14:paraId="044B8045" w14:textId="16720AF1">
      <w:pPr>
        <w:pStyle w:val="standard0"/>
        <w:rPr>
          <w:rFonts w:ascii="Book Antiqua" w:hAnsi="Book Antiqua" w:eastAsia="Book Antiqua" w:cs="Book Antiqua"/>
          <w:szCs w:val="26"/>
        </w:rPr>
      </w:pPr>
      <w:r w:rsidRPr="00470269">
        <w:rPr>
          <w:rFonts w:ascii="Book Antiqua" w:hAnsi="Book Antiqua" w:eastAsia="Book Antiqua" w:cs="Book Antiqua"/>
          <w:szCs w:val="26"/>
        </w:rPr>
        <w:t xml:space="preserve">We find that the </w:t>
      </w:r>
      <w:proofErr w:type="gramStart"/>
      <w:r w:rsidRPr="00470269" w:rsidR="001B3D13">
        <w:rPr>
          <w:rFonts w:ascii="Book Antiqua" w:hAnsi="Book Antiqua" w:eastAsia="Book Antiqua" w:cs="Book Antiqua"/>
          <w:szCs w:val="26"/>
        </w:rPr>
        <w:t>short and long term</w:t>
      </w:r>
      <w:proofErr w:type="gramEnd"/>
      <w:r w:rsidRPr="00470269" w:rsidR="001B3D13">
        <w:rPr>
          <w:rFonts w:ascii="Book Antiqua" w:hAnsi="Book Antiqua" w:eastAsia="Book Antiqua" w:cs="Book Antiqua"/>
          <w:szCs w:val="26"/>
        </w:rPr>
        <w:t xml:space="preserve"> </w:t>
      </w:r>
      <w:r w:rsidRPr="00470269">
        <w:rPr>
          <w:rFonts w:ascii="Book Antiqua" w:hAnsi="Book Antiqua" w:eastAsia="Book Antiqua" w:cs="Book Antiqua"/>
          <w:szCs w:val="26"/>
        </w:rPr>
        <w:t xml:space="preserve">benefits of this transaction for East Pasadena customers, </w:t>
      </w:r>
      <w:r w:rsidRPr="00470269" w:rsidR="001B3D13">
        <w:rPr>
          <w:rFonts w:ascii="Book Antiqua" w:hAnsi="Book Antiqua" w:eastAsia="Book Antiqua" w:cs="Book Antiqua"/>
          <w:szCs w:val="26"/>
        </w:rPr>
        <w:t xml:space="preserve">Cal-Am's </w:t>
      </w:r>
      <w:r w:rsidRPr="00470269">
        <w:rPr>
          <w:rFonts w:ascii="Book Antiqua" w:hAnsi="Book Antiqua" w:eastAsia="Book Antiqua" w:cs="Book Antiqua"/>
          <w:szCs w:val="26"/>
        </w:rPr>
        <w:t xml:space="preserve">existing customers in </w:t>
      </w:r>
      <w:r w:rsidRPr="00470269" w:rsidR="001B3D13">
        <w:rPr>
          <w:rFonts w:ascii="Book Antiqua" w:hAnsi="Book Antiqua" w:eastAsia="Book Antiqua" w:cs="Book Antiqua"/>
          <w:szCs w:val="26"/>
        </w:rPr>
        <w:t xml:space="preserve">its </w:t>
      </w:r>
      <w:r w:rsidRPr="00470269">
        <w:rPr>
          <w:rFonts w:ascii="Book Antiqua" w:hAnsi="Book Antiqua" w:eastAsia="Book Antiqua" w:cs="Book Antiqua"/>
          <w:szCs w:val="26"/>
        </w:rPr>
        <w:t xml:space="preserve">Los Angeles </w:t>
      </w:r>
      <w:r w:rsidR="00046162">
        <w:rPr>
          <w:rFonts w:ascii="Book Antiqua" w:hAnsi="Book Antiqua" w:eastAsia="Book Antiqua" w:cs="Book Antiqua"/>
          <w:szCs w:val="26"/>
        </w:rPr>
        <w:t>D</w:t>
      </w:r>
      <w:r w:rsidRPr="00470269">
        <w:rPr>
          <w:rFonts w:ascii="Book Antiqua" w:hAnsi="Book Antiqua" w:eastAsia="Book Antiqua" w:cs="Book Antiqua"/>
          <w:szCs w:val="26"/>
        </w:rPr>
        <w:t>istrict and all of Cal-Am's customers statewide</w:t>
      </w:r>
      <w:r w:rsidRPr="00470269" w:rsidR="001B3D13">
        <w:rPr>
          <w:rFonts w:ascii="Book Antiqua" w:hAnsi="Book Antiqua" w:eastAsia="Book Antiqua" w:cs="Book Antiqua"/>
          <w:szCs w:val="26"/>
        </w:rPr>
        <w:t xml:space="preserve"> sufficiently outweigh the anticipated rate increase. </w:t>
      </w:r>
      <w:r w:rsidRPr="00470269" w:rsidR="00F448F7">
        <w:rPr>
          <w:rFonts w:ascii="Book Antiqua" w:hAnsi="Book Antiqua" w:eastAsia="Book Antiqua" w:cs="Book Antiqua"/>
          <w:szCs w:val="26"/>
        </w:rPr>
        <w:t xml:space="preserve"> </w:t>
      </w:r>
      <w:r w:rsidRPr="00470269" w:rsidR="002F04F8">
        <w:rPr>
          <w:rFonts w:ascii="Book Antiqua" w:hAnsi="Book Antiqua" w:eastAsia="Book Antiqua" w:cs="Book Antiqua"/>
          <w:szCs w:val="26"/>
        </w:rPr>
        <w:t xml:space="preserve">The Joint Applicants </w:t>
      </w:r>
      <w:r w:rsidRPr="00470269" w:rsidR="00FD686C">
        <w:rPr>
          <w:rFonts w:ascii="Book Antiqua" w:hAnsi="Book Antiqua" w:eastAsia="Book Antiqua" w:cs="Book Antiqua"/>
          <w:szCs w:val="26"/>
        </w:rPr>
        <w:t xml:space="preserve">have </w:t>
      </w:r>
      <w:r w:rsidRPr="00470269" w:rsidR="002F04F8">
        <w:rPr>
          <w:rFonts w:ascii="Book Antiqua" w:hAnsi="Book Antiqua" w:eastAsia="Book Antiqua" w:cs="Book Antiqua"/>
          <w:szCs w:val="26"/>
        </w:rPr>
        <w:t>adequately establish</w:t>
      </w:r>
      <w:r w:rsidRPr="00470269" w:rsidR="009F5C54">
        <w:rPr>
          <w:rFonts w:ascii="Book Antiqua" w:hAnsi="Book Antiqua" w:eastAsia="Book Antiqua" w:cs="Book Antiqua"/>
          <w:szCs w:val="26"/>
        </w:rPr>
        <w:t>ed that</w:t>
      </w:r>
      <w:r w:rsidRPr="00470269" w:rsidR="002F04F8">
        <w:rPr>
          <w:rFonts w:ascii="Book Antiqua" w:hAnsi="Book Antiqua" w:eastAsia="Book Antiqua" w:cs="Book Antiqua"/>
          <w:szCs w:val="26"/>
        </w:rPr>
        <w:t xml:space="preserve"> benefits will </w:t>
      </w:r>
      <w:r w:rsidRPr="00470269" w:rsidR="00391899">
        <w:rPr>
          <w:rFonts w:ascii="Book Antiqua" w:hAnsi="Book Antiqua" w:eastAsia="Book Antiqua" w:cs="Book Antiqua"/>
          <w:szCs w:val="26"/>
        </w:rPr>
        <w:lastRenderedPageBreak/>
        <w:t xml:space="preserve">likely </w:t>
      </w:r>
      <w:r w:rsidRPr="00470269" w:rsidR="0047690A">
        <w:rPr>
          <w:rFonts w:ascii="Book Antiqua" w:hAnsi="Book Antiqua" w:eastAsia="Book Antiqua" w:cs="Book Antiqua"/>
          <w:szCs w:val="26"/>
        </w:rPr>
        <w:t>occur</w:t>
      </w:r>
      <w:r w:rsidRPr="00470269" w:rsidR="002F04F8">
        <w:rPr>
          <w:rFonts w:ascii="Book Antiqua" w:hAnsi="Book Antiqua" w:eastAsia="Book Antiqua" w:cs="Book Antiqua"/>
          <w:szCs w:val="26"/>
        </w:rPr>
        <w:t xml:space="preserve"> for all customers subject to the acquisition, </w:t>
      </w:r>
      <w:r w:rsidRPr="00470269" w:rsidR="0047690A">
        <w:rPr>
          <w:rFonts w:ascii="Book Antiqua" w:hAnsi="Book Antiqua" w:eastAsia="Book Antiqua" w:cs="Book Antiqua"/>
          <w:szCs w:val="26"/>
        </w:rPr>
        <w:t>sufficient</w:t>
      </w:r>
      <w:r w:rsidRPr="00470269" w:rsidR="002F04F8">
        <w:rPr>
          <w:rFonts w:ascii="Book Antiqua" w:hAnsi="Book Antiqua" w:eastAsia="Book Antiqua" w:cs="Book Antiqua"/>
          <w:szCs w:val="26"/>
        </w:rPr>
        <w:t xml:space="preserve"> to </w:t>
      </w:r>
      <w:r w:rsidRPr="00470269" w:rsidR="0047690A">
        <w:rPr>
          <w:rFonts w:ascii="Book Antiqua" w:hAnsi="Book Antiqua" w:eastAsia="Book Antiqua" w:cs="Book Antiqua"/>
          <w:szCs w:val="26"/>
        </w:rPr>
        <w:t>justify</w:t>
      </w:r>
      <w:r w:rsidRPr="00470269" w:rsidR="002F04F8">
        <w:rPr>
          <w:rFonts w:ascii="Book Antiqua" w:hAnsi="Book Antiqua" w:eastAsia="Book Antiqua" w:cs="Book Antiqua"/>
          <w:szCs w:val="26"/>
        </w:rPr>
        <w:t xml:space="preserve"> an overall revenue increase of approximately $1.945 million annually. </w:t>
      </w:r>
    </w:p>
    <w:p w:rsidRPr="00470269" w:rsidR="00E1114F" w:rsidP="00C90666" w:rsidRDefault="009F5C54" w14:paraId="516E9B8E" w14:textId="0FB94F50">
      <w:pPr>
        <w:pStyle w:val="standard0"/>
        <w:rPr>
          <w:rFonts w:ascii="Book Antiqua" w:hAnsi="Book Antiqua" w:eastAsia="Book Antiqua" w:cs="Book Antiqua"/>
          <w:szCs w:val="26"/>
        </w:rPr>
      </w:pPr>
      <w:r w:rsidRPr="00470269">
        <w:rPr>
          <w:rFonts w:ascii="Book Antiqua" w:hAnsi="Book Antiqua" w:eastAsia="Book Antiqua" w:cs="Book Antiqua"/>
          <w:szCs w:val="26"/>
        </w:rPr>
        <w:t>We need not decide the question of wh</w:t>
      </w:r>
      <w:r w:rsidRPr="00470269" w:rsidR="0047690A">
        <w:rPr>
          <w:rFonts w:ascii="Book Antiqua" w:hAnsi="Book Antiqua" w:eastAsia="Book Antiqua" w:cs="Book Antiqua"/>
          <w:szCs w:val="26"/>
        </w:rPr>
        <w:t>e</w:t>
      </w:r>
      <w:r w:rsidRPr="00470269">
        <w:rPr>
          <w:rFonts w:ascii="Book Antiqua" w:hAnsi="Book Antiqua" w:eastAsia="Book Antiqua" w:cs="Book Antiqua"/>
          <w:szCs w:val="26"/>
        </w:rPr>
        <w:t xml:space="preserve">ther the </w:t>
      </w:r>
      <w:r w:rsidRPr="00470269" w:rsidR="0047690A">
        <w:rPr>
          <w:rFonts w:ascii="Book Antiqua" w:hAnsi="Book Antiqua" w:eastAsia="Book Antiqua" w:cs="Book Antiqua"/>
          <w:szCs w:val="26"/>
        </w:rPr>
        <w:t xml:space="preserve">Los Angeles </w:t>
      </w:r>
      <w:r w:rsidR="00046162">
        <w:rPr>
          <w:rFonts w:ascii="Book Antiqua" w:hAnsi="Book Antiqua" w:eastAsia="Book Antiqua" w:cs="Book Antiqua"/>
          <w:szCs w:val="26"/>
        </w:rPr>
        <w:t>D</w:t>
      </w:r>
      <w:r w:rsidRPr="00470269" w:rsidR="0047690A">
        <w:rPr>
          <w:rFonts w:ascii="Book Antiqua" w:hAnsi="Book Antiqua" w:eastAsia="Book Antiqua" w:cs="Book Antiqua"/>
          <w:szCs w:val="26"/>
        </w:rPr>
        <w:t xml:space="preserve">istrict will be </w:t>
      </w:r>
      <w:r w:rsidRPr="00470269" w:rsidR="00D219B0">
        <w:rPr>
          <w:rFonts w:ascii="Book Antiqua" w:hAnsi="Book Antiqua" w:eastAsia="Book Antiqua" w:cs="Book Antiqua"/>
          <w:szCs w:val="26"/>
        </w:rPr>
        <w:t>realigned</w:t>
      </w:r>
      <w:r w:rsidRPr="00470269" w:rsidR="00A8270E">
        <w:rPr>
          <w:rFonts w:ascii="Book Antiqua" w:hAnsi="Book Antiqua" w:eastAsia="Book Antiqua" w:cs="Book Antiqua"/>
          <w:szCs w:val="26"/>
        </w:rPr>
        <w:t xml:space="preserve"> in the pending GRC</w:t>
      </w:r>
      <w:r w:rsidRPr="00470269" w:rsidR="002B43B8">
        <w:rPr>
          <w:rFonts w:ascii="Book Antiqua" w:hAnsi="Book Antiqua" w:eastAsia="Book Antiqua" w:cs="Book Antiqua"/>
          <w:szCs w:val="26"/>
        </w:rPr>
        <w:t xml:space="preserve"> and the placement of East Pasadena in that district</w:t>
      </w:r>
      <w:r w:rsidRPr="00470269" w:rsidR="00F001DF">
        <w:rPr>
          <w:rFonts w:ascii="Book Antiqua" w:hAnsi="Book Antiqua" w:eastAsia="Book Antiqua" w:cs="Book Antiqua"/>
          <w:szCs w:val="26"/>
        </w:rPr>
        <w:t xml:space="preserve"> is reasonable</w:t>
      </w:r>
      <w:r w:rsidRPr="00470269" w:rsidR="001844C6">
        <w:rPr>
          <w:rFonts w:ascii="Book Antiqua" w:hAnsi="Book Antiqua" w:eastAsia="Book Antiqua" w:cs="Book Antiqua"/>
          <w:szCs w:val="26"/>
        </w:rPr>
        <w:t>.</w:t>
      </w:r>
      <w:r w:rsidRPr="00470269" w:rsidR="00A8270E">
        <w:rPr>
          <w:rFonts w:ascii="Book Antiqua" w:hAnsi="Book Antiqua" w:eastAsia="Book Antiqua" w:cs="Book Antiqua"/>
          <w:szCs w:val="26"/>
        </w:rPr>
        <w:t xml:space="preserve"> </w:t>
      </w:r>
      <w:r w:rsidRPr="00470269" w:rsidR="00F448F7">
        <w:rPr>
          <w:rFonts w:ascii="Book Antiqua" w:hAnsi="Book Antiqua" w:eastAsia="Book Antiqua" w:cs="Book Antiqua"/>
          <w:szCs w:val="26"/>
        </w:rPr>
        <w:t xml:space="preserve"> </w:t>
      </w:r>
      <w:r w:rsidRPr="00470269" w:rsidR="00A8270E">
        <w:rPr>
          <w:rFonts w:ascii="Book Antiqua" w:hAnsi="Book Antiqua" w:eastAsia="Book Antiqua" w:cs="Book Antiqua"/>
          <w:szCs w:val="26"/>
        </w:rPr>
        <w:t xml:space="preserve">Rates for East Pasadena </w:t>
      </w:r>
      <w:r w:rsidRPr="00470269" w:rsidR="00082076">
        <w:rPr>
          <w:rFonts w:ascii="Book Antiqua" w:hAnsi="Book Antiqua" w:eastAsia="Book Antiqua" w:cs="Book Antiqua"/>
          <w:szCs w:val="26"/>
        </w:rPr>
        <w:t xml:space="preserve">customers </w:t>
      </w:r>
      <w:r w:rsidRPr="00470269" w:rsidR="006E260C">
        <w:rPr>
          <w:rFonts w:ascii="Book Antiqua" w:hAnsi="Book Antiqua" w:eastAsia="Book Antiqua" w:cs="Book Antiqua"/>
          <w:szCs w:val="26"/>
        </w:rPr>
        <w:t>or</w:t>
      </w:r>
      <w:r w:rsidRPr="00470269" w:rsidR="00082076">
        <w:rPr>
          <w:rFonts w:ascii="Book Antiqua" w:hAnsi="Book Antiqua" w:eastAsia="Book Antiqua" w:cs="Book Antiqua"/>
          <w:szCs w:val="26"/>
        </w:rPr>
        <w:t xml:space="preserve"> for existing Cal-Am customers will not change beyond the usual annual attrition adjustments, </w:t>
      </w:r>
      <w:r w:rsidRPr="00470269" w:rsidR="002B43B8">
        <w:rPr>
          <w:rFonts w:ascii="Book Antiqua" w:hAnsi="Book Antiqua" w:eastAsia="Book Antiqua" w:cs="Book Antiqua"/>
          <w:szCs w:val="26"/>
        </w:rPr>
        <w:t xml:space="preserve">until </w:t>
      </w:r>
      <w:proofErr w:type="gramStart"/>
      <w:r w:rsidRPr="00470269" w:rsidR="002B43B8">
        <w:rPr>
          <w:rFonts w:ascii="Book Antiqua" w:hAnsi="Book Antiqua" w:eastAsia="Book Antiqua" w:cs="Book Antiqua"/>
          <w:szCs w:val="26"/>
        </w:rPr>
        <w:t>Cal-Am has</w:t>
      </w:r>
      <w:proofErr w:type="gramEnd"/>
      <w:r w:rsidRPr="00470269" w:rsidR="002B43B8">
        <w:rPr>
          <w:rFonts w:ascii="Book Antiqua" w:hAnsi="Book Antiqua" w:eastAsia="Book Antiqua" w:cs="Book Antiqua"/>
          <w:szCs w:val="26"/>
        </w:rPr>
        <w:t xml:space="preserve"> </w:t>
      </w:r>
      <w:r w:rsidRPr="00470269" w:rsidR="00F001DF">
        <w:rPr>
          <w:rFonts w:ascii="Book Antiqua" w:hAnsi="Book Antiqua" w:eastAsia="Book Antiqua" w:cs="Book Antiqua"/>
          <w:szCs w:val="26"/>
        </w:rPr>
        <w:t>litigated</w:t>
      </w:r>
      <w:r w:rsidRPr="00470269" w:rsidR="002B43B8">
        <w:rPr>
          <w:rFonts w:ascii="Book Antiqua" w:hAnsi="Book Antiqua" w:eastAsia="Book Antiqua" w:cs="Book Antiqua"/>
          <w:szCs w:val="26"/>
        </w:rPr>
        <w:t xml:space="preserve"> its next 2024 GRC.  </w:t>
      </w:r>
    </w:p>
    <w:p w:rsidRPr="00054EB4" w:rsidR="008D545F" w:rsidP="00506E52" w:rsidRDefault="004248D5" w14:paraId="79E165D1" w14:textId="5B063956">
      <w:pPr>
        <w:pStyle w:val="Heading2"/>
      </w:pPr>
      <w:bookmarkStart w:name="_Toc72748074" w:id="86"/>
      <w:bookmarkStart w:name="_Toc76995768" w:id="87"/>
      <w:r w:rsidRPr="00054EB4">
        <w:t xml:space="preserve">Allocation of </w:t>
      </w:r>
      <w:r w:rsidRPr="00054EB4" w:rsidR="0090155F">
        <w:t>Rate Base</w:t>
      </w:r>
      <w:bookmarkEnd w:id="86"/>
      <w:bookmarkEnd w:id="87"/>
      <w:r w:rsidRPr="00054EB4">
        <w:t xml:space="preserve"> </w:t>
      </w:r>
    </w:p>
    <w:p w:rsidRPr="00470269" w:rsidR="00F1180C" w:rsidP="00F1180C" w:rsidRDefault="00B45E8E" w14:paraId="0D97AF39" w14:textId="53246AA8">
      <w:pPr>
        <w:pStyle w:val="standard0"/>
        <w:rPr>
          <w:rFonts w:ascii="Book Antiqua" w:hAnsi="Book Antiqua"/>
        </w:rPr>
      </w:pPr>
      <w:bookmarkStart w:name="_Hlk72341999" w:id="88"/>
      <w:r>
        <w:rPr>
          <w:rFonts w:cs="TimesNewRomanPSMT"/>
          <w:szCs w:val="26"/>
        </w:rPr>
        <w:t>T</w:t>
      </w:r>
      <w:r w:rsidRPr="00470269" w:rsidR="00D17ED5">
        <w:rPr>
          <w:rFonts w:cs="TimesNewRomanPSMT"/>
          <w:szCs w:val="26"/>
        </w:rPr>
        <w:t xml:space="preserve">he Joint Applicants </w:t>
      </w:r>
      <w:r>
        <w:rPr>
          <w:rFonts w:cs="TimesNewRomanPSMT"/>
          <w:szCs w:val="26"/>
        </w:rPr>
        <w:t xml:space="preserve">proposed </w:t>
      </w:r>
      <w:r w:rsidR="0061682A">
        <w:rPr>
          <w:rFonts w:cs="TimesNewRomanPSMT"/>
          <w:szCs w:val="26"/>
        </w:rPr>
        <w:t xml:space="preserve">an </w:t>
      </w:r>
      <w:r w:rsidR="00D17ED5">
        <w:rPr>
          <w:rFonts w:cs="TimesNewRomanPSMT"/>
          <w:szCs w:val="26"/>
        </w:rPr>
        <w:t xml:space="preserve">allocation of the </w:t>
      </w:r>
      <w:r w:rsidR="00EB5293">
        <w:rPr>
          <w:rFonts w:cs="TimesNewRomanPSMT"/>
          <w:szCs w:val="26"/>
        </w:rPr>
        <w:t xml:space="preserve">rate base </w:t>
      </w:r>
      <w:r w:rsidR="0061682A">
        <w:rPr>
          <w:rFonts w:cs="TimesNewRomanPSMT"/>
          <w:szCs w:val="26"/>
        </w:rPr>
        <w:t xml:space="preserve">designed to minimize the rate </w:t>
      </w:r>
      <w:r w:rsidR="00384BFE">
        <w:rPr>
          <w:rFonts w:cs="TimesNewRomanPSMT"/>
          <w:szCs w:val="26"/>
        </w:rPr>
        <w:t>increase necessary to collect the new $1.945 million in revenue</w:t>
      </w:r>
      <w:r w:rsidR="00E7180F">
        <w:rPr>
          <w:rFonts w:cs="TimesNewRomanPSMT"/>
          <w:szCs w:val="26"/>
        </w:rPr>
        <w:t>.</w:t>
      </w:r>
      <w:r w:rsidR="00077A6A">
        <w:rPr>
          <w:rStyle w:val="FootnoteReference"/>
          <w:rFonts w:cs="TimesNewRomanPSMT"/>
          <w:szCs w:val="26"/>
        </w:rPr>
        <w:footnoteReference w:id="56"/>
      </w:r>
      <w:r w:rsidR="00E7180F">
        <w:rPr>
          <w:rFonts w:cs="TimesNewRomanPSMT"/>
          <w:szCs w:val="26"/>
        </w:rPr>
        <w:t xml:space="preserve"> </w:t>
      </w:r>
      <w:r w:rsidR="00A11E9B">
        <w:rPr>
          <w:rFonts w:cs="TimesNewRomanPSMT"/>
          <w:szCs w:val="26"/>
        </w:rPr>
        <w:t xml:space="preserve"> </w:t>
      </w:r>
      <w:r w:rsidR="0061682A">
        <w:rPr>
          <w:rFonts w:cs="TimesNewRomanPSMT"/>
          <w:szCs w:val="26"/>
        </w:rPr>
        <w:t>Mini</w:t>
      </w:r>
      <w:r w:rsidR="00A60B03">
        <w:rPr>
          <w:rFonts w:cs="TimesNewRomanPSMT"/>
          <w:szCs w:val="26"/>
        </w:rPr>
        <w:t>mizing</w:t>
      </w:r>
      <w:r w:rsidR="00E7180F">
        <w:rPr>
          <w:rFonts w:cs="TimesNewRomanPSMT"/>
          <w:szCs w:val="26"/>
        </w:rPr>
        <w:t xml:space="preserve"> the rate increase is </w:t>
      </w:r>
      <w:r w:rsidR="0031260F">
        <w:rPr>
          <w:rFonts w:cs="TimesNewRomanPSMT"/>
          <w:szCs w:val="26"/>
        </w:rPr>
        <w:t xml:space="preserve">achieved by </w:t>
      </w:r>
      <w:r w:rsidR="00EB5293">
        <w:rPr>
          <w:rFonts w:cs="TimesNewRomanPSMT"/>
          <w:szCs w:val="26"/>
        </w:rPr>
        <w:t>spread</w:t>
      </w:r>
      <w:r w:rsidR="00293E34">
        <w:rPr>
          <w:rFonts w:cs="TimesNewRomanPSMT"/>
          <w:szCs w:val="26"/>
        </w:rPr>
        <w:t>ing</w:t>
      </w:r>
      <w:r w:rsidR="00EB5293">
        <w:rPr>
          <w:rFonts w:cs="TimesNewRomanPSMT"/>
          <w:szCs w:val="26"/>
        </w:rPr>
        <w:t xml:space="preserve"> rate impacts </w:t>
      </w:r>
      <w:r w:rsidR="005C75EE">
        <w:rPr>
          <w:rFonts w:cs="TimesNewRomanPSMT"/>
          <w:szCs w:val="26"/>
        </w:rPr>
        <w:t xml:space="preserve">equally </w:t>
      </w:r>
      <w:r w:rsidR="00EB5293">
        <w:rPr>
          <w:rFonts w:cs="TimesNewRomanPSMT"/>
          <w:szCs w:val="26"/>
        </w:rPr>
        <w:t>over the largest number of customers possible (all Cal-Am customers statewide).</w:t>
      </w:r>
      <w:r w:rsidR="006D4084">
        <w:rPr>
          <w:rStyle w:val="FootnoteReference"/>
          <w:rFonts w:cs="TimesNewRomanPSMT"/>
          <w:szCs w:val="26"/>
        </w:rPr>
        <w:footnoteReference w:id="57"/>
      </w:r>
      <w:r w:rsidR="00EB5293">
        <w:rPr>
          <w:rFonts w:cs="TimesNewRomanPSMT"/>
          <w:szCs w:val="26"/>
        </w:rPr>
        <w:t xml:space="preserve"> </w:t>
      </w:r>
      <w:r w:rsidR="00A11E9B">
        <w:rPr>
          <w:rFonts w:cs="TimesNewRomanPSMT"/>
          <w:szCs w:val="26"/>
        </w:rPr>
        <w:t xml:space="preserve"> </w:t>
      </w:r>
      <w:r w:rsidR="00192042">
        <w:rPr>
          <w:rFonts w:cs="TimesNewRomanPSMT"/>
          <w:szCs w:val="26"/>
        </w:rPr>
        <w:t xml:space="preserve">Furthermore, the Joint Applicants' proposed allocation necessarily depends upon a number of assumptions: Commission approval of new rates proposed by Cal-Am in its application, Commission approval to consolidate the Cal-Am </w:t>
      </w:r>
      <w:r w:rsidR="00866224">
        <w:rPr>
          <w:rFonts w:cs="TimesNewRomanPSMT"/>
          <w:szCs w:val="26"/>
        </w:rPr>
        <w:t xml:space="preserve">Los </w:t>
      </w:r>
      <w:r w:rsidR="0045782A">
        <w:rPr>
          <w:rFonts w:cs="TimesNewRomanPSMT"/>
          <w:szCs w:val="26"/>
        </w:rPr>
        <w:t>Angeles County District</w:t>
      </w:r>
      <w:r w:rsidR="00192042">
        <w:rPr>
          <w:rFonts w:cs="TimesNewRomanPSMT"/>
          <w:szCs w:val="26"/>
        </w:rPr>
        <w:t xml:space="preserve"> with San Diego and Ventura into a Southern </w:t>
      </w:r>
      <w:r w:rsidR="00046162">
        <w:rPr>
          <w:rFonts w:cs="TimesNewRomanPSMT"/>
          <w:szCs w:val="26"/>
        </w:rPr>
        <w:t>D</w:t>
      </w:r>
      <w:r w:rsidR="00192042">
        <w:rPr>
          <w:rFonts w:cs="TimesNewRomanPSMT"/>
          <w:szCs w:val="26"/>
        </w:rPr>
        <w:t xml:space="preserve">istrict, </w:t>
      </w:r>
      <w:r w:rsidR="00904F2F">
        <w:rPr>
          <w:rFonts w:cs="TimesNewRomanPSMT"/>
          <w:szCs w:val="26"/>
        </w:rPr>
        <w:t xml:space="preserve">timing, </w:t>
      </w:r>
      <w:r w:rsidR="00192042">
        <w:rPr>
          <w:rFonts w:cs="TimesNewRomanPSMT"/>
          <w:szCs w:val="26"/>
        </w:rPr>
        <w:t>and that synergies from operational consolidation materialize in the amounts estimated.</w:t>
      </w:r>
      <w:r w:rsidR="00192042">
        <w:rPr>
          <w:rStyle w:val="FootnoteReference"/>
          <w:rFonts w:cs="TimesNewRomanPSMT"/>
          <w:szCs w:val="26"/>
        </w:rPr>
        <w:footnoteReference w:id="58"/>
      </w:r>
      <w:r w:rsidR="00192042">
        <w:rPr>
          <w:rFonts w:cs="TimesNewRomanPSMT"/>
          <w:szCs w:val="26"/>
        </w:rPr>
        <w:t xml:space="preserve"> </w:t>
      </w:r>
      <w:r w:rsidR="00A25B71">
        <w:rPr>
          <w:rFonts w:cs="TimesNewRomanPSMT"/>
          <w:szCs w:val="26"/>
        </w:rPr>
        <w:t xml:space="preserve"> </w:t>
      </w:r>
      <w:r w:rsidRPr="00470269" w:rsidR="00331176">
        <w:rPr>
          <w:rFonts w:ascii="Book Antiqua" w:hAnsi="Book Antiqua"/>
        </w:rPr>
        <w:t xml:space="preserve">We </w:t>
      </w:r>
      <w:r w:rsidRPr="00470269" w:rsidR="000E330C">
        <w:rPr>
          <w:rFonts w:ascii="Book Antiqua" w:hAnsi="Book Antiqua"/>
        </w:rPr>
        <w:t>defer consideration of</w:t>
      </w:r>
      <w:r w:rsidRPr="00470269" w:rsidR="00331176">
        <w:rPr>
          <w:rFonts w:ascii="Book Antiqua" w:hAnsi="Book Antiqua"/>
        </w:rPr>
        <w:t xml:space="preserve"> </w:t>
      </w:r>
      <w:r w:rsidRPr="00470269" w:rsidR="00795DEA">
        <w:rPr>
          <w:rFonts w:ascii="Book Antiqua" w:hAnsi="Book Antiqua"/>
        </w:rPr>
        <w:t>Cal-Am</w:t>
      </w:r>
      <w:r w:rsidRPr="00470269" w:rsidR="00331176">
        <w:rPr>
          <w:rFonts w:ascii="Book Antiqua" w:hAnsi="Book Antiqua"/>
        </w:rPr>
        <w:t xml:space="preserve">'s proposal to </w:t>
      </w:r>
      <w:r w:rsidRPr="00470269" w:rsidR="00C12B16">
        <w:rPr>
          <w:rFonts w:ascii="Book Antiqua" w:hAnsi="Book Antiqua"/>
        </w:rPr>
        <w:t xml:space="preserve">allocate </w:t>
      </w:r>
      <w:r w:rsidRPr="00470269" w:rsidR="00331176">
        <w:rPr>
          <w:rFonts w:ascii="Book Antiqua" w:hAnsi="Book Antiqua"/>
        </w:rPr>
        <w:t xml:space="preserve">the </w:t>
      </w:r>
      <w:r w:rsidRPr="00470269" w:rsidR="0090155F">
        <w:rPr>
          <w:rFonts w:ascii="Book Antiqua" w:hAnsi="Book Antiqua"/>
        </w:rPr>
        <w:t>rate base</w:t>
      </w:r>
      <w:r w:rsidRPr="00470269" w:rsidR="00331176">
        <w:rPr>
          <w:rFonts w:ascii="Book Antiqua" w:hAnsi="Book Antiqua"/>
        </w:rPr>
        <w:t xml:space="preserve"> between the</w:t>
      </w:r>
      <w:r w:rsidRPr="00470269" w:rsidR="00A5569B">
        <w:rPr>
          <w:rFonts w:ascii="Book Antiqua" w:hAnsi="Book Antiqua"/>
        </w:rPr>
        <w:t xml:space="preserve"> proposed</w:t>
      </w:r>
      <w:r w:rsidRPr="00470269" w:rsidR="00331176">
        <w:rPr>
          <w:rFonts w:ascii="Book Antiqua" w:hAnsi="Book Antiqua"/>
        </w:rPr>
        <w:t xml:space="preserve"> new consolidated district and its Corporate Office</w:t>
      </w:r>
      <w:r w:rsidRPr="00470269" w:rsidR="00AE7400">
        <w:rPr>
          <w:rFonts w:ascii="Book Antiqua" w:hAnsi="Book Antiqua"/>
        </w:rPr>
        <w:t>,</w:t>
      </w:r>
      <w:r w:rsidRPr="00470269" w:rsidR="00331176">
        <w:rPr>
          <w:rFonts w:ascii="Book Antiqua" w:hAnsi="Book Antiqua"/>
        </w:rPr>
        <w:t xml:space="preserve"> which </w:t>
      </w:r>
      <w:r w:rsidRPr="00470269" w:rsidR="00A5569B">
        <w:rPr>
          <w:rFonts w:ascii="Book Antiqua" w:hAnsi="Book Antiqua"/>
        </w:rPr>
        <w:t xml:space="preserve">would </w:t>
      </w:r>
      <w:r w:rsidRPr="00470269" w:rsidR="00331176">
        <w:rPr>
          <w:rFonts w:ascii="Book Antiqua" w:hAnsi="Book Antiqua"/>
        </w:rPr>
        <w:t xml:space="preserve">impact all </w:t>
      </w:r>
      <w:r w:rsidRPr="00470269" w:rsidR="00795DEA">
        <w:rPr>
          <w:rFonts w:ascii="Book Antiqua" w:hAnsi="Book Antiqua"/>
        </w:rPr>
        <w:t>Cal-Am</w:t>
      </w:r>
      <w:r w:rsidRPr="00470269" w:rsidR="001B3D13">
        <w:rPr>
          <w:rFonts w:ascii="Book Antiqua" w:hAnsi="Book Antiqua"/>
        </w:rPr>
        <w:t>'s</w:t>
      </w:r>
      <w:r w:rsidRPr="00470269" w:rsidR="00331176">
        <w:rPr>
          <w:rFonts w:ascii="Book Antiqua" w:hAnsi="Book Antiqua"/>
        </w:rPr>
        <w:t xml:space="preserve"> ratepayers statewide</w:t>
      </w:r>
      <w:r w:rsidRPr="00470269" w:rsidR="00AE7400">
        <w:rPr>
          <w:rFonts w:ascii="Book Antiqua" w:hAnsi="Book Antiqua"/>
        </w:rPr>
        <w:t>,</w:t>
      </w:r>
      <w:r w:rsidRPr="00470269" w:rsidR="00A51B5D">
        <w:rPr>
          <w:rFonts w:ascii="Book Antiqua" w:hAnsi="Book Antiqua"/>
        </w:rPr>
        <w:t xml:space="preserve"> </w:t>
      </w:r>
      <w:r w:rsidRPr="00470269" w:rsidR="00AE7400">
        <w:rPr>
          <w:rFonts w:ascii="Book Antiqua" w:hAnsi="Book Antiqua"/>
        </w:rPr>
        <w:t>to</w:t>
      </w:r>
      <w:r w:rsidRPr="00470269" w:rsidR="00A51B5D">
        <w:rPr>
          <w:rFonts w:ascii="Book Antiqua" w:hAnsi="Book Antiqua"/>
        </w:rPr>
        <w:t xml:space="preserve"> the next</w:t>
      </w:r>
      <w:r w:rsidRPr="00470269" w:rsidR="00AE7400">
        <w:rPr>
          <w:rFonts w:ascii="Book Antiqua" w:hAnsi="Book Antiqua"/>
        </w:rPr>
        <w:t xml:space="preserve"> 2024</w:t>
      </w:r>
      <w:r w:rsidRPr="00470269" w:rsidR="00A51B5D">
        <w:rPr>
          <w:rFonts w:ascii="Book Antiqua" w:hAnsi="Book Antiqua"/>
        </w:rPr>
        <w:t xml:space="preserve"> GRC</w:t>
      </w:r>
      <w:r w:rsidRPr="00470269" w:rsidR="00331176">
        <w:rPr>
          <w:rFonts w:ascii="Book Antiqua" w:hAnsi="Book Antiqua"/>
        </w:rPr>
        <w:t>.</w:t>
      </w:r>
      <w:r w:rsidRPr="00470269" w:rsidR="00F448F7">
        <w:rPr>
          <w:rFonts w:ascii="Book Antiqua" w:hAnsi="Book Antiqua"/>
        </w:rPr>
        <w:t xml:space="preserve"> </w:t>
      </w:r>
      <w:r w:rsidRPr="00470269" w:rsidR="00331176">
        <w:rPr>
          <w:rFonts w:ascii="Book Antiqua" w:hAnsi="Book Antiqua"/>
        </w:rPr>
        <w:t xml:space="preserve"> </w:t>
      </w:r>
      <w:bookmarkEnd w:id="88"/>
      <w:r w:rsidRPr="00470269" w:rsidR="00795DEA">
        <w:rPr>
          <w:rFonts w:ascii="Book Antiqua" w:hAnsi="Book Antiqua"/>
        </w:rPr>
        <w:t>Cal-Am</w:t>
      </w:r>
      <w:r w:rsidRPr="00470269" w:rsidR="00C464F7">
        <w:rPr>
          <w:rFonts w:ascii="Book Antiqua" w:hAnsi="Book Antiqua"/>
        </w:rPr>
        <w:t xml:space="preserve"> </w:t>
      </w:r>
      <w:r w:rsidRPr="00470269" w:rsidR="000E330C">
        <w:rPr>
          <w:rFonts w:ascii="Book Antiqua" w:hAnsi="Book Antiqua"/>
        </w:rPr>
        <w:t xml:space="preserve">already </w:t>
      </w:r>
      <w:r w:rsidRPr="00470269" w:rsidR="00C464F7">
        <w:rPr>
          <w:rFonts w:ascii="Book Antiqua" w:hAnsi="Book Antiqua"/>
        </w:rPr>
        <w:t>plan</w:t>
      </w:r>
      <w:r w:rsidRPr="00470269" w:rsidR="00AE7400">
        <w:rPr>
          <w:rFonts w:ascii="Book Antiqua" w:hAnsi="Book Antiqua"/>
        </w:rPr>
        <w:t>ned</w:t>
      </w:r>
      <w:r w:rsidRPr="00470269" w:rsidR="00C464F7">
        <w:rPr>
          <w:rFonts w:ascii="Book Antiqua" w:hAnsi="Book Antiqua"/>
        </w:rPr>
        <w:t xml:space="preserve"> to </w:t>
      </w:r>
      <w:r w:rsidRPr="00470269" w:rsidR="000E330C">
        <w:rPr>
          <w:rFonts w:ascii="Book Antiqua" w:hAnsi="Book Antiqua"/>
        </w:rPr>
        <w:t>defer</w:t>
      </w:r>
      <w:r w:rsidRPr="00470269" w:rsidR="00C464F7">
        <w:rPr>
          <w:rFonts w:ascii="Book Antiqua" w:hAnsi="Book Antiqua"/>
        </w:rPr>
        <w:t xml:space="preserve"> ratemaking consolidation until its next </w:t>
      </w:r>
      <w:r w:rsidRPr="00470269" w:rsidR="00331176">
        <w:rPr>
          <w:rFonts w:ascii="Book Antiqua" w:hAnsi="Book Antiqua"/>
        </w:rPr>
        <w:t>GRC</w:t>
      </w:r>
      <w:r w:rsidRPr="00470269" w:rsidR="00C464F7">
        <w:rPr>
          <w:rFonts w:ascii="Book Antiqua" w:hAnsi="Book Antiqua"/>
        </w:rPr>
        <w:t xml:space="preserve">, </w:t>
      </w:r>
      <w:r w:rsidRPr="00470269" w:rsidR="000E330C">
        <w:rPr>
          <w:rFonts w:ascii="Book Antiqua" w:hAnsi="Book Antiqua"/>
        </w:rPr>
        <w:t>so it</w:t>
      </w:r>
      <w:r w:rsidRPr="00470269" w:rsidR="00C464F7">
        <w:rPr>
          <w:rFonts w:ascii="Book Antiqua" w:hAnsi="Book Antiqua"/>
        </w:rPr>
        <w:t xml:space="preserve"> is unnecessary, to set an allocation in this decision</w:t>
      </w:r>
      <w:r w:rsidRPr="00470269" w:rsidR="00F1180C">
        <w:rPr>
          <w:rFonts w:ascii="Book Antiqua" w:hAnsi="Book Antiqua"/>
        </w:rPr>
        <w:t xml:space="preserve">. </w:t>
      </w:r>
      <w:r w:rsidR="00994247">
        <w:rPr>
          <w:rFonts w:ascii="Book Antiqua" w:hAnsi="Book Antiqua"/>
        </w:rPr>
        <w:t xml:space="preserve"> </w:t>
      </w:r>
      <w:r w:rsidR="00212FF2">
        <w:rPr>
          <w:rFonts w:ascii="Book Antiqua" w:hAnsi="Book Antiqua"/>
        </w:rPr>
        <w:t xml:space="preserve">With our approval of immediate operational consolidation discussed </w:t>
      </w:r>
      <w:r w:rsidR="00212FF2">
        <w:rPr>
          <w:rFonts w:ascii="Book Antiqua" w:hAnsi="Book Antiqua"/>
        </w:rPr>
        <w:lastRenderedPageBreak/>
        <w:t xml:space="preserve">in the next section, </w:t>
      </w:r>
      <w:r w:rsidR="0078166F">
        <w:rPr>
          <w:rFonts w:ascii="Book Antiqua" w:hAnsi="Book Antiqua"/>
        </w:rPr>
        <w:t xml:space="preserve">we expect </w:t>
      </w:r>
      <w:r w:rsidR="00212FF2">
        <w:rPr>
          <w:rFonts w:ascii="Book Antiqua" w:hAnsi="Book Antiqua"/>
        </w:rPr>
        <w:t xml:space="preserve">cost savings from synergies should begin to occur </w:t>
      </w:r>
      <w:r w:rsidR="007F4AB0">
        <w:rPr>
          <w:rFonts w:ascii="Book Antiqua" w:hAnsi="Book Antiqua"/>
        </w:rPr>
        <w:t xml:space="preserve">in time </w:t>
      </w:r>
      <w:r w:rsidR="00212FF2">
        <w:rPr>
          <w:rFonts w:ascii="Book Antiqua" w:hAnsi="Book Antiqua"/>
        </w:rPr>
        <w:t xml:space="preserve">for consideration in Cal-Am’s next GRC. </w:t>
      </w:r>
    </w:p>
    <w:p w:rsidRPr="009E2BBD" w:rsidR="00DF2999" w:rsidP="00636FD3" w:rsidRDefault="000E330C" w14:paraId="36555CEA" w14:textId="371C8A85">
      <w:pPr>
        <w:pStyle w:val="standard0"/>
      </w:pPr>
      <w:r w:rsidRPr="00470269">
        <w:rPr>
          <w:rFonts w:eastAsia="Book Antiqua" w:cs="Book Antiqua"/>
          <w:szCs w:val="26"/>
        </w:rPr>
        <w:t>There is some</w:t>
      </w:r>
      <w:r w:rsidRPr="00470269" w:rsidR="008D545F">
        <w:rPr>
          <w:rFonts w:eastAsia="Book Antiqua" w:cs="Book Antiqua"/>
          <w:szCs w:val="26"/>
        </w:rPr>
        <w:t xml:space="preserve"> guidance </w:t>
      </w:r>
      <w:r w:rsidRPr="00470269">
        <w:rPr>
          <w:rFonts w:eastAsia="Book Antiqua" w:cs="Book Antiqua"/>
          <w:szCs w:val="26"/>
        </w:rPr>
        <w:t>in</w:t>
      </w:r>
      <w:r w:rsidRPr="00470269" w:rsidR="008D545F">
        <w:rPr>
          <w:rFonts w:eastAsia="Book Antiqua" w:cs="Book Antiqua"/>
          <w:szCs w:val="26"/>
        </w:rPr>
        <w:t xml:space="preserve"> § 854(e), to avoid adverse consequences of the transaction if an alternative to capturing savings can be found. </w:t>
      </w:r>
      <w:r w:rsidRPr="00470269" w:rsidR="00F448F7">
        <w:rPr>
          <w:rFonts w:eastAsia="Book Antiqua" w:cs="Book Antiqua"/>
          <w:szCs w:val="26"/>
        </w:rPr>
        <w:t xml:space="preserve"> </w:t>
      </w:r>
      <w:r w:rsidRPr="00470269" w:rsidR="00B53513">
        <w:rPr>
          <w:rFonts w:eastAsia="Book Antiqua" w:cs="Book Antiqua"/>
          <w:szCs w:val="26"/>
        </w:rPr>
        <w:t xml:space="preserve">No parties, including </w:t>
      </w:r>
      <w:r w:rsidRPr="00470269" w:rsidR="00B53513">
        <w:t>t</w:t>
      </w:r>
      <w:r w:rsidRPr="00470269" w:rsidR="008D545F">
        <w:t>he Public Advocates Office</w:t>
      </w:r>
      <w:r w:rsidRPr="00470269" w:rsidR="00B53513">
        <w:t>,</w:t>
      </w:r>
      <w:r w:rsidRPr="00470269" w:rsidR="008D545F">
        <w:t xml:space="preserve"> </w:t>
      </w:r>
      <w:r w:rsidRPr="00470269" w:rsidR="00B53513">
        <w:t>proposed</w:t>
      </w:r>
      <w:r w:rsidRPr="00470269" w:rsidR="008D545F">
        <w:t xml:space="preserve"> an</w:t>
      </w:r>
      <w:r w:rsidRPr="00470269" w:rsidR="00B53513">
        <w:t>y</w:t>
      </w:r>
      <w:r w:rsidRPr="00470269" w:rsidR="008D545F">
        <w:t xml:space="preserve"> alternate allocation recommendation</w:t>
      </w:r>
      <w:r w:rsidRPr="00470269" w:rsidR="00B53513">
        <w:t>.</w:t>
      </w:r>
      <w:r w:rsidRPr="00470269" w:rsidR="00F448F7">
        <w:t xml:space="preserve"> </w:t>
      </w:r>
      <w:r w:rsidRPr="00470269" w:rsidR="00B53513">
        <w:t xml:space="preserve"> N</w:t>
      </w:r>
      <w:r w:rsidRPr="00470269" w:rsidR="00DF2999">
        <w:t>evertheless</w:t>
      </w:r>
      <w:r w:rsidRPr="00470269" w:rsidR="00B53513">
        <w:t>, the Public Advocates Office</w:t>
      </w:r>
      <w:r w:rsidRPr="00470269" w:rsidR="00DF2999">
        <w:t xml:space="preserve"> </w:t>
      </w:r>
      <w:r w:rsidRPr="00470269" w:rsidR="008D545F">
        <w:t>maintain</w:t>
      </w:r>
      <w:r w:rsidRPr="00470269" w:rsidR="00DF2999">
        <w:t>ed</w:t>
      </w:r>
      <w:r w:rsidRPr="00470269" w:rsidR="008D545F">
        <w:t xml:space="preserve"> the transaction</w:t>
      </w:r>
      <w:r w:rsidRPr="00470269" w:rsidR="001B3D13">
        <w:t>,</w:t>
      </w:r>
      <w:r w:rsidRPr="00470269" w:rsidR="008D545F">
        <w:t xml:space="preserve"> as proposed</w:t>
      </w:r>
      <w:r w:rsidRPr="00470269" w:rsidR="001B3D13">
        <w:t>,</w:t>
      </w:r>
      <w:r w:rsidRPr="00470269" w:rsidR="008D545F">
        <w:t xml:space="preserve"> is unfair</w:t>
      </w:r>
      <w:r w:rsidRPr="00470269" w:rsidR="00DF2999">
        <w:t>,</w:t>
      </w:r>
      <w:r w:rsidRPr="00470269" w:rsidR="00762C4B">
        <w:t xml:space="preserve"> primarily</w:t>
      </w:r>
      <w:r w:rsidRPr="00470269" w:rsidR="008D545F">
        <w:t xml:space="preserve"> to the </w:t>
      </w:r>
      <w:r w:rsidRPr="00470269" w:rsidR="008D304C">
        <w:t>Cal-Am</w:t>
      </w:r>
      <w:r w:rsidRPr="00470269" w:rsidR="001B3D13">
        <w:t>’s</w:t>
      </w:r>
      <w:r w:rsidRPr="00470269" w:rsidR="00496FF7">
        <w:t xml:space="preserve"> </w:t>
      </w:r>
      <w:r w:rsidRPr="00470269" w:rsidR="008D545F">
        <w:t>ratepayers</w:t>
      </w:r>
      <w:r w:rsidRPr="00470269" w:rsidR="00DF2999">
        <w:t>,</w:t>
      </w:r>
      <w:r w:rsidRPr="00470269" w:rsidR="008D545F">
        <w:t xml:space="preserve"> in districts other than the newly </w:t>
      </w:r>
      <w:r w:rsidRPr="00470269" w:rsidR="00762C4B">
        <w:t>consolidated</w:t>
      </w:r>
      <w:r w:rsidRPr="00470269" w:rsidR="008D545F">
        <w:t xml:space="preserve"> district.</w:t>
      </w:r>
      <w:r w:rsidRPr="00470269" w:rsidR="008D545F">
        <w:rPr>
          <w:rStyle w:val="FootnoteReference"/>
        </w:rPr>
        <w:footnoteReference w:id="59"/>
      </w:r>
      <w:r w:rsidRPr="00470269" w:rsidR="008D545F">
        <w:t xml:space="preserve"> </w:t>
      </w:r>
      <w:r w:rsidR="00212FF2">
        <w:rPr>
          <w:rFonts w:ascii="Book Antiqua" w:hAnsi="Book Antiqua"/>
        </w:rPr>
        <w:t xml:space="preserve">Moving the allocation decision closer to the time when new rates will take effect, and better estimates can be made, enhances the </w:t>
      </w:r>
      <w:r w:rsidR="00C42DB9">
        <w:rPr>
          <w:rFonts w:ascii="Book Antiqua" w:hAnsi="Book Antiqua"/>
        </w:rPr>
        <w:t>prospect</w:t>
      </w:r>
      <w:r w:rsidR="00212FF2">
        <w:rPr>
          <w:rFonts w:ascii="Book Antiqua" w:hAnsi="Book Antiqua"/>
        </w:rPr>
        <w:t xml:space="preserve"> of understanding rate impacts and apportioning impacts most fairly.</w:t>
      </w:r>
    </w:p>
    <w:p w:rsidRPr="00470269" w:rsidR="001B3D13" w:rsidP="00DF2999" w:rsidRDefault="00573C7F" w14:paraId="6FD08BA6" w14:textId="5CFAE1D6">
      <w:pPr>
        <w:pStyle w:val="Standard"/>
        <w:rPr>
          <w:rFonts w:eastAsia="Book Antiqua" w:cs="Book Antiqua"/>
          <w:szCs w:val="26"/>
        </w:rPr>
      </w:pPr>
      <w:r w:rsidRPr="00470269">
        <w:t xml:space="preserve">In the absence of a viable alternative analysis now, </w:t>
      </w:r>
      <w:r w:rsidRPr="00470269" w:rsidR="003726B1">
        <w:t xml:space="preserve">we defer </w:t>
      </w:r>
      <w:r w:rsidRPr="00470269">
        <w:t xml:space="preserve">addressing the allocation and its rate impacts </w:t>
      </w:r>
      <w:r w:rsidRPr="00470269" w:rsidR="003726B1">
        <w:t>to</w:t>
      </w:r>
      <w:r w:rsidRPr="00470269">
        <w:t xml:space="preserve"> the </w:t>
      </w:r>
      <w:r w:rsidRPr="00470269" w:rsidR="00CB4ECE">
        <w:rPr>
          <w:rFonts w:eastAsia="Book Antiqua"/>
        </w:rPr>
        <w:t>next GRC, where the outcome of the district reorganization will be known</w:t>
      </w:r>
      <w:r w:rsidRPr="00470269" w:rsidR="003726B1">
        <w:rPr>
          <w:rFonts w:eastAsia="Book Antiqua"/>
        </w:rPr>
        <w:t xml:space="preserve">. </w:t>
      </w:r>
      <w:r w:rsidRPr="00470269" w:rsidR="00F448F7">
        <w:rPr>
          <w:rFonts w:eastAsia="Book Antiqua"/>
        </w:rPr>
        <w:t xml:space="preserve"> </w:t>
      </w:r>
      <w:r w:rsidRPr="00470269" w:rsidR="003726B1">
        <w:rPr>
          <w:rFonts w:eastAsia="Book Antiqua"/>
        </w:rPr>
        <w:t>At that time,</w:t>
      </w:r>
      <w:r w:rsidRPr="00470269" w:rsidR="00CB4ECE">
        <w:rPr>
          <w:rFonts w:eastAsia="Book Antiqua"/>
        </w:rPr>
        <w:t xml:space="preserve"> </w:t>
      </w:r>
      <w:r w:rsidRPr="00470269" w:rsidR="00DB7AC3">
        <w:rPr>
          <w:rFonts w:eastAsia="Book Antiqua"/>
        </w:rPr>
        <w:t xml:space="preserve">Cal-Am and the </w:t>
      </w:r>
      <w:r w:rsidRPr="00470269" w:rsidR="00DB7AC3">
        <w:rPr>
          <w:rFonts w:eastAsia="Book Antiqua" w:cs="Book Antiqua"/>
          <w:szCs w:val="26"/>
        </w:rPr>
        <w:t xml:space="preserve">Public Advocates Office will have an opportunity to </w:t>
      </w:r>
      <w:r w:rsidRPr="00470269" w:rsidR="00FE444C">
        <w:rPr>
          <w:rFonts w:eastAsia="Book Antiqua" w:cs="Book Antiqua"/>
          <w:szCs w:val="26"/>
        </w:rPr>
        <w:t xml:space="preserve">fully analyze the correct basis for setting rates in </w:t>
      </w:r>
      <w:proofErr w:type="gramStart"/>
      <w:r w:rsidRPr="00470269" w:rsidR="00FE444C">
        <w:rPr>
          <w:rFonts w:eastAsia="Book Antiqua" w:cs="Book Antiqua"/>
          <w:szCs w:val="26"/>
        </w:rPr>
        <w:t>all of</w:t>
      </w:r>
      <w:proofErr w:type="gramEnd"/>
      <w:r w:rsidRPr="00470269" w:rsidR="00FE444C">
        <w:rPr>
          <w:rFonts w:eastAsia="Book Antiqua" w:cs="Book Antiqua"/>
          <w:szCs w:val="26"/>
        </w:rPr>
        <w:t xml:space="preserve"> </w:t>
      </w:r>
      <w:r w:rsidRPr="00470269" w:rsidR="0073013C">
        <w:rPr>
          <w:rFonts w:eastAsia="Book Antiqua" w:cs="Book Antiqua"/>
          <w:szCs w:val="26"/>
        </w:rPr>
        <w:t>Cal-Am</w:t>
      </w:r>
      <w:r w:rsidRPr="00470269" w:rsidR="0093346F">
        <w:rPr>
          <w:rFonts w:eastAsia="Book Antiqua" w:cs="Book Antiqua"/>
          <w:szCs w:val="26"/>
        </w:rPr>
        <w:t>’</w:t>
      </w:r>
      <w:r w:rsidRPr="00470269" w:rsidR="0073013C">
        <w:rPr>
          <w:rFonts w:eastAsia="Book Antiqua" w:cs="Book Antiqua"/>
          <w:szCs w:val="26"/>
        </w:rPr>
        <w:t>s</w:t>
      </w:r>
      <w:r w:rsidRPr="00470269" w:rsidR="00FE444C">
        <w:rPr>
          <w:rFonts w:eastAsia="Book Antiqua" w:cs="Book Antiqua"/>
          <w:szCs w:val="26"/>
        </w:rPr>
        <w:t xml:space="preserve"> districts including the </w:t>
      </w:r>
      <w:r w:rsidRPr="00470269" w:rsidR="00B330F0">
        <w:rPr>
          <w:rFonts w:eastAsia="Book Antiqua" w:cs="Book Antiqua"/>
          <w:szCs w:val="26"/>
        </w:rPr>
        <w:t xml:space="preserve">possible </w:t>
      </w:r>
      <w:r w:rsidRPr="00470269" w:rsidR="002402D5">
        <w:rPr>
          <w:rFonts w:eastAsia="Book Antiqua" w:cs="Book Antiqua"/>
          <w:szCs w:val="26"/>
        </w:rPr>
        <w:t>new Southern</w:t>
      </w:r>
      <w:r w:rsidRPr="00470269" w:rsidR="00180307">
        <w:rPr>
          <w:rFonts w:eastAsia="Book Antiqua" w:cs="Book Antiqua"/>
          <w:szCs w:val="26"/>
        </w:rPr>
        <w:t xml:space="preserve"> </w:t>
      </w:r>
      <w:r w:rsidR="00046162">
        <w:rPr>
          <w:rFonts w:eastAsia="Book Antiqua" w:cs="Book Antiqua"/>
          <w:szCs w:val="26"/>
        </w:rPr>
        <w:t>D</w:t>
      </w:r>
      <w:r w:rsidRPr="00470269" w:rsidR="00FE444C">
        <w:rPr>
          <w:rFonts w:eastAsia="Book Antiqua" w:cs="Book Antiqua"/>
          <w:szCs w:val="26"/>
        </w:rPr>
        <w:t xml:space="preserve">istrict which will include the former East Pasadena customers. </w:t>
      </w:r>
    </w:p>
    <w:p w:rsidRPr="00470269" w:rsidR="007961E5" w:rsidP="00DF2999" w:rsidRDefault="00FE444C" w14:paraId="62B57B92" w14:textId="2A93140A">
      <w:pPr>
        <w:pStyle w:val="Standard"/>
        <w:rPr>
          <w:rFonts w:eastAsia="Book Antiqua" w:cs="Book Antiqua"/>
          <w:szCs w:val="26"/>
        </w:rPr>
      </w:pPr>
      <w:r w:rsidRPr="00470269">
        <w:rPr>
          <w:rFonts w:eastAsia="Book Antiqua" w:cs="Book Antiqua"/>
          <w:szCs w:val="26"/>
        </w:rPr>
        <w:t>The</w:t>
      </w:r>
      <w:r w:rsidRPr="00470269" w:rsidR="0073013C">
        <w:rPr>
          <w:rFonts w:eastAsia="Book Antiqua" w:cs="Book Antiqua"/>
          <w:szCs w:val="26"/>
        </w:rPr>
        <w:t xml:space="preserve"> East Pasadena</w:t>
      </w:r>
      <w:r w:rsidRPr="00470269">
        <w:rPr>
          <w:rFonts w:eastAsia="Book Antiqua" w:cs="Book Antiqua"/>
          <w:szCs w:val="26"/>
        </w:rPr>
        <w:t xml:space="preserve"> customers continue to be served at present rates</w:t>
      </w:r>
      <w:r w:rsidRPr="00470269" w:rsidR="00D85F79">
        <w:rPr>
          <w:rFonts w:eastAsia="Book Antiqua" w:cs="Book Antiqua"/>
          <w:szCs w:val="26"/>
        </w:rPr>
        <w:t>, subject to the same interim attrition rate adjustments that would have been available to East Pasaden</w:t>
      </w:r>
      <w:r w:rsidRPr="00470269" w:rsidR="00DD6D19">
        <w:rPr>
          <w:rFonts w:eastAsia="Book Antiqua" w:cs="Book Antiqua"/>
          <w:szCs w:val="26"/>
        </w:rPr>
        <w:t>a</w:t>
      </w:r>
      <w:r w:rsidRPr="00470269">
        <w:rPr>
          <w:rFonts w:eastAsia="Book Antiqua" w:cs="Book Antiqua"/>
          <w:szCs w:val="26"/>
        </w:rPr>
        <w:t xml:space="preserve"> </w:t>
      </w:r>
      <w:r w:rsidRPr="00470269" w:rsidR="0073013C">
        <w:rPr>
          <w:rFonts w:eastAsia="Book Antiqua" w:cs="Book Antiqua"/>
          <w:szCs w:val="26"/>
        </w:rPr>
        <w:t xml:space="preserve">under the current </w:t>
      </w:r>
      <w:proofErr w:type="spellStart"/>
      <w:r w:rsidRPr="00470269" w:rsidR="0073013C">
        <w:rPr>
          <w:rFonts w:eastAsia="Book Antiqua" w:cs="Book Antiqua"/>
          <w:szCs w:val="26"/>
        </w:rPr>
        <w:t>ratesetting</w:t>
      </w:r>
      <w:proofErr w:type="spellEnd"/>
      <w:r w:rsidRPr="00470269" w:rsidR="0073013C">
        <w:rPr>
          <w:rFonts w:eastAsia="Book Antiqua" w:cs="Book Antiqua"/>
          <w:szCs w:val="26"/>
        </w:rPr>
        <w:t xml:space="preserve"> regime, until there is a decision in the next GRC</w:t>
      </w:r>
      <w:r w:rsidRPr="00470269" w:rsidR="00DD6D19">
        <w:rPr>
          <w:rFonts w:eastAsia="Book Antiqua" w:cs="Book Antiqua"/>
          <w:szCs w:val="26"/>
        </w:rPr>
        <w:t xml:space="preserve"> where Cal-Am will have East Pasadena consolidated into its overall operations</w:t>
      </w:r>
      <w:r w:rsidRPr="00470269" w:rsidR="0073013C">
        <w:rPr>
          <w:rFonts w:eastAsia="Book Antiqua" w:cs="Book Antiqua"/>
          <w:szCs w:val="26"/>
        </w:rPr>
        <w:t xml:space="preserve">.  </w:t>
      </w:r>
      <w:r w:rsidRPr="00470269">
        <w:rPr>
          <w:rFonts w:eastAsia="Book Antiqua" w:cs="Book Antiqua"/>
          <w:szCs w:val="26"/>
        </w:rPr>
        <w:t xml:space="preserve">  </w:t>
      </w:r>
    </w:p>
    <w:p w:rsidRPr="00470269" w:rsidR="00301940" w:rsidP="00DF2999" w:rsidRDefault="00925442" w14:paraId="58A02A6F" w14:textId="1FB6C090">
      <w:pPr>
        <w:pStyle w:val="Standard"/>
        <w:rPr>
          <w:rFonts w:eastAsia="Book Antiqua" w:cs="Book Antiqua"/>
          <w:szCs w:val="26"/>
        </w:rPr>
      </w:pPr>
      <w:r w:rsidRPr="00470269">
        <w:rPr>
          <w:rFonts w:eastAsia="Book Antiqua" w:cs="Book Antiqua"/>
          <w:szCs w:val="26"/>
        </w:rPr>
        <w:t>By deferring this issue to the 2024 GRC</w:t>
      </w:r>
      <w:r w:rsidRPr="00470269" w:rsidR="001B3D13">
        <w:rPr>
          <w:rFonts w:eastAsia="Book Antiqua" w:cs="Book Antiqua"/>
          <w:szCs w:val="26"/>
        </w:rPr>
        <w:t>,</w:t>
      </w:r>
      <w:r w:rsidRPr="00470269">
        <w:rPr>
          <w:rFonts w:eastAsia="Book Antiqua" w:cs="Book Antiqua"/>
          <w:szCs w:val="26"/>
        </w:rPr>
        <w:t xml:space="preserve"> we can also have the parties examine in depth the question of how to address the long-term ratemaking </w:t>
      </w:r>
      <w:r w:rsidRPr="00470269">
        <w:rPr>
          <w:rFonts w:eastAsia="Book Antiqua" w:cs="Book Antiqua"/>
          <w:szCs w:val="26"/>
        </w:rPr>
        <w:lastRenderedPageBreak/>
        <w:t xml:space="preserve">consequences of the </w:t>
      </w:r>
      <w:r w:rsidRPr="00470269" w:rsidR="00A72739">
        <w:rPr>
          <w:rFonts w:eastAsia="Book Antiqua" w:cs="Book Antiqua"/>
          <w:szCs w:val="26"/>
        </w:rPr>
        <w:t xml:space="preserve">intangible assets </w:t>
      </w:r>
      <w:r w:rsidRPr="00470269">
        <w:rPr>
          <w:rFonts w:eastAsia="Book Antiqua" w:cs="Book Antiqua"/>
          <w:szCs w:val="26"/>
        </w:rPr>
        <w:t xml:space="preserve">acquired </w:t>
      </w:r>
      <w:r w:rsidRPr="00470269" w:rsidR="00A72739">
        <w:rPr>
          <w:rFonts w:eastAsia="Book Antiqua" w:cs="Book Antiqua"/>
          <w:szCs w:val="26"/>
        </w:rPr>
        <w:t>by Cal-Am including the water rights held by East Pasadena before the sale.</w:t>
      </w:r>
      <w:r w:rsidRPr="00470269" w:rsidR="00F448F7">
        <w:rPr>
          <w:rFonts w:eastAsia="Book Antiqua" w:cs="Book Antiqua"/>
          <w:szCs w:val="26"/>
        </w:rPr>
        <w:t xml:space="preserve"> </w:t>
      </w:r>
      <w:r w:rsidRPr="00470269" w:rsidR="00A72739">
        <w:rPr>
          <w:rFonts w:eastAsia="Book Antiqua" w:cs="Book Antiqua"/>
          <w:szCs w:val="26"/>
        </w:rPr>
        <w:t xml:space="preserve"> East Pasadena did not have a value on these rights in its current rate base. Cal-Am, however </w:t>
      </w:r>
      <w:r w:rsidRPr="00470269" w:rsidR="00B86ED4">
        <w:rPr>
          <w:rFonts w:eastAsia="Book Antiqua" w:cs="Book Antiqua"/>
          <w:szCs w:val="26"/>
        </w:rPr>
        <w:t>asserted that 62</w:t>
      </w:r>
      <w:r w:rsidR="00697336">
        <w:rPr>
          <w:rFonts w:eastAsia="Book Antiqua" w:cs="Book Antiqua"/>
          <w:szCs w:val="26"/>
        </w:rPr>
        <w:t xml:space="preserve"> percent</w:t>
      </w:r>
      <w:r w:rsidRPr="00470269" w:rsidR="00B86ED4">
        <w:rPr>
          <w:rFonts w:eastAsia="Book Antiqua" w:cs="Book Antiqua"/>
          <w:szCs w:val="26"/>
        </w:rPr>
        <w:t xml:space="preserve"> of the value should be allocated </w:t>
      </w:r>
      <w:r w:rsidRPr="00470269" w:rsidR="0062721E">
        <w:rPr>
          <w:rFonts w:eastAsia="Book Antiqua" w:cs="Book Antiqua"/>
          <w:szCs w:val="26"/>
        </w:rPr>
        <w:t xml:space="preserve">“non-depreciable” assets, i.e., intangible assets which would include water rights. </w:t>
      </w:r>
      <w:r w:rsidRPr="00470269" w:rsidR="00985518">
        <w:rPr>
          <w:rFonts w:eastAsia="Book Antiqua" w:cs="Book Antiqua"/>
          <w:szCs w:val="26"/>
        </w:rPr>
        <w:t xml:space="preserve">The Public Advocates Office </w:t>
      </w:r>
      <w:r w:rsidRPr="00470269" w:rsidR="000A699C">
        <w:rPr>
          <w:rFonts w:eastAsia="Book Antiqua" w:cs="Book Antiqua"/>
          <w:szCs w:val="26"/>
        </w:rPr>
        <w:t>offered a different valu</w:t>
      </w:r>
      <w:r w:rsidRPr="00470269" w:rsidR="00F3096F">
        <w:rPr>
          <w:rFonts w:eastAsia="Book Antiqua" w:cs="Book Antiqua"/>
          <w:szCs w:val="26"/>
        </w:rPr>
        <w:t xml:space="preserve">ation. </w:t>
      </w:r>
      <w:r w:rsidR="008D4562">
        <w:rPr>
          <w:rFonts w:eastAsia="Book Antiqua" w:cs="Book Antiqua"/>
          <w:szCs w:val="26"/>
        </w:rPr>
        <w:t xml:space="preserve"> </w:t>
      </w:r>
      <w:r w:rsidR="00693984">
        <w:rPr>
          <w:rFonts w:eastAsia="Book Antiqua" w:cs="Book Antiqua"/>
          <w:szCs w:val="26"/>
        </w:rPr>
        <w:t xml:space="preserve">In </w:t>
      </w:r>
      <w:r w:rsidR="008D4562">
        <w:rPr>
          <w:rFonts w:eastAsia="Book Antiqua" w:cs="Book Antiqua"/>
          <w:szCs w:val="26"/>
        </w:rPr>
        <w:t xml:space="preserve">its </w:t>
      </w:r>
      <w:r w:rsidR="00693984">
        <w:rPr>
          <w:rFonts w:eastAsia="Book Antiqua" w:cs="Book Antiqua"/>
          <w:szCs w:val="26"/>
        </w:rPr>
        <w:t xml:space="preserve">opening comments on the proposed decision, Cal-Am requested </w:t>
      </w:r>
      <w:proofErr w:type="gramStart"/>
      <w:r w:rsidR="00693984">
        <w:rPr>
          <w:rFonts w:eastAsia="Book Antiqua" w:cs="Book Antiqua"/>
          <w:szCs w:val="26"/>
        </w:rPr>
        <w:t>the Commission resolve now</w:t>
      </w:r>
      <w:proofErr w:type="gramEnd"/>
      <w:r w:rsidR="00693984">
        <w:rPr>
          <w:rFonts w:eastAsia="Book Antiqua" w:cs="Book Antiqua"/>
          <w:szCs w:val="26"/>
        </w:rPr>
        <w:t xml:space="preserve"> the ratemaking treatment of water rights to give the company certainty and clarity, and characterized the water rights issue as one of “outsized importance.” </w:t>
      </w:r>
      <w:r w:rsidR="00FD59AB">
        <w:rPr>
          <w:rFonts w:eastAsia="Book Antiqua" w:cs="Book Antiqua"/>
          <w:szCs w:val="26"/>
        </w:rPr>
        <w:t xml:space="preserve"> </w:t>
      </w:r>
      <w:r w:rsidR="00693984">
        <w:rPr>
          <w:rFonts w:eastAsia="Book Antiqua" w:cs="Book Antiqua"/>
          <w:szCs w:val="26"/>
        </w:rPr>
        <w:t xml:space="preserve">We agree with this characterization. </w:t>
      </w:r>
      <w:r w:rsidR="00FD7F3B">
        <w:rPr>
          <w:rFonts w:eastAsia="Book Antiqua" w:cs="Book Antiqua"/>
          <w:szCs w:val="26"/>
        </w:rPr>
        <w:t xml:space="preserve"> </w:t>
      </w:r>
      <w:r w:rsidR="00693984">
        <w:rPr>
          <w:rFonts w:eastAsia="Book Antiqua" w:cs="Book Antiqua"/>
          <w:szCs w:val="26"/>
        </w:rPr>
        <w:t>Precisely for this reason</w:t>
      </w:r>
      <w:r w:rsidR="00FD7F3B">
        <w:rPr>
          <w:rFonts w:eastAsia="Book Antiqua" w:cs="Book Antiqua"/>
          <w:szCs w:val="26"/>
        </w:rPr>
        <w:t>,</w:t>
      </w:r>
      <w:r w:rsidR="00693984">
        <w:rPr>
          <w:rFonts w:eastAsia="Book Antiqua" w:cs="Book Antiqua"/>
          <w:szCs w:val="26"/>
        </w:rPr>
        <w:t xml:space="preserve"> we require the examination of the ratemaking treatment of water rights within the overall context of Cal-Am operations, during Cal-Am’s next GRC. </w:t>
      </w:r>
    </w:p>
    <w:p w:rsidRPr="00470269" w:rsidR="00925442" w:rsidP="00DF2999" w:rsidRDefault="00301940" w14:paraId="05CE981A" w14:textId="1BD478A5">
      <w:pPr>
        <w:pStyle w:val="Standard"/>
        <w:rPr>
          <w:rFonts w:eastAsia="Book Antiqua"/>
        </w:rPr>
      </w:pPr>
      <w:r w:rsidRPr="00470269">
        <w:rPr>
          <w:rFonts w:eastAsia="Book Antiqua" w:cs="Book Antiqua"/>
          <w:szCs w:val="26"/>
        </w:rPr>
        <w:t xml:space="preserve">Based on the foregoing, </w:t>
      </w:r>
      <w:bookmarkStart w:name="_Hlk72342044" w:id="89"/>
      <w:r w:rsidRPr="00470269">
        <w:rPr>
          <w:rFonts w:eastAsia="Book Antiqua" w:cs="Book Antiqua"/>
          <w:szCs w:val="26"/>
        </w:rPr>
        <w:t>i</w:t>
      </w:r>
      <w:r w:rsidRPr="00470269" w:rsidR="00F3096F">
        <w:rPr>
          <w:rFonts w:eastAsia="Book Antiqua" w:cs="Book Antiqua"/>
          <w:szCs w:val="26"/>
        </w:rPr>
        <w:t xml:space="preserve">t is reasonable to direct the parties to address the long-term ratemaking </w:t>
      </w:r>
      <w:r w:rsidRPr="00470269" w:rsidR="00061385">
        <w:rPr>
          <w:rFonts w:eastAsia="Book Antiqua" w:cs="Book Antiqua"/>
          <w:szCs w:val="26"/>
        </w:rPr>
        <w:t xml:space="preserve">options and </w:t>
      </w:r>
      <w:r w:rsidRPr="00470269" w:rsidR="00F3096F">
        <w:rPr>
          <w:rFonts w:eastAsia="Book Antiqua" w:cs="Book Antiqua"/>
          <w:szCs w:val="26"/>
        </w:rPr>
        <w:t>consequences of the intangible assets in the 2024 GRC.</w:t>
      </w:r>
    </w:p>
    <w:p w:rsidRPr="00054EB4" w:rsidR="00963EAF" w:rsidP="00506E52" w:rsidRDefault="00D42D9D" w14:paraId="40EE09D6" w14:textId="0522AC39">
      <w:pPr>
        <w:pStyle w:val="Heading2"/>
      </w:pPr>
      <w:bookmarkStart w:name="_Toc72748075" w:id="90"/>
      <w:bookmarkStart w:name="_Toc76995769" w:id="91"/>
      <w:bookmarkEnd w:id="89"/>
      <w:r w:rsidRPr="00054EB4">
        <w:t xml:space="preserve">Operational </w:t>
      </w:r>
      <w:r w:rsidRPr="00054EB4" w:rsidR="007961E5">
        <w:t>Consolid</w:t>
      </w:r>
      <w:r w:rsidRPr="00054EB4" w:rsidR="00266CF3">
        <w:t xml:space="preserve">ation of </w:t>
      </w:r>
      <w:r w:rsidRPr="00054EB4" w:rsidR="00963EAF">
        <w:t xml:space="preserve">East </w:t>
      </w:r>
      <w:r w:rsidR="00506E52">
        <w:br/>
      </w:r>
      <w:r w:rsidRPr="00054EB4" w:rsidR="00963EAF">
        <w:t xml:space="preserve">Pasadena </w:t>
      </w:r>
      <w:r w:rsidRPr="00054EB4" w:rsidR="00266CF3">
        <w:t>S</w:t>
      </w:r>
      <w:r w:rsidRPr="00054EB4" w:rsidR="00963EAF">
        <w:t>ervice</w:t>
      </w:r>
      <w:r w:rsidR="00506E52">
        <w:t xml:space="preserve"> </w:t>
      </w:r>
      <w:r w:rsidRPr="00054EB4" w:rsidR="00266CF3">
        <w:t>A</w:t>
      </w:r>
      <w:r w:rsidRPr="00054EB4" w:rsidR="00963EAF">
        <w:t>rea with Cal</w:t>
      </w:r>
      <w:r w:rsidR="00F448F7">
        <w:noBreakHyphen/>
      </w:r>
      <w:r w:rsidRPr="00054EB4" w:rsidR="00963EAF">
        <w:t xml:space="preserve">Am’s </w:t>
      </w:r>
      <w:r w:rsidR="00506E52">
        <w:br/>
      </w:r>
      <w:r w:rsidRPr="00054EB4" w:rsidR="00266CF3">
        <w:t>E</w:t>
      </w:r>
      <w:r w:rsidRPr="00054EB4" w:rsidR="00963EAF">
        <w:t xml:space="preserve">xisting </w:t>
      </w:r>
      <w:r w:rsidRPr="00054EB4" w:rsidR="00266CF3">
        <w:t>S</w:t>
      </w:r>
      <w:r w:rsidRPr="00054EB4" w:rsidR="00963EAF">
        <w:t xml:space="preserve">ervice </w:t>
      </w:r>
      <w:r w:rsidRPr="00054EB4" w:rsidR="00266CF3">
        <w:t>A</w:t>
      </w:r>
      <w:r w:rsidRPr="00054EB4" w:rsidR="00963EAF">
        <w:t>rea</w:t>
      </w:r>
      <w:bookmarkEnd w:id="90"/>
      <w:bookmarkEnd w:id="91"/>
    </w:p>
    <w:p w:rsidRPr="00470269" w:rsidR="00963EAF" w:rsidP="00470269" w:rsidRDefault="008D304C" w14:paraId="06FC2AAA" w14:textId="0AA1D286">
      <w:pPr>
        <w:pStyle w:val="Standard"/>
      </w:pPr>
      <w:bookmarkStart w:name="_Hlk72342228" w:id="92"/>
      <w:r w:rsidRPr="00470269">
        <w:t>Cal-Am</w:t>
      </w:r>
      <w:r w:rsidRPr="00470269" w:rsidR="00DB7AC3">
        <w:t xml:space="preserve"> </w:t>
      </w:r>
      <w:r w:rsidRPr="00470269" w:rsidR="00963EAF">
        <w:t>propose</w:t>
      </w:r>
      <w:r w:rsidRPr="00470269" w:rsidR="00617023">
        <w:t>d</w:t>
      </w:r>
      <w:r w:rsidRPr="00470269" w:rsidR="00963EAF">
        <w:t xml:space="preserve"> </w:t>
      </w:r>
      <w:r w:rsidRPr="00470269" w:rsidR="00B330F0">
        <w:t xml:space="preserve">an </w:t>
      </w:r>
      <w:r w:rsidRPr="00470269" w:rsidR="00963EAF">
        <w:t>immediate consolidation of the East Pasadena service area with Cal</w:t>
      </w:r>
      <w:r w:rsidRPr="00470269" w:rsidR="00B330F0">
        <w:t>-</w:t>
      </w:r>
      <w:r w:rsidRPr="00470269" w:rsidR="00963EAF">
        <w:t xml:space="preserve">Am’s existing service area for operational purposes. </w:t>
      </w:r>
      <w:r w:rsidRPr="00470269" w:rsidR="00F448F7">
        <w:t xml:space="preserve"> </w:t>
      </w:r>
      <w:r w:rsidRPr="00470269" w:rsidR="00D42D9D">
        <w:t>However, f</w:t>
      </w:r>
      <w:r w:rsidRPr="00470269" w:rsidR="00963EAF">
        <w:t xml:space="preserve">or ratemaking purposes, </w:t>
      </w:r>
      <w:r w:rsidRPr="00470269">
        <w:t>Cal-Am</w:t>
      </w:r>
      <w:r w:rsidRPr="00470269" w:rsidR="00D42D9D">
        <w:t xml:space="preserve"> </w:t>
      </w:r>
      <w:r w:rsidRPr="00470269" w:rsidR="00963EAF">
        <w:t>propose</w:t>
      </w:r>
      <w:r w:rsidRPr="00470269" w:rsidR="00617023">
        <w:t>d</w:t>
      </w:r>
      <w:r w:rsidRPr="00470269" w:rsidR="00963EAF">
        <w:t xml:space="preserve"> postponing consolidation until the implementation of </w:t>
      </w:r>
      <w:r w:rsidRPr="00470269" w:rsidR="00B330F0">
        <w:t>it</w:t>
      </w:r>
      <w:r w:rsidRPr="00470269" w:rsidR="00963EAF">
        <w:t xml:space="preserve">s 2024 </w:t>
      </w:r>
      <w:r w:rsidRPr="00470269" w:rsidR="002372F4">
        <w:t>GRC</w:t>
      </w:r>
      <w:r w:rsidRPr="00470269" w:rsidR="00963EAF">
        <w:t xml:space="preserve">. </w:t>
      </w:r>
    </w:p>
    <w:bookmarkEnd w:id="92"/>
    <w:p w:rsidRPr="00470269" w:rsidR="00963EAF" w:rsidP="00470269" w:rsidRDefault="00963EAF" w14:paraId="12FD8005" w14:textId="160F6FB8">
      <w:pPr>
        <w:pStyle w:val="Standard"/>
      </w:pPr>
      <w:r w:rsidRPr="00470269">
        <w:t>The Public Advocates Office d</w:t>
      </w:r>
      <w:r w:rsidRPr="00470269" w:rsidR="00B330F0">
        <w:t>id</w:t>
      </w:r>
      <w:r w:rsidRPr="00470269">
        <w:t xml:space="preserve"> not oppose </w:t>
      </w:r>
      <w:r w:rsidRPr="00470269" w:rsidR="001B3D13">
        <w:t xml:space="preserve">the proposed </w:t>
      </w:r>
      <w:r w:rsidRPr="00470269">
        <w:t xml:space="preserve">immediate consolidation for operational </w:t>
      </w:r>
      <w:r w:rsidRPr="00470269" w:rsidR="00CB1CCC">
        <w:t>purposes and</w:t>
      </w:r>
      <w:r w:rsidRPr="00470269" w:rsidR="00B330F0">
        <w:t xml:space="preserve"> </w:t>
      </w:r>
      <w:r w:rsidRPr="00470269" w:rsidR="00C60192">
        <w:t>agreed</w:t>
      </w:r>
      <w:r w:rsidRPr="00470269">
        <w:t xml:space="preserve"> the </w:t>
      </w:r>
      <w:r w:rsidRPr="00470269" w:rsidR="00943A8D">
        <w:t xml:space="preserve">operational and </w:t>
      </w:r>
      <w:r w:rsidRPr="00470269">
        <w:t xml:space="preserve">public benefits from the acquisition begin </w:t>
      </w:r>
      <w:r w:rsidRPr="00470269" w:rsidR="00617023">
        <w:t>immediately</w:t>
      </w:r>
      <w:r w:rsidRPr="00470269">
        <w:t xml:space="preserve">. </w:t>
      </w:r>
    </w:p>
    <w:p w:rsidRPr="00470269" w:rsidR="00E21214" w:rsidP="00470269" w:rsidRDefault="00963EAF" w14:paraId="29C38C92" w14:textId="37A5965D">
      <w:pPr>
        <w:pStyle w:val="Standard"/>
      </w:pPr>
      <w:r w:rsidRPr="00470269">
        <w:t xml:space="preserve">For ratemaking purposes, the Public Advocates Office </w:t>
      </w:r>
      <w:r w:rsidRPr="00470269" w:rsidR="00943A8D">
        <w:t>argued</w:t>
      </w:r>
      <w:r w:rsidRPr="00470269">
        <w:t xml:space="preserve"> </w:t>
      </w:r>
      <w:r w:rsidRPr="00470269" w:rsidR="00CB1CCC">
        <w:t>for deferring</w:t>
      </w:r>
      <w:r w:rsidRPr="00470269">
        <w:t xml:space="preserve"> consolidation for many years. </w:t>
      </w:r>
      <w:r w:rsidRPr="00470269" w:rsidR="00F448F7">
        <w:t xml:space="preserve"> </w:t>
      </w:r>
      <w:r w:rsidRPr="00470269" w:rsidR="00943A8D">
        <w:t xml:space="preserve">This is not persuasive </w:t>
      </w:r>
      <w:r w:rsidRPr="00470269" w:rsidR="008A0B6E">
        <w:t xml:space="preserve">because </w:t>
      </w:r>
      <w:r w:rsidR="006B30C3">
        <w:t xml:space="preserve">it was based on </w:t>
      </w:r>
      <w:r w:rsidRPr="00470269" w:rsidR="008A0B6E">
        <w:t xml:space="preserve">the </w:t>
      </w:r>
      <w:r w:rsidRPr="00470269">
        <w:lastRenderedPageBreak/>
        <w:t xml:space="preserve">Public Advocates Office’s </w:t>
      </w:r>
      <w:r w:rsidRPr="00470269" w:rsidR="008A0B6E">
        <w:t>erroneous</w:t>
      </w:r>
      <w:r w:rsidR="006B30C3">
        <w:t xml:space="preserve"> assertion</w:t>
      </w:r>
      <w:r w:rsidRPr="00470269" w:rsidR="008A0B6E">
        <w:t xml:space="preserve"> </w:t>
      </w:r>
      <w:r w:rsidRPr="00470269">
        <w:t xml:space="preserve">that sale proceeds should be returned to East Pasadena ratepayers. </w:t>
      </w:r>
    </w:p>
    <w:p w:rsidRPr="00470269" w:rsidR="00963EAF" w:rsidP="00470269" w:rsidRDefault="00CB1CCC" w14:paraId="22250580" w14:textId="50F48F06">
      <w:pPr>
        <w:pStyle w:val="Standard"/>
      </w:pPr>
      <w:r w:rsidRPr="00470269">
        <w:t>Ther</w:t>
      </w:r>
      <w:r w:rsidRPr="00470269" w:rsidR="004B305A">
        <w:t>e</w:t>
      </w:r>
      <w:r w:rsidRPr="00470269">
        <w:t xml:space="preserve"> is no compelling reason to defer operational </w:t>
      </w:r>
      <w:r w:rsidRPr="00470269" w:rsidR="000C6872">
        <w:t>consolidation</w:t>
      </w:r>
      <w:r w:rsidRPr="00470269" w:rsidR="00E21214">
        <w:t>; thus, we approve the proposed immediate operational consolidation</w:t>
      </w:r>
      <w:r w:rsidRPr="00470269" w:rsidR="000C6872">
        <w:t>.</w:t>
      </w:r>
      <w:r w:rsidRPr="00470269" w:rsidR="00E21214">
        <w:t xml:space="preserve"> </w:t>
      </w:r>
      <w:r w:rsidRPr="00470269" w:rsidR="00F448F7">
        <w:t xml:space="preserve"> </w:t>
      </w:r>
      <w:r w:rsidRPr="00470269" w:rsidR="00F92A2F">
        <w:t>Section</w:t>
      </w:r>
      <w:r w:rsidRPr="00470269" w:rsidR="00CA58B1">
        <w:t xml:space="preserve"> 451 requires rate changes in the context of a GRC, </w:t>
      </w:r>
      <w:r w:rsidRPr="00470269" w:rsidR="00FD20F6">
        <w:t>and as noted above</w:t>
      </w:r>
      <w:r w:rsidRPr="00470269" w:rsidR="009B1041">
        <w:t xml:space="preserve"> we defer</w:t>
      </w:r>
      <w:r w:rsidRPr="00470269" w:rsidR="00CA58B1">
        <w:t xml:space="preserve"> </w:t>
      </w:r>
      <w:r w:rsidRPr="00470269" w:rsidR="009B1041">
        <w:t>ratemaking</w:t>
      </w:r>
      <w:r w:rsidRPr="00470269" w:rsidR="00CA58B1">
        <w:t xml:space="preserve"> consolidat</w:t>
      </w:r>
      <w:r w:rsidRPr="00470269" w:rsidR="009B1041">
        <w:t>ion of</w:t>
      </w:r>
      <w:r w:rsidRPr="00470269" w:rsidR="00CA58B1">
        <w:t xml:space="preserve"> the East Pasadena service area </w:t>
      </w:r>
      <w:r w:rsidRPr="00470269" w:rsidR="009B1041">
        <w:t xml:space="preserve">to the </w:t>
      </w:r>
      <w:r w:rsidRPr="00470269" w:rsidR="00CA58B1">
        <w:t xml:space="preserve">subsequent </w:t>
      </w:r>
      <w:r w:rsidRPr="00470269" w:rsidR="009B1041">
        <w:t>Cal-Am 2024</w:t>
      </w:r>
      <w:r w:rsidRPr="00470269" w:rsidR="00CA58B1">
        <w:t xml:space="preserve"> GRC.</w:t>
      </w:r>
    </w:p>
    <w:p w:rsidRPr="00054EB4" w:rsidR="000F190E" w:rsidP="00506E52" w:rsidRDefault="000F190E" w14:paraId="00BCA9F6" w14:textId="100339EE">
      <w:pPr>
        <w:pStyle w:val="Heading2"/>
      </w:pPr>
      <w:bookmarkStart w:name="_Toc72748076" w:id="93"/>
      <w:bookmarkStart w:name="_Toc76995770" w:id="94"/>
      <w:r w:rsidRPr="00054EB4">
        <w:t xml:space="preserve">Certain </w:t>
      </w:r>
      <w:r w:rsidRPr="001A57A9">
        <w:t>Specific</w:t>
      </w:r>
      <w:r w:rsidRPr="00054EB4">
        <w:t xml:space="preserve"> Gain-On-Sale Rules </w:t>
      </w:r>
      <w:r w:rsidR="00506E52">
        <w:br/>
      </w:r>
      <w:r w:rsidRPr="00054EB4">
        <w:t xml:space="preserve">are Not Applicable to the Proposed </w:t>
      </w:r>
      <w:r w:rsidR="00506E52">
        <w:br/>
      </w:r>
      <w:r w:rsidRPr="00054EB4">
        <w:t>Transaction</w:t>
      </w:r>
      <w:bookmarkEnd w:id="93"/>
      <w:bookmarkEnd w:id="94"/>
    </w:p>
    <w:p w:rsidRPr="00470269" w:rsidR="000F190E" w:rsidP="000F190E" w:rsidRDefault="000F190E" w14:paraId="60D0EB80" w14:textId="14860B9D">
      <w:pPr>
        <w:pStyle w:val="Standard"/>
      </w:pPr>
      <w:r w:rsidRPr="00470269">
        <w:t xml:space="preserve">Under the terms of the transfer, East Pasadena will receive approximately $34 million in exchange for the East Pasadena assets used and useful to provide water service as a regulated public utility. </w:t>
      </w:r>
      <w:r w:rsidRPr="00470269" w:rsidR="00F448F7">
        <w:t xml:space="preserve"> </w:t>
      </w:r>
      <w:r w:rsidRPr="00470269">
        <w:t>For East Pasadena, the</w:t>
      </w:r>
      <w:r w:rsidR="00D77233">
        <w:t xml:space="preserve"> transaction</w:t>
      </w:r>
      <w:r w:rsidRPr="00470269">
        <w:t xml:space="preserve"> would </w:t>
      </w:r>
      <w:r w:rsidR="00D77233">
        <w:t>produce</w:t>
      </w:r>
      <w:r w:rsidRPr="00470269">
        <w:t xml:space="preserve"> a $30 million gain</w:t>
      </w:r>
      <w:r w:rsidR="00D77233">
        <w:t>-</w:t>
      </w:r>
      <w:r w:rsidRPr="00470269">
        <w:t>on</w:t>
      </w:r>
      <w:r w:rsidR="00D77233">
        <w:t>-</w:t>
      </w:r>
      <w:r w:rsidRPr="00470269">
        <w:t xml:space="preserve">sale, </w:t>
      </w:r>
      <w:r w:rsidRPr="00470269">
        <w:rPr>
          <w:i/>
          <w:iCs/>
        </w:rPr>
        <w:t>i.e.</w:t>
      </w:r>
      <w:r w:rsidRPr="00470269">
        <w:t>, the difference between its current rate base value of $4 million and the purchase price.</w:t>
      </w:r>
      <w:r w:rsidRPr="00470269" w:rsidR="00F448F7">
        <w:t xml:space="preserve"> </w:t>
      </w:r>
      <w:r w:rsidRPr="00470269">
        <w:t xml:space="preserve"> The Commission has previously established specific treatment for a gain-on-sale involving certain types of utility assets.</w:t>
      </w:r>
      <w:r w:rsidRPr="00470269">
        <w:rPr>
          <w:rStyle w:val="FootnoteReference"/>
        </w:rPr>
        <w:footnoteReference w:id="60"/>
      </w:r>
      <w:r w:rsidRPr="00470269">
        <w:t xml:space="preserve"> </w:t>
      </w:r>
    </w:p>
    <w:p w:rsidRPr="00470269" w:rsidR="000F190E" w:rsidP="000F190E" w:rsidRDefault="000F190E" w14:paraId="51990205" w14:textId="1EE447E0">
      <w:pPr>
        <w:pStyle w:val="Standard"/>
      </w:pPr>
      <w:r w:rsidRPr="00470269">
        <w:t>The Public Advocates Office argued that the gain-on</w:t>
      </w:r>
      <w:r w:rsidR="008E11C0">
        <w:t>-</w:t>
      </w:r>
      <w:r w:rsidRPr="00470269">
        <w:t>sale for this transaction should be allocated between shareholders and ratepayers in accordance</w:t>
      </w:r>
      <w:r w:rsidR="003362F8">
        <w:t xml:space="preserve"> with</w:t>
      </w:r>
      <w:r w:rsidRPr="00470269">
        <w:t xml:space="preserve"> certain prior gain-on-sale decisions, however, the cited decisions only apply to the sale of utility assets that are no longer used and useful, i.e., those assets that are not in rate base and not currently used for utility operation.</w:t>
      </w:r>
      <w:r w:rsidR="00953879">
        <w:t xml:space="preserve"> </w:t>
      </w:r>
      <w:r w:rsidRPr="00470269">
        <w:t xml:space="preserve">The Joint Applicants asked the Commission to reject the Public Advocates Office’s proposal and argued that the proposed allocation would “turn the State </w:t>
      </w:r>
      <w:r w:rsidRPr="00470269">
        <w:lastRenderedPageBreak/>
        <w:t>policy favoring consolidation of small water systems on its head.”</w:t>
      </w:r>
      <w:r w:rsidRPr="00470269">
        <w:rPr>
          <w:rStyle w:val="FootnoteReference"/>
        </w:rPr>
        <w:footnoteReference w:id="61"/>
      </w:r>
      <w:r w:rsidRPr="00470269" w:rsidR="00F448F7">
        <w:t xml:space="preserve"> </w:t>
      </w:r>
      <w:r w:rsidRPr="00470269">
        <w:t xml:space="preserve"> The Joint Applicants argued the gain-on-sale decisions cited by the Public Advocates Office did not change Commission policy which generally permitted  shareholders to retain the full proceeds when the transfer results in the total liquidation of an acquired utility operation. </w:t>
      </w:r>
      <w:r w:rsidRPr="00470269" w:rsidR="00F448F7">
        <w:t xml:space="preserve"> </w:t>
      </w:r>
      <w:r w:rsidRPr="00470269">
        <w:t xml:space="preserve">Here, the </w:t>
      </w:r>
      <w:r w:rsidR="00660260">
        <w:t>J</w:t>
      </w:r>
      <w:r w:rsidRPr="00470269">
        <w:t xml:space="preserve">oint Applicants argued, the transaction is for </w:t>
      </w:r>
      <w:proofErr w:type="gramStart"/>
      <w:r w:rsidRPr="00470269">
        <w:t>all of</w:t>
      </w:r>
      <w:proofErr w:type="gramEnd"/>
      <w:r w:rsidRPr="00470269">
        <w:t xml:space="preserve"> the used and useful water utility assets of East</w:t>
      </w:r>
      <w:r w:rsidRPr="00470269" w:rsidR="00F448F7">
        <w:t> </w:t>
      </w:r>
      <w:r w:rsidRPr="00470269">
        <w:t xml:space="preserve">Pasadena, and they would be purchased by Cal-Am and continue to be used to provide water utility service to the former customers of East Pasadena. </w:t>
      </w:r>
    </w:p>
    <w:p w:rsidRPr="00470269" w:rsidR="000F190E" w:rsidP="000F190E" w:rsidRDefault="000F190E" w14:paraId="7A381C63" w14:textId="36A62F65">
      <w:pPr>
        <w:pStyle w:val="Standard"/>
      </w:pPr>
      <w:r w:rsidRPr="00470269">
        <w:t xml:space="preserve">The Commission opened Rulemaking (R.) 04-09-003 to consider generally how to allocate gains from the sales of utility assets no longer used and useful, between ratepayers and shareholders. </w:t>
      </w:r>
      <w:r w:rsidRPr="00470269" w:rsidR="00F448F7">
        <w:t xml:space="preserve"> </w:t>
      </w:r>
      <w:r w:rsidR="00F07CD6">
        <w:t xml:space="preserve">The </w:t>
      </w:r>
      <w:r w:rsidR="00B55161">
        <w:t xml:space="preserve">final </w:t>
      </w:r>
      <w:r w:rsidR="00F07CD6">
        <w:t xml:space="preserve">decisions </w:t>
      </w:r>
      <w:r w:rsidR="00E47C10">
        <w:t>mandate profits</w:t>
      </w:r>
      <w:r w:rsidR="00F07CD6">
        <w:t xml:space="preserve"> of real property, </w:t>
      </w:r>
      <w:r w:rsidR="00B55161">
        <w:t>which is another term for</w:t>
      </w:r>
      <w:r w:rsidR="00F07CD6">
        <w:t xml:space="preserve"> non-depreciable property, be allocated 50-50 between shareholders and ratepayers.</w:t>
      </w:r>
      <w:r w:rsidR="00E47C10">
        <w:rPr>
          <w:rStyle w:val="FootnoteReference"/>
        </w:rPr>
        <w:footnoteReference w:id="62"/>
      </w:r>
      <w:r w:rsidR="00E47C10">
        <w:t xml:space="preserve"> </w:t>
      </w:r>
    </w:p>
    <w:p w:rsidRPr="00470269" w:rsidR="000F190E" w:rsidP="00F07CD6" w:rsidRDefault="000143E1" w14:paraId="5E296C4C" w14:textId="21B99629">
      <w:pPr>
        <w:pStyle w:val="Standard"/>
        <w:rPr>
          <w:rFonts w:eastAsia="Book Antiqua" w:cs="Book Antiqua"/>
          <w:szCs w:val="26"/>
        </w:rPr>
      </w:pPr>
      <w:r>
        <w:t>F</w:t>
      </w:r>
      <w:r w:rsidRPr="00470269" w:rsidR="000F190E">
        <w:t xml:space="preserve">or public water utilities in particular, the controlling authority on the gain-on-sale of </w:t>
      </w:r>
      <w:r w:rsidR="00B55161">
        <w:t>no longer</w:t>
      </w:r>
      <w:r w:rsidR="003441F2">
        <w:t xml:space="preserve"> used and useful utility </w:t>
      </w:r>
      <w:r w:rsidRPr="00470269" w:rsidR="000F190E">
        <w:t xml:space="preserve">non-depreciable assets </w:t>
      </w:r>
      <w:r w:rsidR="00F07CD6">
        <w:t xml:space="preserve">was previously established </w:t>
      </w:r>
      <w:r w:rsidR="00B55161">
        <w:t>by</w:t>
      </w:r>
      <w:r w:rsidR="00F07CD6">
        <w:t xml:space="preserve"> statute,</w:t>
      </w:r>
      <w:r w:rsidRPr="00470269" w:rsidR="000F190E">
        <w:t xml:space="preserve"> the Public Water Utility Infrastructure Improvement Act of 1995, §§ 789 </w:t>
      </w:r>
      <w:r w:rsidRPr="00470269" w:rsidR="000F190E">
        <w:rPr>
          <w:i/>
        </w:rPr>
        <w:t>et seq.</w:t>
      </w:r>
      <w:r w:rsidRPr="00470269" w:rsidR="000F190E">
        <w:t xml:space="preserve"> (Infrastructure Act). </w:t>
      </w:r>
      <w:r w:rsidRPr="00470269" w:rsidR="00F448F7">
        <w:t xml:space="preserve"> </w:t>
      </w:r>
      <w:r w:rsidR="002E4697">
        <w:t>Non-depreciable</w:t>
      </w:r>
      <w:r w:rsidRPr="00470269" w:rsidR="002E4697">
        <w:t xml:space="preserve"> </w:t>
      </w:r>
      <w:r w:rsidRPr="00470269" w:rsidR="000F190E">
        <w:t xml:space="preserve">assets are typically land and intangibles such as water rights. </w:t>
      </w:r>
      <w:r w:rsidRPr="00470269" w:rsidR="00F448F7">
        <w:t xml:space="preserve"> </w:t>
      </w:r>
      <w:r w:rsidR="00533501">
        <w:t>When a water utility sells real property no longer used and useful, t</w:t>
      </w:r>
      <w:r w:rsidRPr="00470269" w:rsidR="000F190E">
        <w:t xml:space="preserve">he Infrastructure Act </w:t>
      </w:r>
      <w:r w:rsidR="00533501">
        <w:t xml:space="preserve">requires the </w:t>
      </w:r>
      <w:r w:rsidRPr="00470269" w:rsidR="000F190E">
        <w:t xml:space="preserve">“net proceeds” of the sale </w:t>
      </w:r>
      <w:r w:rsidR="00533501">
        <w:t xml:space="preserve">accrue neither to ratepayers or shareholders but instead are invested </w:t>
      </w:r>
      <w:r w:rsidRPr="00470269" w:rsidR="000F190E">
        <w:t>in water system infrastructure that is necessary or useful for utility service.</w:t>
      </w:r>
      <w:r w:rsidRPr="00470269" w:rsidR="000F190E">
        <w:rPr>
          <w:rStyle w:val="FootnoteReference"/>
        </w:rPr>
        <w:footnoteReference w:id="63"/>
      </w:r>
      <w:r w:rsidRPr="00470269" w:rsidR="000F190E">
        <w:t xml:space="preserve"> </w:t>
      </w:r>
      <w:r w:rsidR="00EA0D55">
        <w:t xml:space="preserve"> </w:t>
      </w:r>
      <w:r w:rsidRPr="00470269" w:rsidR="000F190E">
        <w:rPr>
          <w:rFonts w:eastAsia="Book Antiqua" w:cs="Book Antiqua"/>
          <w:szCs w:val="26"/>
        </w:rPr>
        <w:t xml:space="preserve">The Joint Applicants </w:t>
      </w:r>
      <w:r w:rsidR="00125EA0">
        <w:rPr>
          <w:rFonts w:eastAsia="Book Antiqua" w:cs="Book Antiqua"/>
          <w:szCs w:val="26"/>
        </w:rPr>
        <w:t>emphasized</w:t>
      </w:r>
      <w:r w:rsidR="00205C12">
        <w:rPr>
          <w:rFonts w:eastAsia="Book Antiqua" w:cs="Book Antiqua"/>
          <w:szCs w:val="26"/>
        </w:rPr>
        <w:t xml:space="preserve"> </w:t>
      </w:r>
      <w:r w:rsidRPr="00470269" w:rsidR="000F190E">
        <w:rPr>
          <w:rFonts w:eastAsia="Book Antiqua" w:cs="Book Antiqua"/>
          <w:szCs w:val="26"/>
        </w:rPr>
        <w:t xml:space="preserve">that applying the Commission’s gain-on-sale decisions (which are applicable only to </w:t>
      </w:r>
      <w:r w:rsidRPr="00470269" w:rsidR="000F190E">
        <w:rPr>
          <w:rFonts w:eastAsia="Book Antiqua" w:cs="Book Antiqua"/>
          <w:szCs w:val="26"/>
        </w:rPr>
        <w:lastRenderedPageBreak/>
        <w:t xml:space="preserve">no longer used and useful assets) to transactions involving assets currently used and useful, and which are subject to </w:t>
      </w:r>
      <w:r w:rsidR="003818FC">
        <w:rPr>
          <w:rFonts w:eastAsia="Book Antiqua" w:cs="Book Antiqua"/>
          <w:szCs w:val="26"/>
        </w:rPr>
        <w:t xml:space="preserve">the Public </w:t>
      </w:r>
      <w:r w:rsidRPr="00470269" w:rsidR="000F190E">
        <w:rPr>
          <w:rFonts w:eastAsia="Book Antiqua" w:cs="Book Antiqua"/>
          <w:szCs w:val="26"/>
        </w:rPr>
        <w:t xml:space="preserve">Water System Investment </w:t>
      </w:r>
      <w:r w:rsidRPr="00470269" w:rsidR="00301940">
        <w:rPr>
          <w:rFonts w:eastAsia="Book Antiqua" w:cs="Book Antiqua"/>
          <w:szCs w:val="26"/>
        </w:rPr>
        <w:t xml:space="preserve">and Consolidation </w:t>
      </w:r>
      <w:r w:rsidRPr="00470269" w:rsidR="000F190E">
        <w:rPr>
          <w:rFonts w:eastAsia="Book Antiqua" w:cs="Book Antiqua"/>
          <w:szCs w:val="26"/>
        </w:rPr>
        <w:t>Act, would extinguish the incentive to sell and make the transaction unviable.</w:t>
      </w:r>
      <w:r w:rsidRPr="00470269" w:rsidR="000F190E">
        <w:rPr>
          <w:rStyle w:val="FootnoteReference"/>
          <w:rFonts w:eastAsia="Book Antiqua" w:cs="Book Antiqua"/>
          <w:szCs w:val="26"/>
        </w:rPr>
        <w:footnoteReference w:id="64"/>
      </w:r>
      <w:r w:rsidRPr="00470269" w:rsidR="000F190E">
        <w:rPr>
          <w:rFonts w:eastAsia="Book Antiqua" w:cs="Book Antiqua"/>
          <w:szCs w:val="26"/>
        </w:rPr>
        <w:t xml:space="preserve"> </w:t>
      </w:r>
    </w:p>
    <w:p w:rsidRPr="00470269" w:rsidR="000F190E" w:rsidP="000F190E" w:rsidRDefault="007C05D7" w14:paraId="762C7912" w14:textId="1EAD18D7">
      <w:pPr>
        <w:pStyle w:val="Standard"/>
      </w:pPr>
      <w:r>
        <w:t>In fact, t</w:t>
      </w:r>
      <w:r w:rsidRPr="00470269" w:rsidR="000F190E">
        <w:t xml:space="preserve">he Commission has previously determined that applying gain-on-sale rules to used and useful water system asset sales would directly conflict with the </w:t>
      </w:r>
      <w:r w:rsidR="003818FC">
        <w:t xml:space="preserve">Public </w:t>
      </w:r>
      <w:r w:rsidRPr="00470269" w:rsidR="000F190E">
        <w:t xml:space="preserve">Water System Investment </w:t>
      </w:r>
      <w:r w:rsidRPr="00470269" w:rsidR="00301940">
        <w:t xml:space="preserve">and Consolidation </w:t>
      </w:r>
      <w:r w:rsidRPr="00470269" w:rsidR="000F190E">
        <w:t>Act</w:t>
      </w:r>
      <w:r w:rsidRPr="00470269" w:rsidR="000F190E">
        <w:rPr>
          <w:rFonts w:eastAsia="Book Antiqua" w:cs="Book Antiqua"/>
          <w:szCs w:val="26"/>
        </w:rPr>
        <w:t>.</w:t>
      </w:r>
      <w:r w:rsidRPr="00470269" w:rsidR="000F190E">
        <w:rPr>
          <w:rStyle w:val="FootnoteReference"/>
          <w:rFonts w:eastAsia="Book Antiqua" w:cs="Book Antiqua"/>
          <w:szCs w:val="26"/>
        </w:rPr>
        <w:footnoteReference w:id="65"/>
      </w:r>
      <w:r w:rsidRPr="00470269" w:rsidR="000F190E">
        <w:rPr>
          <w:rFonts w:eastAsia="Book Antiqua" w:cs="Book Antiqua"/>
          <w:szCs w:val="26"/>
        </w:rPr>
        <w:t xml:space="preserve"> </w:t>
      </w:r>
      <w:r w:rsidRPr="00470269" w:rsidR="00F448F7">
        <w:rPr>
          <w:rFonts w:eastAsia="Book Antiqua" w:cs="Book Antiqua"/>
          <w:szCs w:val="26"/>
        </w:rPr>
        <w:t xml:space="preserve"> </w:t>
      </w:r>
      <w:r w:rsidRPr="00470269" w:rsidR="000F190E">
        <w:t xml:space="preserve">When utility ownership is transferred completely to a new owner any gain (or loss) realized by the former ownership structure belongs to that former owner.  </w:t>
      </w:r>
    </w:p>
    <w:p w:rsidR="0011262F" w:rsidP="00A8100A" w:rsidRDefault="00F07CD6" w14:paraId="57F7494F" w14:textId="2DD4BECE">
      <w:pPr>
        <w:pStyle w:val="Standard"/>
      </w:pPr>
      <w:r>
        <w:t xml:space="preserve">In </w:t>
      </w:r>
      <w:r w:rsidR="00A337E1">
        <w:t xml:space="preserve">its </w:t>
      </w:r>
      <w:r>
        <w:t xml:space="preserve">opening comments on the proposed decision, the Public Advocates Office </w:t>
      </w:r>
      <w:r w:rsidR="00086212">
        <w:t>pursues</w:t>
      </w:r>
      <w:r w:rsidR="00077D5A">
        <w:t xml:space="preserve"> its argument. </w:t>
      </w:r>
    </w:p>
    <w:p w:rsidRPr="0011262F" w:rsidR="0011262F" w:rsidP="00636FD3" w:rsidRDefault="0011262F" w14:paraId="39829B8F" w14:textId="7EF5330B">
      <w:pPr>
        <w:pStyle w:val="BlockQuote"/>
      </w:pPr>
      <w:r>
        <w:t xml:space="preserve">In D.06-05-041, the Commission states that allocation rules for gain-on-sale “shall apply to water utility sale assets, </w:t>
      </w:r>
      <w:r>
        <w:rPr>
          <w:i/>
          <w:iCs/>
        </w:rPr>
        <w:t>except</w:t>
      </w:r>
      <w:r>
        <w:t xml:space="preserve"> where the asset sold is real property </w:t>
      </w:r>
      <w:r>
        <w:rPr>
          <w:i/>
          <w:iCs/>
        </w:rPr>
        <w:t>that is no longer used and useful.”</w:t>
      </w:r>
      <w:r>
        <w:t xml:space="preserve">[footnote 11: D.06-05-041, Ordering Paragraph 20 (emphasis added).] The PD erroneously concludes the opposite, stating that the gain on sale requirements do not apply to the present transaction because East Pasadena’s assets are currently used and useful. [footnote </w:t>
      </w:r>
      <w:r w:rsidR="00C25AE5">
        <w:t>omitted</w:t>
      </w:r>
      <w:r>
        <w:t xml:space="preserve">] Precisely because this transaction involves the sale of currently used and useful assets, the rules established in the Gain on Sale Decisions apply to this transaction and the PD errs in declining to apply them.[footnote </w:t>
      </w:r>
      <w:r w:rsidR="00C46989">
        <w:t>omitted]</w:t>
      </w:r>
      <w:r>
        <w:rPr>
          <w:rStyle w:val="FootnoteReference"/>
        </w:rPr>
        <w:footnoteReference w:id="66"/>
      </w:r>
    </w:p>
    <w:p w:rsidR="00F07CD6" w:rsidP="00A8100A" w:rsidRDefault="00077D5A" w14:paraId="487C2272" w14:textId="399177A8">
      <w:pPr>
        <w:pStyle w:val="Standard"/>
      </w:pPr>
      <w:r>
        <w:t>The Public Advocates Office</w:t>
      </w:r>
      <w:r w:rsidR="00F07CD6">
        <w:t xml:space="preserve"> misconstrues </w:t>
      </w:r>
      <w:r w:rsidR="00A63C72">
        <w:t>Ordering Paragraph 20</w:t>
      </w:r>
      <w:r w:rsidR="00A63C72">
        <w:rPr>
          <w:rStyle w:val="FootnoteReference"/>
        </w:rPr>
        <w:footnoteReference w:id="67"/>
      </w:r>
      <w:r w:rsidR="00F07CD6">
        <w:t xml:space="preserve"> regarding water utility sales, by suggesting an exclusion of </w:t>
      </w:r>
      <w:r w:rsidR="00E639EC">
        <w:t>real property</w:t>
      </w:r>
      <w:r w:rsidR="00F07CD6">
        <w:t xml:space="preserve"> </w:t>
      </w:r>
      <w:r w:rsidR="00E639EC">
        <w:t xml:space="preserve">no longer used and useful </w:t>
      </w:r>
      <w:r w:rsidR="00F07CD6">
        <w:t xml:space="preserve">implies the inclusion of </w:t>
      </w:r>
      <w:r w:rsidR="00E639EC">
        <w:t>real property used and useful</w:t>
      </w:r>
      <w:r w:rsidR="00F07CD6">
        <w:t>.</w:t>
      </w:r>
      <w:r w:rsidR="00A8100A">
        <w:t xml:space="preserve"> </w:t>
      </w:r>
      <w:r w:rsidR="00F07CD6">
        <w:t xml:space="preserve"> </w:t>
      </w:r>
      <w:r w:rsidR="00616B23">
        <w:lastRenderedPageBreak/>
        <w:t>The exclusion in Ordering Paragraph</w:t>
      </w:r>
      <w:r w:rsidR="00F07CD6">
        <w:t xml:space="preserve"> </w:t>
      </w:r>
      <w:r w:rsidR="00616B23">
        <w:t>20</w:t>
      </w:r>
      <w:r w:rsidR="00F4075D">
        <w:t xml:space="preserve"> </w:t>
      </w:r>
      <w:r w:rsidR="00616B23">
        <w:t xml:space="preserve">is </w:t>
      </w:r>
      <w:r w:rsidR="00F4075D">
        <w:t>for</w:t>
      </w:r>
      <w:r w:rsidR="00616B23">
        <w:t xml:space="preserve"> </w:t>
      </w:r>
      <w:r w:rsidR="00F07CD6">
        <w:t>real property</w:t>
      </w:r>
      <w:r w:rsidR="00616B23">
        <w:t>,</w:t>
      </w:r>
      <w:r w:rsidR="00F07CD6">
        <w:t xml:space="preserve"> </w:t>
      </w:r>
      <w:r w:rsidR="00F4075D">
        <w:t xml:space="preserve">and </w:t>
      </w:r>
      <w:r w:rsidR="003D0BF5">
        <w:t>the</w:t>
      </w:r>
      <w:r w:rsidR="00F07CD6">
        <w:t xml:space="preserve"> inclusion </w:t>
      </w:r>
      <w:r w:rsidR="00F4075D">
        <w:t xml:space="preserve">for </w:t>
      </w:r>
      <w:r w:rsidR="00F07CD6">
        <w:t xml:space="preserve">depreciable property. </w:t>
      </w:r>
    </w:p>
    <w:p w:rsidRPr="003D313F" w:rsidR="00F07CD6" w:rsidP="00F07CD6" w:rsidRDefault="00F07CD6" w14:paraId="5D42528B" w14:textId="75753B6D">
      <w:pPr>
        <w:pStyle w:val="Standard"/>
        <w:rPr>
          <w:color w:val="000000"/>
        </w:rPr>
      </w:pPr>
      <w:r>
        <w:t xml:space="preserve">The Public Advocates </w:t>
      </w:r>
      <w:r w:rsidR="003B4F0A">
        <w:t xml:space="preserve">Office </w:t>
      </w:r>
      <w:r>
        <w:t xml:space="preserve">argument is contrary to the context of </w:t>
      </w:r>
      <w:r w:rsidR="00915E1F">
        <w:t>the entire gain-on-sale proceeding</w:t>
      </w:r>
      <w:r>
        <w:t xml:space="preserve">. </w:t>
      </w:r>
      <w:r w:rsidR="00AE0E4B">
        <w:t xml:space="preserve">As noted above, </w:t>
      </w:r>
      <w:r>
        <w:t xml:space="preserve">D.06-05-041 </w:t>
      </w:r>
      <w:r w:rsidR="00342B95">
        <w:t>considers at length</w:t>
      </w:r>
      <w:r w:rsidR="004954A6">
        <w:t xml:space="preserve"> prior</w:t>
      </w:r>
      <w:r>
        <w:t xml:space="preserve"> </w:t>
      </w:r>
      <w:r w:rsidR="00342B95">
        <w:t xml:space="preserve">relevant </w:t>
      </w:r>
      <w:r>
        <w:t xml:space="preserve">statutory </w:t>
      </w:r>
      <w:r w:rsidR="004954A6">
        <w:t>direction</w:t>
      </w:r>
      <w:r w:rsidR="00342B95">
        <w:t>,</w:t>
      </w:r>
      <w:r>
        <w:t xml:space="preserve"> the Infrastructure Act. Yet D.06-05-041 </w:t>
      </w:r>
      <w:r w:rsidR="003A3305">
        <w:t>omits reference to</w:t>
      </w:r>
      <w:r>
        <w:t xml:space="preserve"> the </w:t>
      </w:r>
      <w:r w:rsidR="004954A6">
        <w:t xml:space="preserve">prior </w:t>
      </w:r>
      <w:r w:rsidR="0058006D">
        <w:t xml:space="preserve">statutory direction of the </w:t>
      </w:r>
      <w:r>
        <w:t xml:space="preserve">1997 Public Water System Investment and Consolidation </w:t>
      </w:r>
      <w:r w:rsidR="004954A6">
        <w:t>Act</w:t>
      </w:r>
      <w:r>
        <w:t xml:space="preserve">, </w:t>
      </w:r>
      <w:r w:rsidR="00444A3A">
        <w:t xml:space="preserve">and the Commission’s implementation in D.99-10-064, </w:t>
      </w:r>
      <w:r w:rsidR="003B4F0A">
        <w:t>despite the obvious impact</w:t>
      </w:r>
      <w:r>
        <w:t xml:space="preserve"> D.06-05-041 would have </w:t>
      </w:r>
      <w:r w:rsidR="003B4F0A">
        <w:t xml:space="preserve">made on </w:t>
      </w:r>
      <w:r>
        <w:t>fair market value</w:t>
      </w:r>
      <w:r w:rsidR="003B4F0A">
        <w:t xml:space="preserve"> and the acquisition premium</w:t>
      </w:r>
      <w:r>
        <w:t>.</w:t>
      </w:r>
      <w:r w:rsidR="00444A3A">
        <w:rPr>
          <w:rStyle w:val="FootnoteReference"/>
        </w:rPr>
        <w:footnoteReference w:id="68"/>
      </w:r>
    </w:p>
    <w:p w:rsidRPr="00470269" w:rsidR="000F190E" w:rsidP="000F190E" w:rsidRDefault="000F190E" w14:paraId="232DA319" w14:textId="3413F7A2">
      <w:pPr>
        <w:pStyle w:val="Standard"/>
      </w:pPr>
      <w:r w:rsidRPr="00470269">
        <w:t xml:space="preserve">We are not persuaded by </w:t>
      </w:r>
      <w:r w:rsidRPr="00470269" w:rsidR="00301940">
        <w:t>t</w:t>
      </w:r>
      <w:r w:rsidRPr="00470269">
        <w:t>he Public Advocates Office’s argument</w:t>
      </w:r>
      <w:r w:rsidRPr="00470269" w:rsidR="00301940">
        <w:t xml:space="preserve">. </w:t>
      </w:r>
      <w:bookmarkStart w:name="_Hlk72342370" w:id="95"/>
      <w:r w:rsidRPr="00470269" w:rsidR="00F448F7">
        <w:t xml:space="preserve"> </w:t>
      </w:r>
      <w:r w:rsidRPr="00470269" w:rsidR="00996289">
        <w:t xml:space="preserve">The gain-on-sale decisions do not apply to the East Pasadena asset sale where Cal-Am applied to acquire </w:t>
      </w:r>
      <w:proofErr w:type="gramStart"/>
      <w:r w:rsidRPr="00470269" w:rsidR="00996289">
        <w:t>all of</w:t>
      </w:r>
      <w:proofErr w:type="gramEnd"/>
      <w:r w:rsidRPr="00470269" w:rsidR="00996289">
        <w:t xml:space="preserve"> the currently used and useful assets which would continue to be used for utility service.</w:t>
      </w:r>
    </w:p>
    <w:p w:rsidRPr="00054EB4" w:rsidR="007E253D" w:rsidP="00506E52" w:rsidRDefault="007E253D" w14:paraId="0FE0D382" w14:textId="226A072A">
      <w:pPr>
        <w:pStyle w:val="Heading2"/>
      </w:pPr>
      <w:bookmarkStart w:name="_Toc76995771" w:id="96"/>
      <w:bookmarkStart w:name="_Toc72748077" w:id="97"/>
      <w:bookmarkEnd w:id="95"/>
      <w:r w:rsidRPr="00054EB4">
        <w:t xml:space="preserve">The Proposed </w:t>
      </w:r>
      <w:r w:rsidRPr="001D1BA9">
        <w:t>Transaction</w:t>
      </w:r>
      <w:r w:rsidRPr="00054EB4">
        <w:t xml:space="preserve"> </w:t>
      </w:r>
      <w:r>
        <w:t>is</w:t>
      </w:r>
      <w:r w:rsidR="00506E52">
        <w:br/>
      </w:r>
      <w:r>
        <w:t>in the</w:t>
      </w:r>
      <w:r w:rsidRPr="00054EB4">
        <w:t xml:space="preserve"> Public Interest</w:t>
      </w:r>
      <w:bookmarkEnd w:id="96"/>
    </w:p>
    <w:p w:rsidRPr="00470269" w:rsidR="004954A6" w:rsidP="004954A6" w:rsidRDefault="004954A6" w14:paraId="43FE5A82" w14:textId="77777777">
      <w:pPr>
        <w:pStyle w:val="standard0"/>
        <w:rPr>
          <w:rFonts w:ascii="Book Antiqua" w:hAnsi="Book Antiqua" w:eastAsia="Book Antiqua"/>
          <w:szCs w:val="26"/>
        </w:rPr>
      </w:pPr>
      <w:r w:rsidRPr="00470269">
        <w:rPr>
          <w:rFonts w:ascii="Book Antiqua" w:hAnsi="Book Antiqua" w:eastAsia="Book Antiqua"/>
          <w:szCs w:val="26"/>
        </w:rPr>
        <w:t xml:space="preserve">Cal-Am argued that this transaction would bring greater economies of scale, greater </w:t>
      </w:r>
      <w:proofErr w:type="gramStart"/>
      <w:r w:rsidRPr="00470269">
        <w:rPr>
          <w:rFonts w:ascii="Book Antiqua" w:hAnsi="Book Antiqua" w:eastAsia="Book Antiqua"/>
          <w:szCs w:val="26"/>
        </w:rPr>
        <w:t>resources</w:t>
      </w:r>
      <w:proofErr w:type="gramEnd"/>
      <w:r w:rsidRPr="00470269">
        <w:rPr>
          <w:rFonts w:ascii="Book Antiqua" w:hAnsi="Book Antiqua" w:eastAsia="Book Antiqua"/>
          <w:szCs w:val="26"/>
        </w:rPr>
        <w:t xml:space="preserve"> and expertise, to the management and operation of East Pasadena.  Cal-Am listed benefits such as ensuring East Pasadena customers’ long-term access to safe and reliable water services at affordable prices.  Cal-Am also noted that East Pasadena’s </w:t>
      </w:r>
      <w:proofErr w:type="gramStart"/>
      <w:r w:rsidRPr="00470269">
        <w:rPr>
          <w:rFonts w:ascii="Book Antiqua" w:hAnsi="Book Antiqua" w:eastAsia="Book Antiqua"/>
          <w:szCs w:val="26"/>
        </w:rPr>
        <w:t>economically disadvantaged</w:t>
      </w:r>
      <w:proofErr w:type="gramEnd"/>
      <w:r w:rsidRPr="00470269">
        <w:rPr>
          <w:rFonts w:ascii="Book Antiqua" w:hAnsi="Book Antiqua" w:eastAsia="Book Antiqua"/>
          <w:szCs w:val="26"/>
        </w:rPr>
        <w:t xml:space="preserve"> customers would be eligible for Cal-Am’s already existing the low-income assistance program.  </w:t>
      </w:r>
    </w:p>
    <w:p w:rsidRPr="00470269" w:rsidR="004954A6" w:rsidP="004954A6" w:rsidRDefault="004954A6" w14:paraId="0FE2F623" w14:textId="77777777">
      <w:pPr>
        <w:pStyle w:val="standard0"/>
        <w:rPr>
          <w:rFonts w:ascii="Book Antiqua" w:hAnsi="Book Antiqua" w:eastAsia="Book Antiqua"/>
          <w:szCs w:val="26"/>
        </w:rPr>
      </w:pPr>
      <w:r w:rsidRPr="00470269">
        <w:rPr>
          <w:rFonts w:ascii="Book Antiqua" w:hAnsi="Book Antiqua" w:eastAsia="Book Antiqua"/>
          <w:szCs w:val="26"/>
        </w:rPr>
        <w:lastRenderedPageBreak/>
        <w:t xml:space="preserve">East Pasadena described the decision to sell the utility to Cal-Am as a sound management strategy that will provide long-term sustainability for the current East Pasadena ratepayers. </w:t>
      </w:r>
    </w:p>
    <w:p w:rsidRPr="00470269" w:rsidR="004954A6" w:rsidP="004954A6" w:rsidRDefault="004954A6" w14:paraId="11094614" w14:textId="77777777">
      <w:pPr>
        <w:pStyle w:val="standard0"/>
        <w:rPr>
          <w:rFonts w:ascii="Book Antiqua" w:hAnsi="Book Antiqua"/>
        </w:rPr>
      </w:pPr>
      <w:r w:rsidRPr="00470269">
        <w:rPr>
          <w:rFonts w:ascii="Book Antiqua" w:hAnsi="Book Antiqua" w:eastAsia="Book Antiqua"/>
          <w:szCs w:val="26"/>
        </w:rPr>
        <w:t>The Public Advocates Office argued that the rate increase associated with the acquisition would constitute a harm to ratepayers.</w:t>
      </w:r>
      <w:r w:rsidRPr="00470269">
        <w:rPr>
          <w:rStyle w:val="FootnoteReference"/>
          <w:rFonts w:ascii="Book Antiqua" w:hAnsi="Book Antiqua" w:eastAsia="Book Antiqua"/>
          <w:szCs w:val="26"/>
          <w:vertAlign w:val="baseline"/>
        </w:rPr>
        <w:t xml:space="preserve">  </w:t>
      </w:r>
      <w:r w:rsidRPr="00470269">
        <w:rPr>
          <w:rFonts w:ascii="Book Antiqua" w:hAnsi="Book Antiqua" w:eastAsia="Book Antiqua"/>
          <w:szCs w:val="26"/>
        </w:rPr>
        <w:t>We are not persuaded by this argument by the Public Advocates Office</w:t>
      </w:r>
      <w:r>
        <w:rPr>
          <w:rFonts w:ascii="Book Antiqua" w:hAnsi="Book Antiqua" w:eastAsia="Book Antiqua"/>
          <w:szCs w:val="26"/>
        </w:rPr>
        <w:t>, nor their remedy</w:t>
      </w:r>
      <w:r w:rsidRPr="00470269">
        <w:rPr>
          <w:rFonts w:ascii="Book Antiqua" w:hAnsi="Book Antiqua" w:eastAsia="Book Antiqua"/>
          <w:szCs w:val="26"/>
        </w:rPr>
        <w:t xml:space="preserve"> </w:t>
      </w:r>
      <w:r>
        <w:rPr>
          <w:rFonts w:ascii="Book Antiqua" w:hAnsi="Book Antiqua" w:eastAsia="Book Antiqua"/>
          <w:szCs w:val="26"/>
        </w:rPr>
        <w:t>of</w:t>
      </w:r>
      <w:r w:rsidRPr="00470269">
        <w:rPr>
          <w:rFonts w:ascii="Book Antiqua" w:hAnsi="Book Antiqua" w:eastAsia="Book Antiqua"/>
          <w:szCs w:val="26"/>
        </w:rPr>
        <w:t xml:space="preserve"> incorrectly allocating a portion of the gain to ratepayers.  </w:t>
      </w:r>
    </w:p>
    <w:p w:rsidRPr="00470269" w:rsidR="004954A6" w:rsidP="004954A6" w:rsidRDefault="004954A6" w14:paraId="2BD22AEF" w14:textId="77777777">
      <w:pPr>
        <w:pStyle w:val="sub1"/>
        <w:ind w:firstLine="720"/>
        <w:rPr>
          <w:rFonts w:ascii="Book Antiqua" w:hAnsi="Book Antiqua" w:eastAsia="Book Antiqua" w:cs="Book Antiqua"/>
          <w:szCs w:val="26"/>
        </w:rPr>
      </w:pPr>
      <w:r w:rsidRPr="00470269">
        <w:rPr>
          <w:rFonts w:ascii="Book Antiqua" w:hAnsi="Book Antiqua" w:eastAsia="Book Antiqua" w:cs="Book Antiqua"/>
          <w:szCs w:val="26"/>
        </w:rPr>
        <w:t xml:space="preserve">In general, the parties’ consensus, including </w:t>
      </w:r>
      <w:r>
        <w:rPr>
          <w:rFonts w:ascii="Book Antiqua" w:hAnsi="Book Antiqua" w:eastAsia="Book Antiqua" w:cs="Book Antiqua"/>
          <w:szCs w:val="26"/>
        </w:rPr>
        <w:t xml:space="preserve">the </w:t>
      </w:r>
      <w:r w:rsidRPr="00470269">
        <w:rPr>
          <w:rFonts w:ascii="Book Antiqua" w:hAnsi="Book Antiqua" w:eastAsia="Book Antiqua" w:cs="Book Antiqua"/>
          <w:szCs w:val="26"/>
        </w:rPr>
        <w:t xml:space="preserve">Public Advocates Office, was that East Pasadena is a well-run public water utility under its current ownership and management and no immediate threats to water quality or reliability have been identified. </w:t>
      </w:r>
    </w:p>
    <w:p w:rsidRPr="00470269" w:rsidR="004954A6" w:rsidP="004954A6" w:rsidRDefault="004954A6" w14:paraId="38C5D91C" w14:textId="77777777">
      <w:pPr>
        <w:pStyle w:val="sub1"/>
        <w:ind w:firstLine="720"/>
        <w:rPr>
          <w:rFonts w:ascii="Book Antiqua" w:hAnsi="Book Antiqua" w:eastAsia="Book Antiqua" w:cs="Book Antiqua"/>
          <w:szCs w:val="26"/>
        </w:rPr>
      </w:pPr>
      <w:r w:rsidRPr="00470269">
        <w:rPr>
          <w:rFonts w:ascii="Book Antiqua" w:hAnsi="Book Antiqua" w:eastAsia="Book Antiqua" w:cs="Book Antiqua"/>
          <w:szCs w:val="26"/>
        </w:rPr>
        <w:t>Evidence in this case shows that, over time, California’s stricter water quality standards, water supply issues and the need to develop new water conservation strategies could cause rate increases to East Pasadena’s 3,000 customers beyond a level they could absorb.  In fact, East Pasadena Wells 7 and 8 have been shut off</w:t>
      </w:r>
      <w:r>
        <w:rPr>
          <w:rFonts w:ascii="Book Antiqua" w:hAnsi="Book Antiqua" w:eastAsia="Book Antiqua" w:cs="Book Antiqua"/>
          <w:szCs w:val="26"/>
        </w:rPr>
        <w:t xml:space="preserve"> for many years. Well 7 has been shut off since 2013 because it exceeded state limits for Gross Alpha and Uranium. Well 8 has been shut off since 2018 </w:t>
      </w:r>
      <w:r w:rsidRPr="00470269">
        <w:rPr>
          <w:rFonts w:ascii="Book Antiqua" w:hAnsi="Book Antiqua" w:eastAsia="Book Antiqua" w:cs="Book Antiqua"/>
          <w:szCs w:val="26"/>
        </w:rPr>
        <w:t xml:space="preserve">because </w:t>
      </w:r>
      <w:r>
        <w:rPr>
          <w:rFonts w:ascii="Book Antiqua" w:hAnsi="Book Antiqua" w:eastAsia="Book Antiqua" w:cs="Book Antiqua"/>
          <w:szCs w:val="26"/>
        </w:rPr>
        <w:t>it</w:t>
      </w:r>
      <w:r w:rsidRPr="00470269">
        <w:rPr>
          <w:rFonts w:ascii="Book Antiqua" w:hAnsi="Book Antiqua" w:eastAsia="Book Antiqua" w:cs="Book Antiqua"/>
          <w:szCs w:val="26"/>
        </w:rPr>
        <w:t xml:space="preserve"> exceeded state limits of 1,2,3</w:t>
      </w:r>
      <w:r w:rsidRPr="00470269">
        <w:rPr>
          <w:rFonts w:ascii="Book Antiqua" w:hAnsi="Book Antiqua" w:eastAsia="Book Antiqua" w:cs="Book Antiqua"/>
          <w:szCs w:val="26"/>
        </w:rPr>
        <w:noBreakHyphen/>
        <w:t>Trichloropropane</w:t>
      </w:r>
      <w:r>
        <w:rPr>
          <w:rFonts w:ascii="Book Antiqua" w:hAnsi="Book Antiqua" w:eastAsia="Book Antiqua" w:cs="Book Antiqua"/>
          <w:szCs w:val="26"/>
        </w:rPr>
        <w:t>. In both cases,</w:t>
      </w:r>
      <w:r w:rsidRPr="00470269">
        <w:rPr>
          <w:rFonts w:ascii="Book Antiqua" w:hAnsi="Book Antiqua" w:eastAsia="Book Antiqua" w:cs="Book Antiqua"/>
          <w:szCs w:val="26"/>
        </w:rPr>
        <w:t xml:space="preserve"> the necessary treatment system would be a high cost for ratepayers to bear.  East Pasadena’s witness further described how careful management, conservation, and lower demand currently allowed East Pasadena to reliably serve their customers without Wells 7 and 8.  However, East Pasadena’s witness testified that demand will steadily increase and therefore returning the wells into service would become more essential.  The witness also asserted that Cal–Am’s acquisition of East Pasadena would lessen ratepayer impacts of the infrastructure investment that would eventually be required, stating: </w:t>
      </w:r>
    </w:p>
    <w:p w:rsidRPr="00470269" w:rsidR="004954A6" w:rsidP="004954A6" w:rsidRDefault="004954A6" w14:paraId="1926C930" w14:textId="77777777">
      <w:pPr>
        <w:pStyle w:val="BlockQuote"/>
      </w:pPr>
      <w:r w:rsidRPr="00470269">
        <w:lastRenderedPageBreak/>
        <w:t xml:space="preserve">The decision to sell stems directly from East Pasadena’s sound management strategy. We are looking 3 to 5 years down the </w:t>
      </w:r>
      <w:proofErr w:type="gramStart"/>
      <w:r w:rsidRPr="00470269">
        <w:t>road</w:t>
      </w:r>
      <w:proofErr w:type="gramEnd"/>
      <w:r w:rsidRPr="00470269">
        <w:t xml:space="preserve"> and it is far better to transition to a much larger and more capable company now than to wait, which would only pass on greater compliance costs to our [stand-alone] ratepayers in the future. </w:t>
      </w:r>
    </w:p>
    <w:p w:rsidRPr="00470269" w:rsidR="004954A6" w:rsidP="004954A6" w:rsidRDefault="004954A6" w14:paraId="0000EAE4" w14:textId="77777777">
      <w:pPr>
        <w:pStyle w:val="sub1"/>
        <w:ind w:firstLine="720"/>
        <w:rPr>
          <w:rFonts w:ascii="Book Antiqua" w:hAnsi="Book Antiqua" w:eastAsia="Book Antiqua" w:cs="Book Antiqua"/>
          <w:szCs w:val="26"/>
        </w:rPr>
      </w:pPr>
      <w:r w:rsidRPr="00470269">
        <w:rPr>
          <w:rFonts w:ascii="Book Antiqua" w:hAnsi="Book Antiqua" w:eastAsia="Book Antiqua" w:cs="Book Antiqua"/>
          <w:szCs w:val="26"/>
        </w:rPr>
        <w:t>Similarly, Cal-Am’s witness testified that East Pasadena is likely to face financial and operational challenges in the “near future.”</w:t>
      </w:r>
    </w:p>
    <w:p w:rsidRPr="00470269" w:rsidR="004954A6" w:rsidP="004954A6" w:rsidRDefault="004954A6" w14:paraId="3E3FE600" w14:textId="77777777">
      <w:pPr>
        <w:pStyle w:val="sub1"/>
        <w:ind w:firstLine="720"/>
        <w:rPr>
          <w:rFonts w:ascii="Book Antiqua" w:hAnsi="Book Antiqua" w:eastAsia="Book Antiqua" w:cs="Book Antiqua"/>
          <w:szCs w:val="26"/>
        </w:rPr>
      </w:pPr>
      <w:r w:rsidRPr="00470269">
        <w:rPr>
          <w:rFonts w:ascii="Book Antiqua" w:hAnsi="Book Antiqua" w:eastAsia="Book Antiqua" w:cs="Book Antiqua"/>
          <w:szCs w:val="26"/>
        </w:rPr>
        <w:t xml:space="preserve">Cal-Am’s witness testified that by combining Cal-Am and East Pasadena’s groundwater rights through this transaction East Pasadena customers’ water demand can be met without costly over-pumping from the Main water basin, where East Pasadena currently must over-pump.  </w:t>
      </w:r>
      <w:proofErr w:type="gramStart"/>
      <w:r w:rsidRPr="00470269">
        <w:rPr>
          <w:rFonts w:ascii="Book Antiqua" w:hAnsi="Book Antiqua" w:eastAsia="Book Antiqua" w:cs="Book Antiqua"/>
          <w:szCs w:val="26"/>
        </w:rPr>
        <w:t>With regard to</w:t>
      </w:r>
      <w:proofErr w:type="gramEnd"/>
      <w:r w:rsidRPr="00470269">
        <w:rPr>
          <w:rFonts w:ascii="Book Antiqua" w:hAnsi="Book Antiqua" w:eastAsia="Book Antiqua" w:cs="Book Antiqua"/>
          <w:szCs w:val="26"/>
        </w:rPr>
        <w:t xml:space="preserve"> Cal-Am ratepayers, Cal-Am provided testimony that acquiring East Pasadena’s water rights in the Raymond and Main water basins would similarly give Cal-Am and its customers access to the lowest-cost water supplies available. </w:t>
      </w:r>
    </w:p>
    <w:p w:rsidRPr="00470269" w:rsidR="004954A6" w:rsidP="004954A6" w:rsidRDefault="004954A6" w14:paraId="3467582E" w14:textId="77777777">
      <w:pPr>
        <w:pStyle w:val="standard0"/>
        <w:rPr>
          <w:rFonts w:ascii="Book Antiqua" w:hAnsi="Book Antiqua" w:eastAsia="Book Antiqua" w:cs="Book Antiqua"/>
          <w:szCs w:val="26"/>
        </w:rPr>
      </w:pPr>
      <w:r w:rsidRPr="00470269">
        <w:rPr>
          <w:rFonts w:ascii="Book Antiqua" w:hAnsi="Book Antiqua" w:eastAsia="Book Antiqua" w:cs="Book Antiqua"/>
          <w:szCs w:val="26"/>
        </w:rPr>
        <w:t xml:space="preserve">Cal-Am’s witness estimated $1.475 million in annual cost savings and further testified that Cal-Am’s lower authorized rate of return (compared to East Pasadena’s) would save East Pasadena ratepayers approximately $35,000 for every million dollars of invested capital.  Cal-Am’s witness also noted additional unquantified potential cost savings for material purchases, contracts for engineering projects, and use of in-house engineers. </w:t>
      </w:r>
    </w:p>
    <w:p w:rsidRPr="00470269" w:rsidR="004954A6" w:rsidP="004954A6" w:rsidRDefault="004954A6" w14:paraId="7BAEBD97" w14:textId="77777777">
      <w:pPr>
        <w:pStyle w:val="standard0"/>
        <w:rPr>
          <w:rFonts w:ascii="Book Antiqua" w:hAnsi="Book Antiqua" w:eastAsia="Book Antiqua" w:cs="Book Antiqua"/>
          <w:szCs w:val="26"/>
        </w:rPr>
      </w:pPr>
      <w:r w:rsidRPr="00470269">
        <w:rPr>
          <w:rFonts w:ascii="Book Antiqua" w:hAnsi="Book Antiqua" w:eastAsia="Book Antiqua" w:cs="Book Antiqua"/>
          <w:szCs w:val="26"/>
        </w:rPr>
        <w:t xml:space="preserve">In addition, Cal-Am contended that it has better access to capital at lower costs than East Pasadena.  For example, the Commission authorized Cal-Am to issue up to $359 million in long-term debt in D.18-07-013, and Cal-Am is also a part of a financial services agreement with its parent company that applies to </w:t>
      </w:r>
      <w:proofErr w:type="gramStart"/>
      <w:r w:rsidRPr="00470269">
        <w:rPr>
          <w:rFonts w:ascii="Book Antiqua" w:hAnsi="Book Antiqua" w:eastAsia="Book Antiqua" w:cs="Book Antiqua"/>
          <w:szCs w:val="26"/>
        </w:rPr>
        <w:t>all of</w:t>
      </w:r>
      <w:proofErr w:type="gramEnd"/>
      <w:r w:rsidRPr="00470269">
        <w:rPr>
          <w:rFonts w:ascii="Book Antiqua" w:hAnsi="Book Antiqua" w:eastAsia="Book Antiqua" w:cs="Book Antiqua"/>
          <w:szCs w:val="26"/>
        </w:rPr>
        <w:t xml:space="preserve"> its subsidiaries.  This would suggest that Cal-Am is far more capable than East Pasadena to finance future infrastructure needs.  The resulting improvement in access to capital to invest in East Pasadena's water system infrastructure is </w:t>
      </w:r>
      <w:r w:rsidRPr="00470269">
        <w:rPr>
          <w:rFonts w:ascii="Book Antiqua" w:hAnsi="Book Antiqua" w:eastAsia="Book Antiqua" w:cs="Book Antiqua"/>
          <w:szCs w:val="26"/>
        </w:rPr>
        <w:lastRenderedPageBreak/>
        <w:t xml:space="preserve">consistent with the policy objective of the Public Water System Investment and Consolidation Act. </w:t>
      </w:r>
    </w:p>
    <w:p w:rsidRPr="00470269" w:rsidR="004954A6" w:rsidP="004954A6" w:rsidRDefault="004954A6" w14:paraId="79AC44BC" w14:textId="77777777">
      <w:pPr>
        <w:pStyle w:val="standard0"/>
        <w:rPr>
          <w:rFonts w:ascii="Book Antiqua" w:hAnsi="Book Antiqua" w:cs="TimesNewRomanPSMT"/>
          <w:szCs w:val="26"/>
        </w:rPr>
      </w:pPr>
      <w:r w:rsidRPr="00470269">
        <w:rPr>
          <w:rFonts w:ascii="Book Antiqua" w:hAnsi="Book Antiqua" w:eastAsia="Book Antiqua" w:cs="Book Antiqua"/>
          <w:szCs w:val="26"/>
        </w:rPr>
        <w:t xml:space="preserve">Finally, Cal-Am argued that its “size, position in the industry and association with parent company American Water, will allow California American Water to meet water quality, reliability and customer service standards efficiently.” </w:t>
      </w:r>
      <w:r w:rsidRPr="00470269">
        <w:rPr>
          <w:rFonts w:ascii="Book Antiqua" w:hAnsi="Book Antiqua" w:cs="TimesNewRomanPSMT"/>
          <w:szCs w:val="26"/>
        </w:rPr>
        <w:t xml:space="preserve"> </w:t>
      </w:r>
    </w:p>
    <w:p w:rsidR="004954A6" w:rsidP="004954A6" w:rsidRDefault="004954A6" w14:paraId="60D5DC4D" w14:textId="036EBA81">
      <w:pPr>
        <w:pStyle w:val="standard0"/>
        <w:rPr>
          <w:rFonts w:ascii="Book Antiqua" w:hAnsi="Book Antiqua" w:cs="TimesNewRomanPSMT" w:eastAsiaTheme="minorHAnsi"/>
          <w:szCs w:val="26"/>
        </w:rPr>
      </w:pPr>
      <w:r w:rsidRPr="00470269">
        <w:rPr>
          <w:rFonts w:ascii="Book Antiqua" w:hAnsi="Book Antiqua" w:cs="TimesNewRomanPSMT"/>
          <w:szCs w:val="26"/>
        </w:rPr>
        <w:t>We note, t</w:t>
      </w:r>
      <w:r w:rsidRPr="00470269">
        <w:rPr>
          <w:rFonts w:ascii="Book Antiqua" w:hAnsi="Book Antiqua" w:eastAsia="Book Antiqua" w:cs="Book Antiqua"/>
          <w:szCs w:val="26"/>
        </w:rPr>
        <w:t>he Public Advocates Office did not contest the above evidence on the public interest benefits of the transaction; its main objection was the likely rate impact on all customers</w:t>
      </w:r>
      <w:r>
        <w:rPr>
          <w:rFonts w:ascii="Book Antiqua" w:hAnsi="Book Antiqua" w:eastAsia="Book Antiqua" w:cs="Book Antiqua"/>
          <w:szCs w:val="26"/>
        </w:rPr>
        <w:t>.</w:t>
      </w:r>
    </w:p>
    <w:p w:rsidRPr="00470269" w:rsidR="004954A6" w:rsidP="004954A6" w:rsidRDefault="004954A6" w14:paraId="0771677E" w14:textId="77777777">
      <w:pPr>
        <w:pStyle w:val="Standard"/>
      </w:pPr>
      <w:r w:rsidRPr="00470269">
        <w:rPr>
          <w:rFonts w:eastAsia="Book Antiqua" w:cs="Book Antiqua"/>
          <w:szCs w:val="26"/>
        </w:rPr>
        <w:t>In summary, we apply the “ratepayer indifference standard,” as we weigh the above public interests furthered by the proposed acquisition.  We find that the rate impact of this proposed transaction cannot be eliminated, but those ratepayer impacts are one of several components comprising the public interest driven by an increase in rate base determined to be fair and reasonable.  In view of the compelling evidence of public interest benefits that will result from the proposed transaction, we find that on balance the proposed transaction promotes the legislatively declared post-transaction public interest objectives and meets the “ratepayer indifference standard.”</w:t>
      </w:r>
    </w:p>
    <w:p w:rsidRPr="00054EB4" w:rsidR="00B80FBC" w:rsidP="00506E52" w:rsidRDefault="007E53C6" w14:paraId="6A4FB517" w14:textId="41D0F237">
      <w:pPr>
        <w:pStyle w:val="Heading2"/>
        <w:rPr>
          <w:rFonts w:ascii="Book Antiqua" w:hAnsi="Book Antiqua" w:eastAsia="Book Antiqua"/>
        </w:rPr>
      </w:pPr>
      <w:bookmarkStart w:name="_Toc76995772" w:id="98"/>
      <w:r w:rsidRPr="00054EB4">
        <w:t>New</w:t>
      </w:r>
      <w:r w:rsidRPr="00054EB4" w:rsidR="00B80FBC">
        <w:t xml:space="preserve"> </w:t>
      </w:r>
      <w:r w:rsidRPr="00054EB4" w:rsidR="004E1DD5">
        <w:t xml:space="preserve">and Modified </w:t>
      </w:r>
      <w:r w:rsidRPr="001A57A9" w:rsidR="00B80FBC">
        <w:t>Memorandum</w:t>
      </w:r>
      <w:r w:rsidRPr="00054EB4" w:rsidR="00B80FBC">
        <w:t xml:space="preserve"> Account</w:t>
      </w:r>
      <w:r w:rsidRPr="00054EB4">
        <w:t>s</w:t>
      </w:r>
      <w:bookmarkEnd w:id="97"/>
      <w:bookmarkEnd w:id="98"/>
    </w:p>
    <w:p w:rsidRPr="00470269" w:rsidR="009E1F5A" w:rsidP="00752ECA" w:rsidRDefault="00B80FBC" w14:paraId="309A8563" w14:textId="129C5561">
      <w:pPr>
        <w:pStyle w:val="Standard"/>
      </w:pPr>
      <w:r w:rsidRPr="00470269">
        <w:t xml:space="preserve">The Joint Applicants ask the Commission to establish for </w:t>
      </w:r>
      <w:r w:rsidRPr="00470269" w:rsidR="008D304C">
        <w:t>Cal-Am</w:t>
      </w:r>
      <w:r w:rsidRPr="00470269" w:rsidR="009B1041">
        <w:t xml:space="preserve"> </w:t>
      </w:r>
      <w:r w:rsidRPr="00470269">
        <w:t xml:space="preserve">two </w:t>
      </w:r>
      <w:r w:rsidRPr="00470269" w:rsidR="00497D34">
        <w:t xml:space="preserve">new </w:t>
      </w:r>
      <w:r w:rsidRPr="00470269">
        <w:t>memorandum accounts</w:t>
      </w:r>
      <w:r w:rsidRPr="00470269" w:rsidR="0084034D">
        <w:t xml:space="preserve">: </w:t>
      </w:r>
      <w:r w:rsidRPr="00470269" w:rsidR="00F448F7">
        <w:t xml:space="preserve"> </w:t>
      </w:r>
      <w:r w:rsidRPr="00470269" w:rsidR="0084034D">
        <w:t>(</w:t>
      </w:r>
      <w:proofErr w:type="spellStart"/>
      <w:r w:rsidRPr="00470269" w:rsidR="0084034D">
        <w:t>i</w:t>
      </w:r>
      <w:proofErr w:type="spellEnd"/>
      <w:r w:rsidRPr="00470269" w:rsidR="0084034D">
        <w:t xml:space="preserve">) </w:t>
      </w:r>
      <w:r w:rsidRPr="00470269">
        <w:t>The East Pasadena Acquisition Contingency Memorandum Account</w:t>
      </w:r>
      <w:r w:rsidRPr="00470269" w:rsidR="008042B1">
        <w:rPr>
          <w:rStyle w:val="FootnoteReference"/>
        </w:rPr>
        <w:footnoteReference w:id="69"/>
      </w:r>
      <w:r w:rsidRPr="00470269">
        <w:t xml:space="preserve"> (</w:t>
      </w:r>
      <w:r w:rsidRPr="00470269" w:rsidR="001277D6">
        <w:t>Contingency Account</w:t>
      </w:r>
      <w:r w:rsidRPr="00470269">
        <w:t>)</w:t>
      </w:r>
      <w:r w:rsidRPr="00470269" w:rsidR="00497D34">
        <w:t>,</w:t>
      </w:r>
      <w:r w:rsidRPr="00470269">
        <w:t xml:space="preserve"> </w:t>
      </w:r>
      <w:r w:rsidRPr="00470269" w:rsidR="00497D34">
        <w:t xml:space="preserve">which </w:t>
      </w:r>
      <w:r w:rsidRPr="00470269">
        <w:t xml:space="preserve">would track </w:t>
      </w:r>
      <w:r w:rsidRPr="00470269" w:rsidR="009B4A81">
        <w:t xml:space="preserve">alleged </w:t>
      </w:r>
      <w:r w:rsidRPr="00470269">
        <w:t xml:space="preserve">lost </w:t>
      </w:r>
      <w:r w:rsidRPr="00470269">
        <w:lastRenderedPageBreak/>
        <w:t xml:space="preserve">revenue from all affected entities until the acquisition could be integrated for ratemaking purposes </w:t>
      </w:r>
      <w:r w:rsidRPr="00470269" w:rsidR="003F3423">
        <w:t>in the 2024</w:t>
      </w:r>
      <w:r w:rsidRPr="00470269">
        <w:t xml:space="preserve"> GRC</w:t>
      </w:r>
      <w:r w:rsidRPr="00470269" w:rsidR="009B4A81">
        <w:t>; and (</w:t>
      </w:r>
      <w:r w:rsidRPr="00470269" w:rsidR="00763DA8">
        <w:t>ii</w:t>
      </w:r>
      <w:r w:rsidRPr="00470269" w:rsidR="009B4A81">
        <w:t>) The East Pasadena Transaction Cost Memorandum Account (</w:t>
      </w:r>
      <w:r w:rsidRPr="00470269" w:rsidR="00F41B45">
        <w:t>Transaction Account</w:t>
      </w:r>
      <w:r w:rsidRPr="00470269" w:rsidR="009B4A81">
        <w:t xml:space="preserve">) </w:t>
      </w:r>
      <w:r w:rsidRPr="00470269" w:rsidR="00973870">
        <w:t xml:space="preserve">which </w:t>
      </w:r>
      <w:r w:rsidRPr="00470269" w:rsidR="009B4A81">
        <w:t>would track</w:t>
      </w:r>
      <w:r w:rsidRPr="00470269" w:rsidR="00973870">
        <w:t xml:space="preserve"> any potential</w:t>
      </w:r>
      <w:r w:rsidRPr="00470269" w:rsidR="009B4A81">
        <w:t xml:space="preserve"> costs necessary to complete the transaction, such as legal, engineering, surveying, appraisal, noticing, and other professional activities</w:t>
      </w:r>
      <w:r w:rsidRPr="00470269" w:rsidR="00973870">
        <w:t xml:space="preserve"> not otherwise included in the application</w:t>
      </w:r>
      <w:r w:rsidRPr="00470269" w:rsidR="009B4A81">
        <w:t>.</w:t>
      </w:r>
      <w:r w:rsidRPr="00470269" w:rsidR="00763DA8">
        <w:t xml:space="preserve"> </w:t>
      </w:r>
    </w:p>
    <w:p w:rsidRPr="00470269" w:rsidR="00763DA8" w:rsidP="00752ECA" w:rsidRDefault="009E1F5A" w14:paraId="0AD8C4C2" w14:textId="336F5787">
      <w:pPr>
        <w:pStyle w:val="Standard"/>
      </w:pPr>
      <w:r w:rsidRPr="00470269">
        <w:t>As discussed below, w</w:t>
      </w:r>
      <w:r w:rsidRPr="00470269" w:rsidR="00763DA8">
        <w:t>e deny</w:t>
      </w:r>
      <w:r w:rsidRPr="00470269" w:rsidR="00D1151A">
        <w:t xml:space="preserve"> </w:t>
      </w:r>
      <w:r w:rsidRPr="00470269" w:rsidR="003B3725">
        <w:t xml:space="preserve">the request </w:t>
      </w:r>
      <w:r w:rsidRPr="00470269" w:rsidR="00D1151A">
        <w:t xml:space="preserve">to create </w:t>
      </w:r>
      <w:r w:rsidRPr="00470269" w:rsidR="00857D97">
        <w:t xml:space="preserve">the </w:t>
      </w:r>
      <w:r w:rsidRPr="00470269" w:rsidR="00331DA4">
        <w:t xml:space="preserve">Contingency Account and approve the </w:t>
      </w:r>
      <w:r w:rsidRPr="00470269" w:rsidR="00F32BD2">
        <w:t>Transaction Account subject to the limits</w:t>
      </w:r>
      <w:r w:rsidRPr="00470269" w:rsidR="00D1151A">
        <w:t xml:space="preserve"> as discussed below</w:t>
      </w:r>
      <w:r w:rsidRPr="00470269">
        <w:t>; and we</w:t>
      </w:r>
      <w:r w:rsidRPr="00470269" w:rsidR="002F7CFC">
        <w:t xml:space="preserve"> approve the inclusion of East Pasadena in </w:t>
      </w:r>
      <w:r w:rsidRPr="00470269" w:rsidR="00C63028">
        <w:t>Cal-Am’s existing</w:t>
      </w:r>
      <w:r w:rsidRPr="00470269" w:rsidR="002F7CFC">
        <w:t xml:space="preserve"> </w:t>
      </w:r>
      <w:r w:rsidRPr="00470269" w:rsidR="002B0DD7">
        <w:t>Memorandum Account for Environmental Improvements and Compliance</w:t>
      </w:r>
      <w:r w:rsidRPr="00470269" w:rsidR="00C63028">
        <w:t xml:space="preserve">.  </w:t>
      </w:r>
    </w:p>
    <w:p w:rsidRPr="00994798" w:rsidR="009B4A81" w:rsidP="00AF0AE6" w:rsidRDefault="00CB4B83" w14:paraId="6C25BD7B" w14:textId="4D314673">
      <w:pPr>
        <w:pStyle w:val="Heading3"/>
        <w:tabs>
          <w:tab w:val="clear" w:pos="1440"/>
          <w:tab w:val="num" w:pos="1530"/>
        </w:tabs>
      </w:pPr>
      <w:bookmarkStart w:name="_Toc72748078" w:id="99"/>
      <w:bookmarkStart w:name="_Toc76995773" w:id="100"/>
      <w:r w:rsidRPr="00994798">
        <w:t xml:space="preserve">The East Pasadena Acquisition Contingency </w:t>
      </w:r>
      <w:r w:rsidR="00AF0AE6">
        <w:br/>
      </w:r>
      <w:r w:rsidRPr="00994798">
        <w:t>Memorandum Account</w:t>
      </w:r>
      <w:bookmarkEnd w:id="99"/>
      <w:bookmarkEnd w:id="100"/>
    </w:p>
    <w:p w:rsidRPr="00470269" w:rsidR="00CB4B83" w:rsidP="00CB4B83" w:rsidRDefault="008240B5" w14:paraId="11221E05" w14:textId="24BE9CDB">
      <w:pPr>
        <w:pStyle w:val="Standard"/>
      </w:pPr>
      <w:r w:rsidRPr="00470269">
        <w:t>The Joint Applicants</w:t>
      </w:r>
      <w:r w:rsidRPr="00470269" w:rsidR="009E1F5A">
        <w:t>’</w:t>
      </w:r>
      <w:r w:rsidRPr="00470269">
        <w:t xml:space="preserve"> estimate of revenues that may be lost during the years 2021, 2022 and 2023 should be the same as the revenues calculated for illustrative purposes if the acquisition were to close immediately, which is $1.945</w:t>
      </w:r>
      <w:r w:rsidRPr="00470269" w:rsidR="00AF0AE6">
        <w:t> </w:t>
      </w:r>
      <w:r w:rsidRPr="00470269">
        <w:t>million</w:t>
      </w:r>
      <w:r w:rsidRPr="00470269" w:rsidR="001B3D13">
        <w:t>,</w:t>
      </w:r>
      <w:r w:rsidRPr="00470269">
        <w:t xml:space="preserve"> annually.</w:t>
      </w:r>
    </w:p>
    <w:p w:rsidRPr="00470269" w:rsidR="00A60F88" w:rsidP="00CB4B83" w:rsidRDefault="00A60F88" w14:paraId="18D41B75" w14:textId="21AA3AD9">
      <w:pPr>
        <w:pStyle w:val="Standard"/>
      </w:pPr>
      <w:r w:rsidRPr="00470269">
        <w:t>The Public Advocates Office oppose</w:t>
      </w:r>
      <w:r w:rsidRPr="00470269" w:rsidR="000416B8">
        <w:t>d</w:t>
      </w:r>
      <w:r w:rsidRPr="00470269">
        <w:t xml:space="preserve"> the requests to establish both </w:t>
      </w:r>
      <w:r w:rsidRPr="00470269" w:rsidR="0034257C">
        <w:t xml:space="preserve">new </w:t>
      </w:r>
      <w:r w:rsidRPr="00470269">
        <w:t xml:space="preserve">memorandum accounts, disputing that the </w:t>
      </w:r>
      <w:r w:rsidRPr="00470269" w:rsidR="000416B8">
        <w:t xml:space="preserve">Commission’s </w:t>
      </w:r>
      <w:r w:rsidRPr="00470269">
        <w:t>criteria for establish</w:t>
      </w:r>
      <w:r w:rsidRPr="00470269" w:rsidR="000416B8">
        <w:t xml:space="preserve">ing </w:t>
      </w:r>
      <w:r w:rsidRPr="00470269">
        <w:t>memorandum accounts appl</w:t>
      </w:r>
      <w:r w:rsidRPr="00470269" w:rsidR="000416B8">
        <w:t>y</w:t>
      </w:r>
      <w:r w:rsidRPr="00470269" w:rsidR="00A34766">
        <w:t xml:space="preserve"> to the facts of this proceeding</w:t>
      </w:r>
      <w:r w:rsidRPr="00470269">
        <w:t>, and point</w:t>
      </w:r>
      <w:r w:rsidRPr="00470269" w:rsidR="00A34766">
        <w:t>s</w:t>
      </w:r>
      <w:r w:rsidRPr="00470269">
        <w:t xml:space="preserve"> to</w:t>
      </w:r>
      <w:r w:rsidRPr="00470269" w:rsidR="00A34766">
        <w:t xml:space="preserve"> </w:t>
      </w:r>
      <w:r w:rsidRPr="00470269">
        <w:t xml:space="preserve">a </w:t>
      </w:r>
      <w:r w:rsidRPr="00470269">
        <w:lastRenderedPageBreak/>
        <w:t xml:space="preserve">recent Cal-Am acquisition as precedential, </w:t>
      </w:r>
      <w:r w:rsidRPr="00470269" w:rsidR="000416B8">
        <w:t xml:space="preserve">where Cal-Am </w:t>
      </w:r>
      <w:r w:rsidR="00450187">
        <w:t xml:space="preserve">acquired </w:t>
      </w:r>
      <w:r w:rsidRPr="00470269">
        <w:t>Hillview Water Company</w:t>
      </w:r>
      <w:r w:rsidRPr="00470269" w:rsidR="00471AB0">
        <w:t>.</w:t>
      </w:r>
      <w:r w:rsidRPr="00470269" w:rsidR="001B3D13">
        <w:rPr>
          <w:rStyle w:val="FootnoteReference"/>
        </w:rPr>
        <w:footnoteReference w:id="70"/>
      </w:r>
    </w:p>
    <w:p w:rsidRPr="00470269" w:rsidR="0017241B" w:rsidP="00CB4B83" w:rsidRDefault="00160EEC" w14:paraId="63C1CE35" w14:textId="4AC93731">
      <w:pPr>
        <w:pStyle w:val="Standard"/>
      </w:pPr>
      <w:r w:rsidRPr="00470269">
        <w:t xml:space="preserve">Cal-Am </w:t>
      </w:r>
      <w:r w:rsidRPr="00470269" w:rsidR="00A34766">
        <w:t xml:space="preserve">failed to </w:t>
      </w:r>
      <w:r w:rsidRPr="00470269">
        <w:t>ma</w:t>
      </w:r>
      <w:r w:rsidRPr="00470269" w:rsidR="00A34766">
        <w:t>k</w:t>
      </w:r>
      <w:r w:rsidRPr="00470269">
        <w:t>e a unique case for</w:t>
      </w:r>
      <w:r w:rsidRPr="00470269" w:rsidR="004471AA">
        <w:t xml:space="preserve"> </w:t>
      </w:r>
      <w:r w:rsidRPr="00470269" w:rsidR="00E0667E">
        <w:t xml:space="preserve">the </w:t>
      </w:r>
      <w:r w:rsidRPr="00470269" w:rsidR="00764E54">
        <w:t xml:space="preserve">Contingency Account </w:t>
      </w:r>
      <w:r w:rsidRPr="00470269">
        <w:t xml:space="preserve">to show that it </w:t>
      </w:r>
      <w:r w:rsidRPr="00470269" w:rsidR="00E0667E">
        <w:t>c</w:t>
      </w:r>
      <w:r w:rsidRPr="00470269">
        <w:t>ould be materially</w:t>
      </w:r>
      <w:r w:rsidRPr="00470269" w:rsidR="00E0667E">
        <w:t xml:space="preserve"> harmed</w:t>
      </w:r>
      <w:r w:rsidRPr="00470269" w:rsidR="002631EF">
        <w:t xml:space="preserve">. </w:t>
      </w:r>
      <w:r w:rsidR="00390533">
        <w:t>If, as Cal-Am states in opening comments of the proposed decision, East Pasadena’s larger size</w:t>
      </w:r>
      <w:r w:rsidRPr="00470269" w:rsidR="008E1C87">
        <w:t xml:space="preserve"> </w:t>
      </w:r>
      <w:r w:rsidR="00390533">
        <w:t xml:space="preserve">increases the variability of regulatory risk as well as the magnitude of risk, so does East Pasadena’s larger size increase the potential for reward. </w:t>
      </w:r>
      <w:r w:rsidRPr="00470269" w:rsidR="002631EF">
        <w:t>Cal-Am is subject to a regular cycle of rate proceedings including the GRC</w:t>
      </w:r>
      <w:r w:rsidRPr="00470269" w:rsidR="00B3156F">
        <w:t xml:space="preserve">s and attrition filings which adjust rates in between GRCs. </w:t>
      </w:r>
      <w:r w:rsidRPr="00470269" w:rsidR="008E1C87">
        <w:t xml:space="preserve"> </w:t>
      </w:r>
      <w:r w:rsidRPr="00470269" w:rsidR="00B3156F">
        <w:t xml:space="preserve">We discount </w:t>
      </w:r>
      <w:r w:rsidRPr="00470269" w:rsidR="00FB25B9">
        <w:t>t</w:t>
      </w:r>
      <w:r w:rsidRPr="00470269" w:rsidR="00F40E15">
        <w:t>he Public Advocates Office</w:t>
      </w:r>
      <w:r w:rsidRPr="00470269" w:rsidR="00FB25B9">
        <w:t>’s</w:t>
      </w:r>
      <w:r w:rsidRPr="00470269" w:rsidR="00F40E15">
        <w:t xml:space="preserve"> reliance on a single recent </w:t>
      </w:r>
      <w:proofErr w:type="gramStart"/>
      <w:r w:rsidRPr="00470269" w:rsidR="00F40E15">
        <w:t>decision</w:t>
      </w:r>
      <w:r w:rsidRPr="00470269" w:rsidR="00FB25B9">
        <w:t>,</w:t>
      </w:r>
      <w:r w:rsidRPr="00470269" w:rsidR="00F40E15">
        <w:t xml:space="preserve"> because</w:t>
      </w:r>
      <w:proofErr w:type="gramEnd"/>
      <w:r w:rsidRPr="00470269" w:rsidR="00F40E15">
        <w:t xml:space="preserve"> the Commission is not rigidly bound to </w:t>
      </w:r>
      <w:r w:rsidRPr="00470269" w:rsidR="00AC7963">
        <w:t>precedent but</w:t>
      </w:r>
      <w:r w:rsidRPr="00470269" w:rsidR="00895775">
        <w:t xml:space="preserve"> must instead consider each proceeding on its own merits as well as </w:t>
      </w:r>
      <w:r w:rsidRPr="00470269" w:rsidR="008938F7">
        <w:t xml:space="preserve">recent prior decisions.  </w:t>
      </w:r>
    </w:p>
    <w:p w:rsidRPr="00470269" w:rsidR="00FB25B9" w:rsidP="00CB4B83" w:rsidRDefault="008938F7" w14:paraId="5DC32E51" w14:textId="7DBD41AC">
      <w:pPr>
        <w:pStyle w:val="Standard"/>
      </w:pPr>
      <w:r w:rsidRPr="00470269">
        <w:t xml:space="preserve">Cal-Am entered into the </w:t>
      </w:r>
      <w:r w:rsidRPr="00470269" w:rsidR="00AC7963">
        <w:t>purchase</w:t>
      </w:r>
      <w:r w:rsidRPr="00470269">
        <w:t xml:space="preserve"> of </w:t>
      </w:r>
      <w:r w:rsidRPr="00470269" w:rsidR="00AC7963">
        <w:t xml:space="preserve">East Pasadena as an experienced and competently run utility subject to this Commission’s regulatory </w:t>
      </w:r>
      <w:r w:rsidRPr="00470269" w:rsidR="00501BBD">
        <w:t xml:space="preserve">regime and should have fully understood and considered the </w:t>
      </w:r>
      <w:proofErr w:type="spellStart"/>
      <w:r w:rsidRPr="00470269" w:rsidR="00501BBD">
        <w:t>ratesetting</w:t>
      </w:r>
      <w:proofErr w:type="spellEnd"/>
      <w:r w:rsidRPr="00470269" w:rsidR="00501BBD">
        <w:t xml:space="preserve"> cycle as one of many factors affecting its decision to acquire the company. </w:t>
      </w:r>
      <w:r w:rsidRPr="00470269" w:rsidR="008E1C87">
        <w:t xml:space="preserve"> </w:t>
      </w:r>
      <w:r w:rsidRPr="00470269" w:rsidR="00BC1FCA">
        <w:t xml:space="preserve">We could not approve </w:t>
      </w:r>
      <w:r w:rsidRPr="00470269" w:rsidR="004C7A67">
        <w:t xml:space="preserve">the </w:t>
      </w:r>
      <w:r w:rsidRPr="00470269" w:rsidR="00010B32">
        <w:t xml:space="preserve">acquisition of East </w:t>
      </w:r>
      <w:proofErr w:type="gramStart"/>
      <w:r w:rsidRPr="00470269" w:rsidR="00010B32">
        <w:t>Pasadena</w:t>
      </w:r>
      <w:r w:rsidRPr="00470269" w:rsidR="00FB25B9">
        <w:t>,</w:t>
      </w:r>
      <w:r w:rsidRPr="00470269" w:rsidR="00BC1FCA">
        <w:t xml:space="preserve"> if</w:t>
      </w:r>
      <w:proofErr w:type="gramEnd"/>
      <w:r w:rsidRPr="00470269" w:rsidR="00BC1FCA">
        <w:t xml:space="preserve"> we did not believe that Cal-Am was a competent entity to </w:t>
      </w:r>
      <w:r w:rsidRPr="00470269" w:rsidR="00650243">
        <w:t>operate East Pasadena in</w:t>
      </w:r>
      <w:r w:rsidRPr="00470269" w:rsidR="00A76CA1">
        <w:t xml:space="preserve"> </w:t>
      </w:r>
      <w:r w:rsidRPr="00470269" w:rsidR="008B2654">
        <w:t>place</w:t>
      </w:r>
      <w:r w:rsidRPr="00470269" w:rsidR="00650243">
        <w:t xml:space="preserve"> of the seller. </w:t>
      </w:r>
      <w:r w:rsidRPr="00470269" w:rsidR="008E1C87">
        <w:t xml:space="preserve"> </w:t>
      </w:r>
      <w:r w:rsidRPr="00470269" w:rsidR="00650243">
        <w:t xml:space="preserve">As a competent entity Cal-Am should have </w:t>
      </w:r>
      <w:r w:rsidRPr="00470269" w:rsidR="00951196">
        <w:t>recognized</w:t>
      </w:r>
      <w:r w:rsidRPr="00470269" w:rsidR="00650243">
        <w:t xml:space="preserve"> that the price it would pay would </w:t>
      </w:r>
      <w:r w:rsidRPr="00470269" w:rsidR="00951196">
        <w:t xml:space="preserve">include the attendant risks and opportunities </w:t>
      </w:r>
      <w:r w:rsidRPr="00470269" w:rsidR="00EB76F8">
        <w:t xml:space="preserve">offered by East Pasadena’s current and near-term </w:t>
      </w:r>
      <w:r w:rsidRPr="00470269" w:rsidR="008B2654">
        <w:t xml:space="preserve">operations and </w:t>
      </w:r>
      <w:r w:rsidRPr="00470269" w:rsidR="00EB76F8">
        <w:t xml:space="preserve">revenue stream as well as the open-ended opportunity for </w:t>
      </w:r>
      <w:r w:rsidRPr="00470269" w:rsidR="004F29FB">
        <w:t xml:space="preserve">a future revenue stream as a part of Cal-Am’s overall </w:t>
      </w:r>
      <w:r w:rsidRPr="00470269" w:rsidR="000C4E02">
        <w:t xml:space="preserve">operations. </w:t>
      </w:r>
    </w:p>
    <w:p w:rsidRPr="00470269" w:rsidR="00384446" w:rsidP="00CB4B83" w:rsidRDefault="000A0C66" w14:paraId="5EC3D246" w14:textId="05640EBD">
      <w:pPr>
        <w:pStyle w:val="Standard"/>
      </w:pPr>
      <w:r w:rsidRPr="00470269">
        <w:t xml:space="preserve">We </w:t>
      </w:r>
      <w:r w:rsidRPr="00470269" w:rsidR="00FB25B9">
        <w:t xml:space="preserve">therefore </w:t>
      </w:r>
      <w:r w:rsidRPr="00470269">
        <w:t xml:space="preserve">find that there is no </w:t>
      </w:r>
      <w:r w:rsidRPr="00470269" w:rsidR="000C4E02">
        <w:t>“</w:t>
      </w:r>
      <w:r w:rsidRPr="00470269">
        <w:t>contingency</w:t>
      </w:r>
      <w:r w:rsidRPr="00470269" w:rsidR="000C4E02">
        <w:t>” or other circumstances</w:t>
      </w:r>
      <w:r w:rsidRPr="00470269">
        <w:t xml:space="preserve"> </w:t>
      </w:r>
      <w:r w:rsidRPr="00470269" w:rsidR="000D743A">
        <w:t xml:space="preserve">that warrant the creation of </w:t>
      </w:r>
      <w:r w:rsidRPr="00470269" w:rsidR="000C4E02">
        <w:t>the proposed</w:t>
      </w:r>
      <w:r w:rsidRPr="00470269" w:rsidR="000D743A">
        <w:t xml:space="preserve"> Contingency Account.</w:t>
      </w:r>
    </w:p>
    <w:p w:rsidRPr="00054EB4" w:rsidR="000D743A" w:rsidP="00AF0AE6" w:rsidRDefault="00994798" w14:paraId="3755251C" w14:textId="58A1AA7A">
      <w:pPr>
        <w:pStyle w:val="Heading3"/>
        <w:tabs>
          <w:tab w:val="clear" w:pos="1440"/>
          <w:tab w:val="num" w:pos="1530"/>
        </w:tabs>
      </w:pPr>
      <w:bookmarkStart w:name="_Toc72748079" w:id="101"/>
      <w:bookmarkStart w:name="_Toc76995774" w:id="102"/>
      <w:r>
        <w:lastRenderedPageBreak/>
        <w:t xml:space="preserve">The East Pasadena </w:t>
      </w:r>
      <w:r w:rsidRPr="00AF0AE6">
        <w:t>Transaction</w:t>
      </w:r>
      <w:r>
        <w:t xml:space="preserve"> </w:t>
      </w:r>
      <w:r w:rsidR="00506E52">
        <w:br/>
      </w:r>
      <w:r>
        <w:t>Cost Memorandum</w:t>
      </w:r>
      <w:bookmarkEnd w:id="101"/>
      <w:r>
        <w:t xml:space="preserve"> </w:t>
      </w:r>
      <w:r w:rsidR="0051175F">
        <w:t>Account</w:t>
      </w:r>
      <w:bookmarkEnd w:id="102"/>
    </w:p>
    <w:p w:rsidRPr="00470269" w:rsidR="00B80FBC" w:rsidP="007405BF" w:rsidRDefault="007F5BDE" w14:paraId="0EE32C98" w14:textId="5E873C18">
      <w:pPr>
        <w:pStyle w:val="Standard"/>
      </w:pPr>
      <w:r w:rsidRPr="00470269">
        <w:t xml:space="preserve">The Transaction </w:t>
      </w:r>
      <w:r w:rsidRPr="00470269" w:rsidR="008D6419">
        <w:t>Account</w:t>
      </w:r>
      <w:r w:rsidRPr="00470269">
        <w:t xml:space="preserve"> would track the costs of activities necessary to complete the transaction, such as legal, engineering, surveying, appraisal, noticing, and other professional activities. </w:t>
      </w:r>
      <w:r w:rsidRPr="00470269" w:rsidR="008E1C87">
        <w:t xml:space="preserve"> </w:t>
      </w:r>
      <w:r w:rsidRPr="00470269">
        <w:t xml:space="preserve">The Joint Applicants </w:t>
      </w:r>
      <w:r w:rsidRPr="00470269" w:rsidR="00C85C24">
        <w:t xml:space="preserve">argue that </w:t>
      </w:r>
      <w:r w:rsidRPr="00470269">
        <w:t>they have spent approximately $290,000 in transaction costs as of October 2020.</w:t>
      </w:r>
      <w:r w:rsidRPr="00470269">
        <w:rPr>
          <w:rStyle w:val="FootnoteReference"/>
        </w:rPr>
        <w:footnoteReference w:id="71"/>
      </w:r>
      <w:r w:rsidRPr="00470269" w:rsidR="008D6419">
        <w:t xml:space="preserve"> </w:t>
      </w:r>
      <w:r w:rsidRPr="00470269" w:rsidR="008E1C87">
        <w:t xml:space="preserve"> </w:t>
      </w:r>
      <w:r w:rsidRPr="00470269" w:rsidR="00B80FBC">
        <w:t xml:space="preserve">In support of their requests for both memorandum accounts, the Joint Applicants </w:t>
      </w:r>
      <w:r w:rsidRPr="00470269" w:rsidR="007405BF">
        <w:t>argued</w:t>
      </w:r>
      <w:r w:rsidRPr="00470269" w:rsidR="00B80FBC">
        <w:t xml:space="preserve"> th</w:t>
      </w:r>
      <w:r w:rsidRPr="00470269" w:rsidR="00DF77D7">
        <w:t>e</w:t>
      </w:r>
      <w:r w:rsidRPr="00470269" w:rsidR="00B80FBC">
        <w:t xml:space="preserve"> request</w:t>
      </w:r>
      <w:r w:rsidR="00E37FE6">
        <w:t>s</w:t>
      </w:r>
      <w:r w:rsidRPr="00470269" w:rsidR="00DF77D7">
        <w:t xml:space="preserve"> (for both the Contingency Account and Transaction Account)</w:t>
      </w:r>
      <w:r w:rsidRPr="00470269" w:rsidR="00B80FBC">
        <w:t xml:space="preserve"> meet the Commission’s criteria </w:t>
      </w:r>
      <w:r w:rsidRPr="00470269" w:rsidR="00971569">
        <w:t>for creating memorandum accounts</w:t>
      </w:r>
      <w:r w:rsidRPr="00470269" w:rsidR="00B80FBC">
        <w:t xml:space="preserve"> and are consistent with recent Commission decisions approving Cal</w:t>
      </w:r>
      <w:r w:rsidRPr="00470269" w:rsidR="00971569">
        <w:t>-</w:t>
      </w:r>
      <w:r w:rsidRPr="00470269" w:rsidR="00B80FBC">
        <w:t xml:space="preserve">Am’s </w:t>
      </w:r>
      <w:r w:rsidRPr="00470269" w:rsidR="00F6617E">
        <w:t>other acquisitions</w:t>
      </w:r>
      <w:r w:rsidRPr="00470269" w:rsidR="00B80FBC">
        <w:t xml:space="preserve">. </w:t>
      </w:r>
    </w:p>
    <w:p w:rsidRPr="00470269" w:rsidR="003F3364" w:rsidP="00AF0AE6" w:rsidRDefault="00691DAA" w14:paraId="198AEA23" w14:textId="2EA969EA">
      <w:pPr>
        <w:pStyle w:val="Standard"/>
      </w:pPr>
      <w:r w:rsidRPr="00470269">
        <w:t xml:space="preserve">The Public Advocates Office opposed </w:t>
      </w:r>
      <w:r w:rsidRPr="00470269" w:rsidR="003F3364">
        <w:t>granting the Transaction Account as well as the Contingency Account, above.</w:t>
      </w:r>
    </w:p>
    <w:p w:rsidRPr="00470269" w:rsidR="00971569" w:rsidP="00AF0AE6" w:rsidRDefault="00FB2117" w14:paraId="527B2519" w14:textId="17FD24BB">
      <w:pPr>
        <w:pStyle w:val="Standard"/>
      </w:pPr>
      <w:r w:rsidRPr="00470269">
        <w:t>As noted above</w:t>
      </w:r>
      <w:r w:rsidRPr="00470269" w:rsidR="009E1F5A">
        <w:t>,</w:t>
      </w:r>
      <w:r w:rsidRPr="00470269">
        <w:t xml:space="preserve"> Cal-Am is a sophisticated party </w:t>
      </w:r>
      <w:r w:rsidRPr="00470269" w:rsidR="009F5637">
        <w:t>that has purchased other water systems</w:t>
      </w:r>
      <w:r w:rsidRPr="00470269" w:rsidR="007A3CE0">
        <w:t xml:space="preserve"> </w:t>
      </w:r>
      <w:r w:rsidRPr="00470269">
        <w:t xml:space="preserve">and </w:t>
      </w:r>
      <w:r w:rsidRPr="00470269" w:rsidR="007A3CE0">
        <w:t>is</w:t>
      </w:r>
      <w:r w:rsidRPr="00470269" w:rsidR="00222DD8">
        <w:t xml:space="preserve"> well able to consider its risks and rewards by entering into the agreement to buy </w:t>
      </w:r>
      <w:r w:rsidRPr="00470269" w:rsidR="00E2241B">
        <w:t xml:space="preserve">East Pasadena’s operations and </w:t>
      </w:r>
      <w:r w:rsidRPr="00470269" w:rsidR="009F5637">
        <w:t xml:space="preserve">it </w:t>
      </w:r>
      <w:r w:rsidRPr="00470269" w:rsidR="00F32BD2">
        <w:t xml:space="preserve">has </w:t>
      </w:r>
      <w:r w:rsidRPr="00470269" w:rsidR="00435E6C">
        <w:t xml:space="preserve">had every opportunity to include in this application all </w:t>
      </w:r>
      <w:r w:rsidRPr="00470269" w:rsidR="003674B7">
        <w:t>foreseeable</w:t>
      </w:r>
      <w:r w:rsidRPr="00470269" w:rsidR="00435E6C">
        <w:t xml:space="preserve"> costs in addition to the purchase price</w:t>
      </w:r>
      <w:r w:rsidRPr="00470269" w:rsidR="003674B7">
        <w:t xml:space="preserve">. </w:t>
      </w:r>
      <w:r w:rsidRPr="00470269" w:rsidR="008E1C87">
        <w:t xml:space="preserve"> </w:t>
      </w:r>
      <w:r w:rsidRPr="00470269" w:rsidR="009F5637">
        <w:t xml:space="preserve">Additionally, Cal-Am is a sophisticated </w:t>
      </w:r>
      <w:r w:rsidRPr="00470269" w:rsidR="007A3CE0">
        <w:t xml:space="preserve">operator of water systems and should have </w:t>
      </w:r>
      <w:r w:rsidRPr="00470269" w:rsidR="008C09C5">
        <w:t xml:space="preserve">carefully and fully examined East Pasadena’s operations before </w:t>
      </w:r>
      <w:proofErr w:type="gramStart"/>
      <w:r w:rsidRPr="00470269" w:rsidR="008C09C5">
        <w:t>entering into</w:t>
      </w:r>
      <w:proofErr w:type="gramEnd"/>
      <w:r w:rsidRPr="00470269" w:rsidR="008C09C5">
        <w:t xml:space="preserve"> a transaction. </w:t>
      </w:r>
      <w:r w:rsidRPr="00470269" w:rsidR="008E1C87">
        <w:t xml:space="preserve"> </w:t>
      </w:r>
      <w:r w:rsidRPr="00470269" w:rsidR="00584704">
        <w:t xml:space="preserve">Spending over $290,000, as of last November, is not a small sum </w:t>
      </w:r>
      <w:r w:rsidRPr="00470269" w:rsidR="0064626B">
        <w:t>even for Cal-Am.</w:t>
      </w:r>
      <w:r w:rsidRPr="00470269" w:rsidR="008E1C87">
        <w:t xml:space="preserve"> </w:t>
      </w:r>
      <w:r w:rsidRPr="00470269" w:rsidR="0064626B">
        <w:t xml:space="preserve"> The Public Advocates Office is well within its remit </w:t>
      </w:r>
      <w:r w:rsidRPr="00470269" w:rsidR="00C97AB2">
        <w:t>to be concerned that these costs may be unnecessary</w:t>
      </w:r>
      <w:r w:rsidRPr="00470269" w:rsidR="00E403CB">
        <w:t xml:space="preserve"> or</w:t>
      </w:r>
      <w:r w:rsidRPr="00470269" w:rsidR="00C97AB2">
        <w:t xml:space="preserve"> excessive</w:t>
      </w:r>
      <w:r w:rsidRPr="00470269" w:rsidR="00E403CB">
        <w:t>.</w:t>
      </w:r>
    </w:p>
    <w:p w:rsidRPr="00470269" w:rsidR="005B0CC0" w:rsidP="00AF0AE6" w:rsidRDefault="005B0CC0" w14:paraId="655CC405" w14:textId="6751E37D">
      <w:pPr>
        <w:pStyle w:val="Standard"/>
      </w:pPr>
      <w:r w:rsidRPr="00470269">
        <w:t>No costs incurred before the creation of a memorandum account may be included in this account. To do so would violate the prohibi</w:t>
      </w:r>
      <w:r w:rsidRPr="00470269" w:rsidR="008B69D7">
        <w:t xml:space="preserve">tion on retroactive </w:t>
      </w:r>
      <w:r w:rsidRPr="00470269" w:rsidR="008B69D7">
        <w:lastRenderedPageBreak/>
        <w:t>ratemaking.</w:t>
      </w:r>
      <w:r w:rsidRPr="00470269" w:rsidR="008B69D7">
        <w:rPr>
          <w:rStyle w:val="FootnoteReference"/>
        </w:rPr>
        <w:footnoteReference w:id="72"/>
      </w:r>
      <w:r w:rsidRPr="00470269" w:rsidR="008B69D7">
        <w:t xml:space="preserve">  </w:t>
      </w:r>
      <w:r w:rsidR="00A82DAA">
        <w:t xml:space="preserve">Cal-Am’s concern that limiting the Transaction Account to costs going forward would disincentive future water system consolidations is speculative. As in this case, the statutory incentive may suffice. </w:t>
      </w:r>
    </w:p>
    <w:p w:rsidRPr="00470269" w:rsidR="0089441B" w:rsidP="00AF0AE6" w:rsidRDefault="00FB25B9" w14:paraId="03FD5111" w14:textId="6BEBD683">
      <w:pPr>
        <w:pStyle w:val="Standard"/>
      </w:pPr>
      <w:r w:rsidRPr="00470269">
        <w:t>Based on the foregoing, w</w:t>
      </w:r>
      <w:r w:rsidRPr="00470269" w:rsidR="0089441B">
        <w:t>e</w:t>
      </w:r>
      <w:r w:rsidRPr="00470269">
        <w:t xml:space="preserve"> authorize</w:t>
      </w:r>
      <w:r w:rsidRPr="00470269" w:rsidR="0089441B">
        <w:t xml:space="preserve"> the </w:t>
      </w:r>
      <w:r w:rsidR="00E37FE6">
        <w:t>Transaction</w:t>
      </w:r>
      <w:r w:rsidRPr="00470269" w:rsidR="0089441B">
        <w:t xml:space="preserve"> Account subject to </w:t>
      </w:r>
      <w:r w:rsidRPr="00470269" w:rsidR="009C246A">
        <w:t xml:space="preserve">review by the Commission in a subsequent proceeding. </w:t>
      </w:r>
      <w:r w:rsidRPr="00470269" w:rsidR="008E1C87">
        <w:t xml:space="preserve"> </w:t>
      </w:r>
      <w:r w:rsidRPr="00470269" w:rsidR="009C246A">
        <w:t xml:space="preserve">We remind all parties that this is a Memorandum Account. </w:t>
      </w:r>
      <w:r w:rsidRPr="00470269" w:rsidR="008E1C87">
        <w:t xml:space="preserve"> </w:t>
      </w:r>
      <w:r w:rsidRPr="00470269" w:rsidR="009C246A">
        <w:t>As such there is no presumption that the costs will be found nece</w:t>
      </w:r>
      <w:r w:rsidRPr="00470269" w:rsidR="003B301F">
        <w:t>ssary or reasonable and</w:t>
      </w:r>
      <w:r w:rsidRPr="00470269" w:rsidR="003623BE">
        <w:t>,</w:t>
      </w:r>
      <w:r w:rsidRPr="00470269" w:rsidR="003B301F">
        <w:t xml:space="preserve"> </w:t>
      </w:r>
      <w:r w:rsidRPr="00470269" w:rsidR="0006697B">
        <w:t>instead</w:t>
      </w:r>
      <w:r w:rsidRPr="00470269" w:rsidR="003623BE">
        <w:t>,</w:t>
      </w:r>
      <w:r w:rsidRPr="00470269" w:rsidR="0006697B">
        <w:t xml:space="preserve"> they </w:t>
      </w:r>
      <w:r w:rsidRPr="00470269" w:rsidR="003B301F">
        <w:t xml:space="preserve">may not be recoverable. </w:t>
      </w:r>
      <w:r w:rsidRPr="00470269" w:rsidR="008E1C87">
        <w:t xml:space="preserve"> </w:t>
      </w:r>
      <w:r w:rsidRPr="00470269" w:rsidR="003B301F">
        <w:t xml:space="preserve">Merely spending the money does not justify </w:t>
      </w:r>
      <w:r w:rsidRPr="00470269" w:rsidR="000C5F84">
        <w:t xml:space="preserve">future </w:t>
      </w:r>
      <w:r w:rsidRPr="00470269" w:rsidR="003B301F">
        <w:t>recovery</w:t>
      </w:r>
      <w:r w:rsidRPr="00470269" w:rsidR="000C5F84">
        <w:t xml:space="preserve"> in rates</w:t>
      </w:r>
      <w:r w:rsidRPr="00470269" w:rsidR="003B301F">
        <w:t>.</w:t>
      </w:r>
      <w:r w:rsidRPr="00470269" w:rsidR="000C5F84">
        <w:t xml:space="preserve">  Cal-Am bears the full burden of proof for both the necessity of these costs </w:t>
      </w:r>
      <w:r w:rsidRPr="00470269" w:rsidR="00D35B89">
        <w:t xml:space="preserve">and their reasonableness. </w:t>
      </w:r>
      <w:r w:rsidRPr="00470269" w:rsidR="008E1C87">
        <w:t xml:space="preserve"> </w:t>
      </w:r>
      <w:r w:rsidRPr="00470269" w:rsidR="00D35B89">
        <w:t>“</w:t>
      </w:r>
      <w:r w:rsidRPr="00470269">
        <w:t>N</w:t>
      </w:r>
      <w:r w:rsidRPr="00470269" w:rsidR="00D35B89">
        <w:t>ecessity” mean</w:t>
      </w:r>
      <w:r w:rsidRPr="00470269">
        <w:t>s</w:t>
      </w:r>
      <w:r w:rsidRPr="00470269" w:rsidR="00D35B89">
        <w:t xml:space="preserve"> that these costs benefit the </w:t>
      </w:r>
      <w:r w:rsidRPr="00470269" w:rsidR="0052106B">
        <w:t xml:space="preserve">customers by improving or maintaining the </w:t>
      </w:r>
      <w:r w:rsidRPr="00470269" w:rsidR="00B636BF">
        <w:t xml:space="preserve">system in a reasonable manner to provide </w:t>
      </w:r>
      <w:r w:rsidRPr="00470269" w:rsidR="00405F9D">
        <w:t xml:space="preserve">safe and reliable </w:t>
      </w:r>
      <w:r w:rsidRPr="00470269" w:rsidR="00B636BF">
        <w:t>water service.</w:t>
      </w:r>
      <w:r w:rsidRPr="00470269" w:rsidR="008E1C87">
        <w:t xml:space="preserve"> </w:t>
      </w:r>
      <w:r w:rsidRPr="00470269" w:rsidR="00B636BF">
        <w:t xml:space="preserve"> </w:t>
      </w:r>
      <w:r w:rsidRPr="00470269">
        <w:t>Conversely, a</w:t>
      </w:r>
      <w:r w:rsidRPr="00470269" w:rsidR="00B636BF">
        <w:t xml:space="preserve">ny costs incurred that serve to protect or benefit </w:t>
      </w:r>
      <w:r w:rsidRPr="00470269" w:rsidR="006A1E2A">
        <w:t xml:space="preserve">Cal-Am’s shareholders would not meet this </w:t>
      </w:r>
      <w:r w:rsidRPr="00470269">
        <w:t>definition</w:t>
      </w:r>
      <w:r w:rsidRPr="00470269" w:rsidR="006A1E2A">
        <w:t xml:space="preserve">. </w:t>
      </w:r>
      <w:r w:rsidRPr="00470269" w:rsidR="00B636BF">
        <w:t xml:space="preserve"> </w:t>
      </w:r>
      <w:r w:rsidRPr="00470269" w:rsidR="003B301F">
        <w:t xml:space="preserve">  </w:t>
      </w:r>
    </w:p>
    <w:p w:rsidRPr="00054EB4" w:rsidR="00EB72BF" w:rsidP="00AF0AE6" w:rsidRDefault="00EB72BF" w14:paraId="4533368E" w14:textId="3C28B4E2">
      <w:pPr>
        <w:pStyle w:val="Heading3"/>
        <w:tabs>
          <w:tab w:val="clear" w:pos="1440"/>
          <w:tab w:val="num" w:pos="1530"/>
        </w:tabs>
      </w:pPr>
      <w:bookmarkStart w:name="_Toc72748080" w:id="103"/>
      <w:bookmarkStart w:name="_Toc76995775" w:id="104"/>
      <w:r w:rsidRPr="00054EB4">
        <w:t xml:space="preserve">Inclusion of East Pasadena in the </w:t>
      </w:r>
      <w:r w:rsidR="00506E52">
        <w:br/>
      </w:r>
      <w:r w:rsidRPr="00054EB4">
        <w:t>Existing</w:t>
      </w:r>
      <w:r w:rsidRPr="00054EB4" w:rsidR="00973D4C">
        <w:t xml:space="preserve"> Memorandum Account for </w:t>
      </w:r>
      <w:r w:rsidR="00506E52">
        <w:br/>
      </w:r>
      <w:r w:rsidRPr="00054EB4" w:rsidR="00973D4C">
        <w:t xml:space="preserve">Environmental Improvements and </w:t>
      </w:r>
      <w:r w:rsidR="00506E52">
        <w:br/>
      </w:r>
      <w:r w:rsidRPr="00054EB4" w:rsidR="00973D4C">
        <w:t xml:space="preserve">Compliance Issues for </w:t>
      </w:r>
      <w:r w:rsidRPr="00AF0AE6" w:rsidR="00973D4C">
        <w:t>Acquisitions</w:t>
      </w:r>
      <w:bookmarkEnd w:id="103"/>
      <w:bookmarkEnd w:id="104"/>
      <w:r w:rsidRPr="00054EB4" w:rsidR="00973D4C">
        <w:t xml:space="preserve"> </w:t>
      </w:r>
    </w:p>
    <w:p w:rsidRPr="00470269" w:rsidR="00973D4C" w:rsidP="00BB66E2" w:rsidRDefault="00973D4C" w14:paraId="5B720B9A" w14:textId="04333640">
      <w:pPr>
        <w:pStyle w:val="Standard"/>
      </w:pPr>
      <w:r w:rsidRPr="00470269">
        <w:t>Cal–Am’s request to expand the currently authorized memorandum account entitled “The Memorandum Account for Environmental Improvements and Compliance issues for Acquisitions” is unopposed and should be granted.</w:t>
      </w:r>
      <w:r w:rsidRPr="00470269" w:rsidR="00BB66E2">
        <w:t xml:space="preserve">  This is consistent with decisions in prior acquisitions and is in the public interest.</w:t>
      </w:r>
      <w:r w:rsidRPr="00470269" w:rsidR="005B5060">
        <w:t xml:space="preserve">  Like all memorandum accounts</w:t>
      </w:r>
      <w:r w:rsidRPr="00470269" w:rsidR="00FB25B9">
        <w:t>,</w:t>
      </w:r>
      <w:r w:rsidRPr="00470269" w:rsidR="005B5060">
        <w:t xml:space="preserve"> it is subject to review before any recovery is included in rates.</w:t>
      </w:r>
    </w:p>
    <w:p w:rsidRPr="00054EB4" w:rsidR="00B80FBC" w:rsidP="00506E52" w:rsidRDefault="0020406D" w14:paraId="2EEEDCBD" w14:textId="6255A3C3">
      <w:pPr>
        <w:pStyle w:val="Heading1"/>
      </w:pPr>
      <w:bookmarkStart w:name="_Toc72748081" w:id="105"/>
      <w:bookmarkStart w:name="_Toc76995776" w:id="106"/>
      <w:r w:rsidRPr="00054EB4">
        <w:lastRenderedPageBreak/>
        <w:t xml:space="preserve">Interim Rate Relief Until the </w:t>
      </w:r>
      <w:r w:rsidRPr="00054EB4" w:rsidR="002E2A6B">
        <w:t>Next GRC</w:t>
      </w:r>
      <w:bookmarkEnd w:id="105"/>
      <w:bookmarkEnd w:id="106"/>
    </w:p>
    <w:p w:rsidRPr="00470269" w:rsidR="00F06EC1" w:rsidP="00470269" w:rsidRDefault="00FB25B9" w14:paraId="6FCEDA37" w14:textId="05AD50A7">
      <w:pPr>
        <w:pStyle w:val="Standard"/>
      </w:pPr>
      <w:bookmarkStart w:name="_Hlk71643495" w:id="107"/>
      <w:bookmarkStart w:name="_Hlk72342512" w:id="108"/>
      <w:r w:rsidRPr="00470269">
        <w:t>As an interim rate relief, u</w:t>
      </w:r>
      <w:r w:rsidRPr="00470269" w:rsidR="0020406D">
        <w:t>ntil</w:t>
      </w:r>
      <w:r w:rsidRPr="00470269" w:rsidR="00B80FBC">
        <w:t xml:space="preserve"> </w:t>
      </w:r>
      <w:proofErr w:type="gramStart"/>
      <w:r w:rsidRPr="00470269" w:rsidR="0020406D">
        <w:t xml:space="preserve">Cal-Am </w:t>
      </w:r>
      <w:r w:rsidRPr="00470269" w:rsidR="00984A2E">
        <w:t>has</w:t>
      </w:r>
      <w:proofErr w:type="gramEnd"/>
      <w:r w:rsidRPr="00470269" w:rsidR="00984A2E">
        <w:t xml:space="preserve"> it next </w:t>
      </w:r>
      <w:r w:rsidRPr="00470269" w:rsidR="001C4B92">
        <w:t xml:space="preserve">2024 </w:t>
      </w:r>
      <w:r w:rsidRPr="00470269" w:rsidR="00984A2E">
        <w:t>GRC</w:t>
      </w:r>
      <w:r w:rsidRPr="00470269">
        <w:t>, Cal-Am</w:t>
      </w:r>
      <w:r w:rsidRPr="00470269" w:rsidR="00CF1826">
        <w:t xml:space="preserve"> </w:t>
      </w:r>
      <w:r w:rsidRPr="00470269" w:rsidR="00B80FBC">
        <w:t>request</w:t>
      </w:r>
      <w:r w:rsidRPr="00470269" w:rsidR="009A371E">
        <w:t>ed</w:t>
      </w:r>
      <w:r w:rsidRPr="00470269" w:rsidR="00B80FBC">
        <w:t xml:space="preserve"> permission to file for the annual cost-of-living rate increases the Commission would have permitted for East Pasadena had the acquisition not occurred.</w:t>
      </w:r>
      <w:r w:rsidRPr="00470269" w:rsidR="008E1C87">
        <w:t xml:space="preserve"> </w:t>
      </w:r>
      <w:r w:rsidRPr="00470269" w:rsidR="00B80FBC">
        <w:t xml:space="preserve"> </w:t>
      </w:r>
      <w:r w:rsidRPr="00470269">
        <w:t>Cal-Am’s request</w:t>
      </w:r>
      <w:r w:rsidRPr="00470269" w:rsidR="00377212">
        <w:t xml:space="preserve"> for interim rate relief is granted.</w:t>
      </w:r>
      <w:bookmarkEnd w:id="107"/>
      <w:r w:rsidRPr="00470269" w:rsidR="008E1C87">
        <w:t xml:space="preserve"> </w:t>
      </w:r>
      <w:r w:rsidRPr="00470269">
        <w:t xml:space="preserve"> </w:t>
      </w:r>
      <w:bookmarkEnd w:id="108"/>
      <w:r w:rsidRPr="00470269" w:rsidR="00B25A35">
        <w:t>W</w:t>
      </w:r>
      <w:r w:rsidRPr="00470269" w:rsidR="00B80FBC">
        <w:t xml:space="preserve">e find that the impact </w:t>
      </w:r>
      <w:r w:rsidRPr="00470269">
        <w:t xml:space="preserve">of the annual cost-of-living rate increases </w:t>
      </w:r>
      <w:r w:rsidRPr="00470269" w:rsidR="00B80FBC">
        <w:t xml:space="preserve">on East Pasadena customers is reasonable </w:t>
      </w:r>
      <w:r w:rsidRPr="00470269" w:rsidR="00B25A35">
        <w:t>because</w:t>
      </w:r>
      <w:r w:rsidRPr="00470269" w:rsidR="00B80FBC">
        <w:t xml:space="preserve"> </w:t>
      </w:r>
      <w:r w:rsidRPr="00470269" w:rsidR="009C24E0">
        <w:t>these filings</w:t>
      </w:r>
      <w:r w:rsidRPr="00470269" w:rsidR="00B80FBC">
        <w:t xml:space="preserve"> would </w:t>
      </w:r>
      <w:r w:rsidRPr="00470269" w:rsidR="009C24E0">
        <w:t xml:space="preserve">have </w:t>
      </w:r>
      <w:r w:rsidRPr="00470269" w:rsidR="00B80FBC">
        <w:t>occur</w:t>
      </w:r>
      <w:r w:rsidRPr="00470269" w:rsidR="009C24E0">
        <w:t>red</w:t>
      </w:r>
      <w:r w:rsidRPr="00470269" w:rsidR="00B80FBC">
        <w:t xml:space="preserve"> in the absence of the acquisition.</w:t>
      </w:r>
      <w:bookmarkStart w:name="_Toc8123721" w:id="109"/>
      <w:bookmarkEnd w:id="52"/>
      <w:r w:rsidRPr="00470269" w:rsidR="006E4434">
        <w:t xml:space="preserve">  </w:t>
      </w:r>
    </w:p>
    <w:p w:rsidRPr="00054EB4" w:rsidR="003C6A8C" w:rsidP="00506E52" w:rsidRDefault="003C6A8C" w14:paraId="37F557C9" w14:textId="5BE3AE34">
      <w:pPr>
        <w:pStyle w:val="Heading1"/>
      </w:pPr>
      <w:bookmarkStart w:name="_Toc72748082" w:id="110"/>
      <w:bookmarkStart w:name="_Toc76995777" w:id="111"/>
      <w:r w:rsidRPr="00054EB4">
        <w:t xml:space="preserve">Certificate of </w:t>
      </w:r>
      <w:r w:rsidRPr="00AF0AE6">
        <w:rPr>
          <w:rStyle w:val="Heading2Char"/>
          <w:rFonts w:cstheme="majorBidi"/>
          <w:b/>
          <w:szCs w:val="32"/>
        </w:rPr>
        <w:t>Public</w:t>
      </w:r>
      <w:r w:rsidRPr="00054EB4">
        <w:rPr>
          <w:rStyle w:val="Heading2Char"/>
          <w:b/>
        </w:rPr>
        <w:t xml:space="preserve"> Convenience and Necessity</w:t>
      </w:r>
      <w:bookmarkEnd w:id="110"/>
      <w:bookmarkEnd w:id="111"/>
      <w:r w:rsidRPr="00054EB4">
        <w:rPr>
          <w:rStyle w:val="Heading2Char"/>
          <w:b/>
        </w:rPr>
        <w:t xml:space="preserve"> </w:t>
      </w:r>
    </w:p>
    <w:p w:rsidRPr="00470269" w:rsidR="003C6A8C" w:rsidP="00470269" w:rsidRDefault="003C6A8C" w14:paraId="7354AEB7" w14:textId="4B6521B9">
      <w:pPr>
        <w:pStyle w:val="Standard"/>
      </w:pPr>
      <w:r w:rsidRPr="00470269">
        <w:t>Upon completion of the acquisition</w:t>
      </w:r>
      <w:r w:rsidRPr="00470269" w:rsidR="00377212">
        <w:t>,</w:t>
      </w:r>
      <w:r w:rsidRPr="00470269">
        <w:t xml:space="preserve"> East Pasadena will cease to </w:t>
      </w:r>
      <w:r w:rsidRPr="00470269" w:rsidR="00BA7B20">
        <w:t>operate</w:t>
      </w:r>
      <w:r w:rsidRPr="00904EEC" w:rsidR="006D1720">
        <w:rPr>
          <w:rStyle w:val="FootnoteReference"/>
        </w:rPr>
        <w:footnoteReference w:id="73"/>
      </w:r>
      <w:r w:rsidRPr="00470269">
        <w:t xml:space="preserve"> and Cal-Am will </w:t>
      </w:r>
      <w:r w:rsidRPr="00470269" w:rsidR="00B53D89">
        <w:t xml:space="preserve">replace it as the service provider for the current customers of East Pasadena. </w:t>
      </w:r>
      <w:r w:rsidRPr="00470269" w:rsidR="008E1C87">
        <w:t xml:space="preserve"> </w:t>
      </w:r>
      <w:r w:rsidRPr="00470269" w:rsidR="00377212">
        <w:t>Consequently</w:t>
      </w:r>
      <w:r w:rsidRPr="00470269" w:rsidR="001B0789">
        <w:t xml:space="preserve">, we must simultaneously cancel East Pasadena’s </w:t>
      </w:r>
      <w:r w:rsidRPr="00470269" w:rsidR="0061775E">
        <w:t xml:space="preserve">CPCN and </w:t>
      </w:r>
      <w:r w:rsidRPr="00470269" w:rsidR="00567CF4">
        <w:t>modify Cal-Am’s CPCN to include the new service territory and customers</w:t>
      </w:r>
      <w:r w:rsidRPr="00470269">
        <w:t>.</w:t>
      </w:r>
      <w:r w:rsidRPr="00470269" w:rsidR="00C151F8">
        <w:t xml:space="preserve"> </w:t>
      </w:r>
      <w:r w:rsidRPr="00470269" w:rsidR="008E1C87">
        <w:t xml:space="preserve"> </w:t>
      </w:r>
      <w:r w:rsidRPr="00470269" w:rsidR="00C151F8">
        <w:t xml:space="preserve">Upon completion of the transaction both </w:t>
      </w:r>
      <w:r w:rsidRPr="00470269" w:rsidR="008D7B66">
        <w:t>E</w:t>
      </w:r>
      <w:r w:rsidRPr="00470269" w:rsidR="00C151F8">
        <w:t xml:space="preserve">ast Pasadena and Cal-Am </w:t>
      </w:r>
      <w:r w:rsidRPr="00470269" w:rsidR="006D1720">
        <w:t>shall</w:t>
      </w:r>
      <w:r w:rsidRPr="00470269" w:rsidR="00C151F8">
        <w:t xml:space="preserve"> file Tier </w:t>
      </w:r>
      <w:r w:rsidRPr="00470269" w:rsidR="009E1F5A">
        <w:t>1</w:t>
      </w:r>
      <w:r w:rsidRPr="00470269" w:rsidR="00C151F8">
        <w:t xml:space="preserve"> compliance advice letters </w:t>
      </w:r>
      <w:r w:rsidRPr="00470269" w:rsidR="008D7B66">
        <w:t xml:space="preserve">to </w:t>
      </w:r>
      <w:r w:rsidRPr="00470269" w:rsidR="00C85C24">
        <w:t xml:space="preserve">implement </w:t>
      </w:r>
      <w:r w:rsidRPr="00470269" w:rsidR="008D7B66">
        <w:t>these respective changes.</w:t>
      </w:r>
    </w:p>
    <w:p w:rsidRPr="00054EB4" w:rsidR="00694029" w:rsidP="00506E52" w:rsidRDefault="00694029" w14:paraId="540CD959" w14:textId="77777777">
      <w:pPr>
        <w:pStyle w:val="Heading1"/>
      </w:pPr>
      <w:bookmarkStart w:name="_Toc72748083" w:id="112"/>
      <w:bookmarkStart w:name="_Toc76995778" w:id="113"/>
      <w:r w:rsidRPr="00054EB4">
        <w:t xml:space="preserve">The California </w:t>
      </w:r>
      <w:r w:rsidRPr="00AF0AE6">
        <w:t>Environmental</w:t>
      </w:r>
      <w:r w:rsidRPr="00054EB4">
        <w:t xml:space="preserve"> Quality Act</w:t>
      </w:r>
      <w:bookmarkEnd w:id="112"/>
      <w:bookmarkEnd w:id="113"/>
      <w:r w:rsidRPr="00054EB4">
        <w:t xml:space="preserve"> </w:t>
      </w:r>
    </w:p>
    <w:p w:rsidRPr="00054EB4" w:rsidR="00EB3EC5" w:rsidP="00470269" w:rsidRDefault="00EB3EC5" w14:paraId="5DC16D96" w14:textId="51A4F197">
      <w:pPr>
        <w:pStyle w:val="Standard"/>
      </w:pPr>
      <w:r w:rsidRPr="00054EB4">
        <w:t xml:space="preserve">Pursuant to </w:t>
      </w:r>
      <w:r w:rsidRPr="00054EB4">
        <w:rPr>
          <w:rStyle w:val="PageNumber"/>
        </w:rPr>
        <w:t xml:space="preserve">Public Resources Code </w:t>
      </w:r>
      <w:r w:rsidRPr="00054EB4">
        <w:t xml:space="preserve">§ 21080 </w:t>
      </w:r>
      <w:r w:rsidRPr="00470269">
        <w:rPr>
          <w:i/>
          <w:iCs/>
        </w:rPr>
        <w:t>et seq.</w:t>
      </w:r>
      <w:r w:rsidRPr="00054EB4">
        <w:t xml:space="preserve"> (the California Environmental Quality Act (CEQA)) and pursuant to Rule 2.4 of the Commission’s Rules of Practice and Procedure, the Commission must consider the environmental consequences of projects that are subject to our discretionary approval.  The CEQA Guidelines state that a proposed “activity [that] will not result in a direct or reasonably foreseeable indirect physical change in the environment” is exempt from CEQA.</w:t>
      </w:r>
      <w:r w:rsidRPr="00054EB4">
        <w:rPr>
          <w:rStyle w:val="FootnoteReference"/>
        </w:rPr>
        <w:footnoteReference w:id="74"/>
      </w:r>
      <w:r w:rsidRPr="00054EB4">
        <w:t xml:space="preserve">  Similarly, where “it can be seen with </w:t>
      </w:r>
      <w:r w:rsidRPr="00054EB4">
        <w:lastRenderedPageBreak/>
        <w:t>certainty that there is no possibility that the [proposed] activity in question may have a significant effect on the environment, the activity is not subject to CEQA.”</w:t>
      </w:r>
      <w:r w:rsidRPr="00054EB4">
        <w:rPr>
          <w:rStyle w:val="FootnoteReference"/>
        </w:rPr>
        <w:footnoteReference w:id="75"/>
      </w:r>
    </w:p>
    <w:p w:rsidRPr="00054EB4" w:rsidR="00395675" w:rsidP="00470269" w:rsidRDefault="00EB3EC5" w14:paraId="6CFF46F5" w14:textId="67C52E8F">
      <w:pPr>
        <w:pStyle w:val="Standard"/>
        <w:rPr>
          <w:szCs w:val="26"/>
        </w:rPr>
      </w:pPr>
      <w:r w:rsidRPr="00054EB4">
        <w:t xml:space="preserve">Based on the record before this Commission, we </w:t>
      </w:r>
      <w:r w:rsidRPr="00054EB4" w:rsidR="002703D3">
        <w:t xml:space="preserve">find that </w:t>
      </w:r>
      <w:r w:rsidRPr="00054EB4" w:rsidR="00A2370D">
        <w:t xml:space="preserve">the proposed transaction is not subject to CEQA as it can be seen with some certainty that there is no possibility that the transaction in question may have a significant effect on the environment. </w:t>
      </w:r>
      <w:r w:rsidR="008E1C87">
        <w:t xml:space="preserve"> </w:t>
      </w:r>
      <w:r w:rsidRPr="00054EB4" w:rsidR="00A2370D">
        <w:t>Alternatively, t</w:t>
      </w:r>
      <w:r w:rsidRPr="00054EB4" w:rsidR="002703D3">
        <w:t xml:space="preserve">he proposed transaction </w:t>
      </w:r>
      <w:r w:rsidRPr="00054EB4">
        <w:t>qualifies for exemption from CEQA,</w:t>
      </w:r>
      <w:r w:rsidRPr="00054EB4" w:rsidR="002703D3">
        <w:t xml:space="preserve"> under</w:t>
      </w:r>
      <w:r w:rsidRPr="00054EB4">
        <w:t xml:space="preserve"> CEQA Guideline § 15061(b)(3) as having no significant impact upon the environment. </w:t>
      </w:r>
      <w:r w:rsidR="008E1C87">
        <w:t xml:space="preserve"> </w:t>
      </w:r>
      <w:r w:rsidRPr="00054EB4" w:rsidR="00395675">
        <w:rPr>
          <w:szCs w:val="26"/>
        </w:rPr>
        <w:t xml:space="preserve">Here, the proposed acquisition is merely </w:t>
      </w:r>
      <w:r w:rsidRPr="00054EB4" w:rsidR="00AB3C99">
        <w:rPr>
          <w:szCs w:val="26"/>
        </w:rPr>
        <w:t>the</w:t>
      </w:r>
      <w:r w:rsidRPr="00054EB4" w:rsidR="00395675">
        <w:rPr>
          <w:szCs w:val="26"/>
        </w:rPr>
        <w:t xml:space="preserve"> control and ownership</w:t>
      </w:r>
      <w:r w:rsidRPr="00054EB4" w:rsidR="00E743C8">
        <w:rPr>
          <w:szCs w:val="26"/>
        </w:rPr>
        <w:t xml:space="preserve"> of existing utility assets</w:t>
      </w:r>
      <w:r w:rsidRPr="00054EB4" w:rsidR="00395675">
        <w:rPr>
          <w:szCs w:val="26"/>
        </w:rPr>
        <w:t xml:space="preserve">, and there is nothing in the record </w:t>
      </w:r>
      <w:r w:rsidRPr="00054EB4" w:rsidR="00AB3C99">
        <w:rPr>
          <w:szCs w:val="26"/>
        </w:rPr>
        <w:t xml:space="preserve">to </w:t>
      </w:r>
      <w:r w:rsidRPr="00054EB4" w:rsidR="00395675">
        <w:rPr>
          <w:szCs w:val="26"/>
        </w:rPr>
        <w:t>demonstrat</w:t>
      </w:r>
      <w:r w:rsidRPr="00054EB4" w:rsidR="00AB3C99">
        <w:rPr>
          <w:szCs w:val="26"/>
        </w:rPr>
        <w:t>e</w:t>
      </w:r>
      <w:r w:rsidRPr="00054EB4" w:rsidR="00395675">
        <w:rPr>
          <w:szCs w:val="26"/>
        </w:rPr>
        <w:t xml:space="preserve"> or imply any change in purpose or manner from the present distribution of water. </w:t>
      </w:r>
      <w:r w:rsidR="008E1C87">
        <w:rPr>
          <w:szCs w:val="26"/>
        </w:rPr>
        <w:t xml:space="preserve"> </w:t>
      </w:r>
      <w:r w:rsidRPr="00054EB4" w:rsidR="00395675">
        <w:rPr>
          <w:szCs w:val="26"/>
        </w:rPr>
        <w:t xml:space="preserve">The parties </w:t>
      </w:r>
      <w:r w:rsidRPr="00054EB4" w:rsidR="00450461">
        <w:rPr>
          <w:szCs w:val="26"/>
        </w:rPr>
        <w:t xml:space="preserve">both </w:t>
      </w:r>
      <w:r w:rsidRPr="00054EB4" w:rsidR="00377212">
        <w:rPr>
          <w:szCs w:val="26"/>
        </w:rPr>
        <w:t>agreed that</w:t>
      </w:r>
      <w:r w:rsidRPr="00054EB4" w:rsidR="00395675">
        <w:rPr>
          <w:szCs w:val="26"/>
        </w:rPr>
        <w:t xml:space="preserve"> this transaction requires no CEQA review from this or any other agency. </w:t>
      </w:r>
      <w:r w:rsidR="008E1C87">
        <w:rPr>
          <w:szCs w:val="26"/>
        </w:rPr>
        <w:t xml:space="preserve"> </w:t>
      </w:r>
      <w:r w:rsidRPr="00054EB4" w:rsidR="00395675">
        <w:rPr>
          <w:szCs w:val="26"/>
        </w:rPr>
        <w:t xml:space="preserve">Further, there is no evidence in the record that this transaction requires CEQA review from this or any other agency. Therefore, </w:t>
      </w:r>
      <w:r w:rsidRPr="00054EB4" w:rsidR="00E85A08">
        <w:rPr>
          <w:szCs w:val="26"/>
        </w:rPr>
        <w:t xml:space="preserve">we find that a </w:t>
      </w:r>
      <w:r w:rsidRPr="00054EB4" w:rsidR="00395675">
        <w:rPr>
          <w:szCs w:val="26"/>
        </w:rPr>
        <w:t>CEQA review is not required.</w:t>
      </w:r>
    </w:p>
    <w:p w:rsidRPr="00054EB4" w:rsidR="00395675" w:rsidP="00506E52" w:rsidRDefault="00395675" w14:paraId="2A5BF499" w14:textId="7C7E61EF">
      <w:pPr>
        <w:pStyle w:val="Heading1"/>
      </w:pPr>
      <w:bookmarkStart w:name="_Toc72748084" w:id="114"/>
      <w:bookmarkStart w:name="_Toc76995779" w:id="115"/>
      <w:r w:rsidRPr="00054EB4">
        <w:t xml:space="preserve">Safety </w:t>
      </w:r>
      <w:r w:rsidRPr="00AF0AE6" w:rsidR="00654F57">
        <w:t>Considerations</w:t>
      </w:r>
      <w:bookmarkEnd w:id="114"/>
      <w:bookmarkEnd w:id="115"/>
    </w:p>
    <w:p w:rsidRPr="00054EB4" w:rsidR="00395675" w:rsidP="00470269" w:rsidRDefault="00395675" w14:paraId="68F6A36D" w14:textId="6F3FF9E7">
      <w:pPr>
        <w:pStyle w:val="Standard"/>
      </w:pPr>
      <w:r w:rsidRPr="00054EB4">
        <w:t xml:space="preserve">The </w:t>
      </w:r>
      <w:r w:rsidRPr="00054EB4" w:rsidR="00CC5573">
        <w:t xml:space="preserve">proposed </w:t>
      </w:r>
      <w:r w:rsidRPr="00054EB4">
        <w:t xml:space="preserve">transaction does not appear to cause any change in any aspects of safety as to the operation of the </w:t>
      </w:r>
      <w:r w:rsidRPr="00054EB4" w:rsidR="00F206CE">
        <w:t>East Pasadena</w:t>
      </w:r>
      <w:r w:rsidRPr="00054EB4">
        <w:t xml:space="preserve"> service area.</w:t>
      </w:r>
      <w:r w:rsidR="008E1C87">
        <w:t xml:space="preserve"> </w:t>
      </w:r>
      <w:r w:rsidRPr="00054EB4">
        <w:t xml:space="preserve"> To the contrary, </w:t>
      </w:r>
      <w:r w:rsidRPr="00054EB4" w:rsidR="008D304C">
        <w:t>Cal</w:t>
      </w:r>
      <w:r w:rsidRPr="00054EB4" w:rsidR="00361668">
        <w:t>-</w:t>
      </w:r>
      <w:r w:rsidRPr="00054EB4" w:rsidR="008D304C">
        <w:t>Am</w:t>
      </w:r>
      <w:r w:rsidRPr="00054EB4" w:rsidR="00361668">
        <w:t xml:space="preserve"> a</w:t>
      </w:r>
      <w:r w:rsidRPr="00054EB4" w:rsidR="007812B2">
        <w:t>ssert</w:t>
      </w:r>
      <w:r w:rsidRPr="00054EB4" w:rsidR="00611F3D">
        <w:t>ed</w:t>
      </w:r>
      <w:r w:rsidRPr="00054EB4" w:rsidR="007812B2">
        <w:t>, without opposition,</w:t>
      </w:r>
      <w:r w:rsidRPr="00054EB4">
        <w:t xml:space="preserve"> </w:t>
      </w:r>
      <w:r w:rsidRPr="00054EB4" w:rsidR="00361668">
        <w:t xml:space="preserve">that there are more </w:t>
      </w:r>
      <w:r w:rsidRPr="00054EB4">
        <w:t xml:space="preserve">likely </w:t>
      </w:r>
      <w:r w:rsidRPr="00054EB4" w:rsidR="00361668">
        <w:t xml:space="preserve">to be </w:t>
      </w:r>
      <w:r w:rsidRPr="00054EB4">
        <w:t xml:space="preserve">improvements </w:t>
      </w:r>
      <w:r w:rsidRPr="00054EB4" w:rsidR="00361668">
        <w:t>in</w:t>
      </w:r>
      <w:r w:rsidRPr="00054EB4">
        <w:t xml:space="preserve"> safety issues and concerns.</w:t>
      </w:r>
      <w:r w:rsidRPr="00054EB4">
        <w:rPr>
          <w:rStyle w:val="FootnoteReference"/>
          <w:rFonts w:eastAsiaTheme="majorEastAsia"/>
          <w:szCs w:val="26"/>
        </w:rPr>
        <w:footnoteReference w:id="76"/>
      </w:r>
      <w:r w:rsidRPr="00054EB4">
        <w:t xml:space="preserve"> </w:t>
      </w:r>
      <w:r w:rsidR="008E1C87">
        <w:t xml:space="preserve"> </w:t>
      </w:r>
      <w:r w:rsidRPr="00054EB4">
        <w:t xml:space="preserve">Consequently, </w:t>
      </w:r>
      <w:bookmarkStart w:name="_Hlk72342593" w:id="116"/>
      <w:r w:rsidRPr="00054EB4" w:rsidR="00361668">
        <w:t>it is reasonable to conclude</w:t>
      </w:r>
      <w:r w:rsidRPr="00054EB4">
        <w:t xml:space="preserve"> that safety is not negatively impacted by this transaction, and so it </w:t>
      </w:r>
      <w:proofErr w:type="gramStart"/>
      <w:r w:rsidRPr="00054EB4">
        <w:t>is in compliance with</w:t>
      </w:r>
      <w:proofErr w:type="gramEnd"/>
      <w:r w:rsidRPr="00054EB4">
        <w:t xml:space="preserve"> § 451, which requires, in part, that utilities are operated to promote the safety of the public.</w:t>
      </w:r>
      <w:bookmarkEnd w:id="116"/>
    </w:p>
    <w:p w:rsidRPr="00054EB4" w:rsidR="005939A5" w:rsidP="00506E52" w:rsidRDefault="005939A5" w14:paraId="1979458D" w14:textId="36066254">
      <w:pPr>
        <w:pStyle w:val="Heading1"/>
      </w:pPr>
      <w:bookmarkStart w:name="_Toc8123723" w:id="117"/>
      <w:bookmarkStart w:name="_Toc72748085" w:id="118"/>
      <w:bookmarkStart w:name="_Toc76995780" w:id="119"/>
      <w:bookmarkEnd w:id="109"/>
      <w:r w:rsidRPr="00054EB4">
        <w:lastRenderedPageBreak/>
        <w:t>Comments on Proposed Decision</w:t>
      </w:r>
      <w:bookmarkEnd w:id="117"/>
      <w:bookmarkEnd w:id="118"/>
      <w:bookmarkEnd w:id="119"/>
    </w:p>
    <w:p w:rsidRPr="00054EB4" w:rsidR="000D1853" w:rsidP="000D1853" w:rsidRDefault="00AF0AE6" w14:paraId="21522845" w14:textId="1ADAA879">
      <w:pPr>
        <w:pStyle w:val="Standard"/>
      </w:pPr>
      <w:r w:rsidRPr="00AF0AE6">
        <w:t>The proposed decision of ALJ</w:t>
      </w:r>
      <w:r>
        <w:t xml:space="preserve">s Camille Watts-Zagha and Jeanne McKinney in this matter was mailed to the parties in accordance with Section 311 of the Public Utilities Code and comments were allowed under Rule 14.3 of the Commission’s Rules of Practice and Procedure.  Comments were filed on </w:t>
      </w:r>
      <w:r w:rsidR="000D1853">
        <w:t>June</w:t>
      </w:r>
      <w:r w:rsidR="009E4CC1">
        <w:t> </w:t>
      </w:r>
      <w:r w:rsidR="000D1853">
        <w:t>29, 2021</w:t>
      </w:r>
      <w:r w:rsidR="004A3E3D">
        <w:t>,</w:t>
      </w:r>
      <w:r w:rsidR="000D1853">
        <w:t xml:space="preserve"> by Cal-Am and the Public Advocates Office</w:t>
      </w:r>
      <w:r>
        <w:t xml:space="preserve">, and reply comments were filed on </w:t>
      </w:r>
      <w:r w:rsidR="000D1853">
        <w:t>July 6, 2021</w:t>
      </w:r>
      <w:r w:rsidR="004A3E3D">
        <w:t>,</w:t>
      </w:r>
      <w:r w:rsidR="000D1853">
        <w:t xml:space="preserve"> </w:t>
      </w:r>
      <w:r>
        <w:t xml:space="preserve">by </w:t>
      </w:r>
      <w:r w:rsidR="000D1853">
        <w:t>Cal-Am, East Pasadena and the Public Advocates Office</w:t>
      </w:r>
      <w:r>
        <w:t>.</w:t>
      </w:r>
      <w:r w:rsidR="000D1853">
        <w:t xml:space="preserve"> </w:t>
      </w:r>
      <w:r w:rsidR="00A82DAA">
        <w:t>C</w:t>
      </w:r>
      <w:r w:rsidR="000D1853">
        <w:t xml:space="preserve">orrections and clarifications have been incorporated </w:t>
      </w:r>
      <w:r w:rsidR="00A82DAA">
        <w:t>throughout this decision as appropriate.</w:t>
      </w:r>
      <w:r w:rsidR="00E46EE3">
        <w:t xml:space="preserve"> </w:t>
      </w:r>
    </w:p>
    <w:p w:rsidRPr="00054EB4" w:rsidR="005939A5" w:rsidP="00506E52" w:rsidRDefault="005939A5" w14:paraId="7E9EDADE" w14:textId="77777777">
      <w:pPr>
        <w:pStyle w:val="Heading1"/>
        <w:numPr>
          <w:ilvl w:val="0"/>
          <w:numId w:val="43"/>
        </w:numPr>
      </w:pPr>
      <w:bookmarkStart w:name="_Toc8123724" w:id="120"/>
      <w:bookmarkStart w:name="_Toc72748086" w:id="121"/>
      <w:bookmarkStart w:name="_Toc76995781" w:id="122"/>
      <w:r w:rsidRPr="00054EB4">
        <w:t>Assignment of Proceeding</w:t>
      </w:r>
      <w:bookmarkEnd w:id="120"/>
      <w:bookmarkEnd w:id="121"/>
      <w:bookmarkEnd w:id="122"/>
    </w:p>
    <w:p w:rsidRPr="00054EB4" w:rsidR="005939A5" w:rsidP="006E6574" w:rsidRDefault="000047A7" w14:paraId="2F3F81CB" w14:textId="2B193A8B">
      <w:pPr>
        <w:pStyle w:val="Standard"/>
        <w:rPr>
          <w:rFonts w:eastAsia="Book Antiqua" w:cs="Book Antiqua"/>
          <w:szCs w:val="26"/>
        </w:rPr>
      </w:pPr>
      <w:r w:rsidRPr="00054EB4">
        <w:t xml:space="preserve">Genevieve Shiroma </w:t>
      </w:r>
      <w:r w:rsidRPr="00054EB4" w:rsidR="005939A5">
        <w:t xml:space="preserve">is the assigned Commissioner and </w:t>
      </w:r>
      <w:r w:rsidRPr="00054EB4">
        <w:t>Camille</w:t>
      </w:r>
      <w:r w:rsidR="00BA05C9">
        <w:t> </w:t>
      </w:r>
      <w:r w:rsidRPr="00054EB4">
        <w:t>Watts</w:t>
      </w:r>
      <w:r w:rsidR="00BA05C9">
        <w:noBreakHyphen/>
      </w:r>
      <w:r w:rsidRPr="00054EB4">
        <w:t xml:space="preserve">Zagha </w:t>
      </w:r>
      <w:r w:rsidRPr="00054EB4" w:rsidR="00CE5257">
        <w:t>and Jeanne McKinney are</w:t>
      </w:r>
      <w:r w:rsidRPr="00054EB4" w:rsidR="005939A5">
        <w:t xml:space="preserve"> the </w:t>
      </w:r>
      <w:r w:rsidRPr="00054EB4" w:rsidR="00CE5257">
        <w:t>co-</w:t>
      </w:r>
      <w:r w:rsidRPr="00054EB4" w:rsidR="005939A5">
        <w:t>assigned</w:t>
      </w:r>
      <w:r w:rsidR="00DD6C5C">
        <w:t xml:space="preserve"> </w:t>
      </w:r>
      <w:r w:rsidR="00F40E76">
        <w:t>ALJ</w:t>
      </w:r>
      <w:r w:rsidR="005D051F">
        <w:t>s</w:t>
      </w:r>
      <w:r w:rsidR="00F40E76">
        <w:t xml:space="preserve"> </w:t>
      </w:r>
      <w:r w:rsidRPr="00054EB4" w:rsidR="005939A5">
        <w:t>in this proceeding.</w:t>
      </w:r>
      <w:r w:rsidRPr="00054EB4">
        <w:t xml:space="preserve"> </w:t>
      </w:r>
      <w:r w:rsidR="00BA05C9">
        <w:t xml:space="preserve"> </w:t>
      </w:r>
      <w:r w:rsidRPr="00054EB4">
        <w:rPr>
          <w:rFonts w:eastAsia="Book Antiqua" w:cs="Book Antiqua"/>
          <w:szCs w:val="26"/>
        </w:rPr>
        <w:t xml:space="preserve">Pursuant to § 1701.3(b) and Rule 13.2(b), </w:t>
      </w:r>
      <w:r w:rsidR="00592D75">
        <w:rPr>
          <w:rFonts w:eastAsia="Book Antiqua" w:cs="Book Antiqua"/>
          <w:szCs w:val="26"/>
        </w:rPr>
        <w:t xml:space="preserve">ALJ </w:t>
      </w:r>
      <w:r w:rsidRPr="00054EB4" w:rsidR="00583B3B">
        <w:rPr>
          <w:rFonts w:eastAsia="Book Antiqua" w:cs="Book Antiqua"/>
          <w:szCs w:val="26"/>
        </w:rPr>
        <w:t>Watts-Zagha</w:t>
      </w:r>
      <w:r w:rsidRPr="00054EB4">
        <w:rPr>
          <w:rFonts w:eastAsia="Book Antiqua" w:cs="Book Antiqua"/>
          <w:szCs w:val="26"/>
        </w:rPr>
        <w:t xml:space="preserve"> was designated as the Presiding Officer.</w:t>
      </w:r>
    </w:p>
    <w:p w:rsidRPr="00054EB4" w:rsidR="00647680" w:rsidP="00647680" w:rsidRDefault="00647680" w14:paraId="4C436F27" w14:textId="77777777">
      <w:pPr>
        <w:pStyle w:val="Dummy"/>
      </w:pPr>
      <w:bookmarkStart w:name="_Toc8123725" w:id="123"/>
      <w:bookmarkStart w:name="_Toc72748087" w:id="124"/>
      <w:bookmarkStart w:name="_Toc76995782" w:id="125"/>
      <w:r w:rsidRPr="00054EB4">
        <w:t>Findin</w:t>
      </w:r>
      <w:r w:rsidRPr="008917B5">
        <w:t>gs of Fact</w:t>
      </w:r>
      <w:bookmarkEnd w:id="123"/>
      <w:bookmarkEnd w:id="124"/>
      <w:bookmarkEnd w:id="125"/>
    </w:p>
    <w:p w:rsidRPr="00470269" w:rsidR="00516A2C" w:rsidP="00771B8A" w:rsidRDefault="00771B8A" w14:paraId="407EE129" w14:textId="35DD2B15">
      <w:pPr>
        <w:pStyle w:val="FoF"/>
      </w:pPr>
      <w:r w:rsidRPr="00470269">
        <w:t>Cal-Am is a Class A public water utility subject to the jurisdiction of this Commission.</w:t>
      </w:r>
      <w:r w:rsidRPr="00470269" w:rsidR="00BA05C9">
        <w:t xml:space="preserve"> </w:t>
      </w:r>
      <w:r w:rsidRPr="00470269" w:rsidR="009E1F5A">
        <w:t xml:space="preserve"> Cal-Am is a California corporation and it is a subsidiary of American Water Works Company, the largest publicly traded water utility in the United States. </w:t>
      </w:r>
    </w:p>
    <w:p w:rsidRPr="00470269" w:rsidR="00771B8A" w:rsidP="00771B8A" w:rsidRDefault="009E1F5A" w14:paraId="41CE3E0C" w14:textId="5C54E916">
      <w:pPr>
        <w:pStyle w:val="FoF"/>
      </w:pPr>
      <w:proofErr w:type="gramStart"/>
      <w:r w:rsidRPr="00470269">
        <w:t>Cal-Am has</w:t>
      </w:r>
      <w:proofErr w:type="gramEnd"/>
      <w:r w:rsidRPr="00470269">
        <w:t xml:space="preserve"> a CPCN to operate as a regulated Class A public water utility company and serves approximately 630,000 customers in 50 communities.</w:t>
      </w:r>
    </w:p>
    <w:p w:rsidRPr="00470269" w:rsidR="00771B8A" w:rsidP="006A2A36" w:rsidRDefault="00771B8A" w14:paraId="202F16FF" w14:textId="64122E56">
      <w:pPr>
        <w:pStyle w:val="FoF"/>
      </w:pPr>
      <w:r w:rsidRPr="00470269">
        <w:t>East Pasadena is a Class B public water utility subject to the jurisdiction of this Commission.</w:t>
      </w:r>
    </w:p>
    <w:p w:rsidRPr="00470269" w:rsidR="00647680" w:rsidP="000B18C0" w:rsidRDefault="007D1E55" w14:paraId="520C012F" w14:textId="2FD55CC3">
      <w:pPr>
        <w:pStyle w:val="FoF"/>
      </w:pPr>
      <w:r w:rsidRPr="00470269">
        <w:t xml:space="preserve">East Pasadena </w:t>
      </w:r>
      <w:r w:rsidRPr="00470269" w:rsidR="004D5DEC">
        <w:t>has a CPCN to operate as</w:t>
      </w:r>
      <w:r w:rsidRPr="00470269" w:rsidR="00647680">
        <w:t xml:space="preserve"> a</w:t>
      </w:r>
      <w:r w:rsidRPr="00470269" w:rsidR="00BC0617">
        <w:t xml:space="preserve"> regulated</w:t>
      </w:r>
      <w:r w:rsidRPr="00470269" w:rsidR="00647680">
        <w:t xml:space="preserve"> Class B public water utility serving approximately 3</w:t>
      </w:r>
      <w:r w:rsidRPr="00470269" w:rsidR="006A0133">
        <w:t>,</w:t>
      </w:r>
      <w:r w:rsidRPr="00470269" w:rsidR="00647680">
        <w:t>000 customers</w:t>
      </w:r>
      <w:r w:rsidRPr="00470269" w:rsidR="00784C37">
        <w:t xml:space="preserve"> in</w:t>
      </w:r>
      <w:r w:rsidRPr="00470269" w:rsidR="00647680">
        <w:t xml:space="preserve"> the </w:t>
      </w:r>
      <w:r w:rsidRPr="00470269" w:rsidR="00647680">
        <w:rPr>
          <w:rFonts w:cs="TimesNewRomanPSMT"/>
          <w:szCs w:val="26"/>
        </w:rPr>
        <w:t xml:space="preserve">cities of Temple City, </w:t>
      </w:r>
      <w:r w:rsidRPr="00470269" w:rsidR="00647680">
        <w:rPr>
          <w:rFonts w:cs="TimesNewRomanPSMT"/>
          <w:szCs w:val="26"/>
        </w:rPr>
        <w:lastRenderedPageBreak/>
        <w:t>Arcadia, San Gabriel</w:t>
      </w:r>
      <w:r w:rsidRPr="00470269" w:rsidR="00784C37">
        <w:rPr>
          <w:rFonts w:cs="TimesNewRomanPSMT"/>
          <w:szCs w:val="26"/>
        </w:rPr>
        <w:t>,</w:t>
      </w:r>
      <w:r w:rsidRPr="00470269" w:rsidR="00647680">
        <w:rPr>
          <w:rFonts w:cs="TimesNewRomanPSMT"/>
          <w:szCs w:val="26"/>
        </w:rPr>
        <w:t xml:space="preserve"> and an unincorporated area of Los Angeles County southeast of the City of Pasadena</w:t>
      </w:r>
      <w:r w:rsidRPr="00470269" w:rsidR="00647680">
        <w:t>.</w:t>
      </w:r>
    </w:p>
    <w:p w:rsidRPr="00470269" w:rsidR="00A120D8" w:rsidP="00A120D8" w:rsidRDefault="00A120D8" w14:paraId="1393FCDD" w14:textId="12B484CA">
      <w:pPr>
        <w:pStyle w:val="FoF"/>
      </w:pPr>
      <w:r w:rsidRPr="00470269">
        <w:t xml:space="preserve">Cal-Am and East Pasadena adequately notified </w:t>
      </w:r>
      <w:r w:rsidRPr="00470269" w:rsidR="00DE6F80">
        <w:t xml:space="preserve">their </w:t>
      </w:r>
      <w:r w:rsidRPr="00470269">
        <w:t>customers of the proposed acquisition</w:t>
      </w:r>
      <w:r w:rsidRPr="00470269" w:rsidR="00806A55">
        <w:t xml:space="preserve"> of </w:t>
      </w:r>
      <w:r w:rsidRPr="00470269" w:rsidR="00EC76D2">
        <w:t>E</w:t>
      </w:r>
      <w:r w:rsidRPr="00470269" w:rsidR="00806A55">
        <w:t>ast Pasadena’s utility assets</w:t>
      </w:r>
      <w:r w:rsidRPr="00470269">
        <w:t>.</w:t>
      </w:r>
    </w:p>
    <w:p w:rsidRPr="00470269" w:rsidR="00647680" w:rsidP="00647680" w:rsidRDefault="00647680" w14:paraId="6F6DDD05" w14:textId="795E5091">
      <w:pPr>
        <w:pStyle w:val="FoF"/>
      </w:pPr>
      <w:r w:rsidRPr="00470269">
        <w:rPr>
          <w:rFonts w:cs="TimesNewRomanPSMT"/>
          <w:szCs w:val="26"/>
        </w:rPr>
        <w:t xml:space="preserve">Commission Resolution W-5039 </w:t>
      </w:r>
      <w:r w:rsidRPr="00470269" w:rsidR="00EB0DD4">
        <w:rPr>
          <w:rFonts w:cs="TimesNewRomanPSMT"/>
          <w:szCs w:val="26"/>
        </w:rPr>
        <w:t xml:space="preserve">has previously </w:t>
      </w:r>
      <w:r w:rsidRPr="00470269">
        <w:rPr>
          <w:rFonts w:cs="TimesNewRomanPSMT"/>
          <w:szCs w:val="26"/>
        </w:rPr>
        <w:t xml:space="preserve">established </w:t>
      </w:r>
      <w:r w:rsidRPr="00470269">
        <w:t xml:space="preserve">East Pasadena’s rate base of </w:t>
      </w:r>
      <w:r w:rsidRPr="00470269">
        <w:rPr>
          <w:rFonts w:cs="TimesNewRomanPSMT"/>
          <w:szCs w:val="26"/>
        </w:rPr>
        <w:t>$3,959,034 with a revenue requirement of $3,135,976.</w:t>
      </w:r>
    </w:p>
    <w:p w:rsidRPr="00470269" w:rsidR="00647680" w:rsidP="000005A5" w:rsidRDefault="00647680" w14:paraId="0E3F4775" w14:textId="5F92EBB2">
      <w:pPr>
        <w:pStyle w:val="FoF"/>
      </w:pPr>
      <w:r w:rsidRPr="00470269">
        <w:t>Cal–Am</w:t>
      </w:r>
      <w:r w:rsidRPr="00470269" w:rsidR="00BC0617">
        <w:t xml:space="preserve"> currently has</w:t>
      </w:r>
      <w:r w:rsidRPr="00470269" w:rsidR="005B06BE">
        <w:t xml:space="preserve"> </w:t>
      </w:r>
      <w:r w:rsidRPr="00470269" w:rsidR="00EB0DD4">
        <w:t xml:space="preserve">a </w:t>
      </w:r>
      <w:r w:rsidRPr="00470269" w:rsidR="000663DD">
        <w:t>GRC</w:t>
      </w:r>
      <w:r w:rsidRPr="00470269" w:rsidR="00EB0DD4">
        <w:t>,</w:t>
      </w:r>
      <w:r w:rsidRPr="00470269" w:rsidR="005B06BE">
        <w:t xml:space="preserve"> </w:t>
      </w:r>
      <w:r w:rsidRPr="00470269">
        <w:t>A.19-07-004</w:t>
      </w:r>
      <w:r w:rsidRPr="00470269" w:rsidR="00EB0DD4">
        <w:t>,</w:t>
      </w:r>
      <w:r w:rsidRPr="00470269" w:rsidR="00BC0617">
        <w:t xml:space="preserve"> pending</w:t>
      </w:r>
      <w:r w:rsidRPr="00470269" w:rsidR="00516A2C">
        <w:t>,</w:t>
      </w:r>
      <w:r w:rsidRPr="00470269" w:rsidR="000005A5">
        <w:t xml:space="preserve"> and</w:t>
      </w:r>
      <w:r w:rsidRPr="00470269">
        <w:t xml:space="preserve"> </w:t>
      </w:r>
      <w:r w:rsidRPr="00470269" w:rsidR="00B52E79">
        <w:t xml:space="preserve">it </w:t>
      </w:r>
      <w:r w:rsidRPr="00470269">
        <w:t>is scheduled to file its next GRC on July 1, 2022</w:t>
      </w:r>
      <w:r w:rsidRPr="00470269" w:rsidR="00EC76D2">
        <w:t>,</w:t>
      </w:r>
      <w:r w:rsidRPr="00470269">
        <w:t xml:space="preserve"> for</w:t>
      </w:r>
      <w:r w:rsidRPr="00470269" w:rsidR="005B06BE">
        <w:t xml:space="preserve"> test year</w:t>
      </w:r>
      <w:r w:rsidRPr="00470269">
        <w:t xml:space="preserve"> 2024.</w:t>
      </w:r>
    </w:p>
    <w:p w:rsidRPr="00470269" w:rsidR="00647680" w:rsidP="00D45792" w:rsidRDefault="00647680" w14:paraId="7F5C437F" w14:textId="396CC01C">
      <w:pPr>
        <w:pStyle w:val="FoF"/>
      </w:pPr>
      <w:r w:rsidRPr="00470269">
        <w:t>East Pasadena</w:t>
      </w:r>
      <w:r w:rsidRPr="00470269" w:rsidR="00401095">
        <w:t>’s principal owner</w:t>
      </w:r>
      <w:r w:rsidRPr="00470269">
        <w:t xml:space="preserve"> </w:t>
      </w:r>
      <w:r w:rsidRPr="00470269" w:rsidR="00E57795">
        <w:t>voluntarily</w:t>
      </w:r>
      <w:r w:rsidRPr="00470269" w:rsidR="00401095">
        <w:t xml:space="preserve"> </w:t>
      </w:r>
      <w:r w:rsidRPr="00470269" w:rsidR="00152319">
        <w:t>entered into an agreement to sell the utility</w:t>
      </w:r>
      <w:r w:rsidRPr="00470269" w:rsidR="00DF4F23">
        <w:t>’s assets</w:t>
      </w:r>
      <w:r w:rsidRPr="00470269" w:rsidR="00152319">
        <w:t xml:space="preserve"> to Cal-Am</w:t>
      </w:r>
      <w:r w:rsidRPr="00470269" w:rsidR="002705C3">
        <w:t xml:space="preserve"> </w:t>
      </w:r>
      <w:r w:rsidRPr="00470269" w:rsidR="00FF1094">
        <w:t>in</w:t>
      </w:r>
      <w:r w:rsidRPr="00470269" w:rsidR="002705C3">
        <w:t xml:space="preserve"> an arm</w:t>
      </w:r>
      <w:r w:rsidRPr="00470269" w:rsidR="006A0133">
        <w:t>’</w:t>
      </w:r>
      <w:r w:rsidRPr="00470269" w:rsidR="002705C3">
        <w:t>s</w:t>
      </w:r>
      <w:r w:rsidRPr="00470269" w:rsidR="002705C3">
        <w:noBreakHyphen/>
        <w:t xml:space="preserve">length negotiated contract </w:t>
      </w:r>
      <w:r w:rsidRPr="00470269" w:rsidR="00D45792">
        <w:t xml:space="preserve">at a </w:t>
      </w:r>
      <w:r w:rsidRPr="00470269" w:rsidR="00E04D55">
        <w:t>mutually agreeable price</w:t>
      </w:r>
      <w:r w:rsidRPr="00470269" w:rsidR="00D45792">
        <w:t xml:space="preserve"> of</w:t>
      </w:r>
      <w:r w:rsidRPr="00470269" w:rsidR="00AC6134">
        <w:t xml:space="preserve"> </w:t>
      </w:r>
      <w:r w:rsidRPr="00470269">
        <w:t>$34 million, with minor adjustments at clos</w:t>
      </w:r>
      <w:r w:rsidRPr="00470269" w:rsidR="00ED1CE9">
        <w:t>ing</w:t>
      </w:r>
      <w:r w:rsidRPr="00470269">
        <w:t xml:space="preserve"> the transaction, for </w:t>
      </w:r>
      <w:proofErr w:type="gramStart"/>
      <w:r w:rsidRPr="00470269">
        <w:t xml:space="preserve">all </w:t>
      </w:r>
      <w:r w:rsidRPr="00470269" w:rsidR="00410AB3">
        <w:t>of</w:t>
      </w:r>
      <w:proofErr w:type="gramEnd"/>
      <w:r w:rsidRPr="00470269">
        <w:t xml:space="preserve"> East Pasadena</w:t>
      </w:r>
      <w:r w:rsidRPr="00470269" w:rsidR="00410AB3">
        <w:t>’s</w:t>
      </w:r>
      <w:r w:rsidRPr="00470269">
        <w:t xml:space="preserve"> water system </w:t>
      </w:r>
      <w:r w:rsidRPr="00470269" w:rsidR="000F536E">
        <w:t xml:space="preserve">related assets </w:t>
      </w:r>
      <w:r w:rsidRPr="00470269" w:rsidR="00FF1094">
        <w:t>used to operate as a Class B</w:t>
      </w:r>
      <w:r w:rsidRPr="00470269">
        <w:t xml:space="preserve"> </w:t>
      </w:r>
      <w:r w:rsidRPr="00470269" w:rsidR="00601B4D">
        <w:t>water</w:t>
      </w:r>
      <w:r w:rsidRPr="00470269">
        <w:t xml:space="preserve"> public utility.</w:t>
      </w:r>
    </w:p>
    <w:p w:rsidRPr="00470269" w:rsidR="008E247F" w:rsidP="005F204F" w:rsidRDefault="00C0732E" w14:paraId="021BAE4A" w14:textId="31BF38A8">
      <w:pPr>
        <w:pStyle w:val="FoF"/>
      </w:pPr>
      <w:bookmarkStart w:name="_Hlk72340471" w:id="126"/>
      <w:r w:rsidRPr="00470269">
        <w:t xml:space="preserve">The proposed purchase price </w:t>
      </w:r>
      <w:r w:rsidRPr="00470269" w:rsidR="00516A2C">
        <w:t>is</w:t>
      </w:r>
      <w:r w:rsidRPr="00470269">
        <w:t xml:space="preserve"> $34,000,000</w:t>
      </w:r>
      <w:bookmarkStart w:name="_Hlk72345991" w:id="127"/>
      <w:r w:rsidRPr="00470269">
        <w:t xml:space="preserve">, plus or minus any </w:t>
      </w:r>
      <w:r w:rsidRPr="00470269" w:rsidR="00516A2C">
        <w:t>a</w:t>
      </w:r>
      <w:r w:rsidRPr="00470269">
        <w:t xml:space="preserve">djustment </w:t>
      </w:r>
      <w:r w:rsidRPr="00470269" w:rsidR="00516A2C">
        <w:t>a</w:t>
      </w:r>
      <w:r w:rsidRPr="00470269">
        <w:t>mounts within the purchase agreement, and inclusive of East Pasadena’s water rights</w:t>
      </w:r>
      <w:r w:rsidRPr="00470269" w:rsidR="005F204F">
        <w:t>.</w:t>
      </w:r>
    </w:p>
    <w:bookmarkEnd w:id="127"/>
    <w:p w:rsidRPr="00470269" w:rsidR="00F25438" w:rsidP="00F25438" w:rsidRDefault="00F25438" w14:paraId="73D3CAF2" w14:textId="07B783A0">
      <w:pPr>
        <w:pStyle w:val="FoF"/>
      </w:pPr>
      <w:r w:rsidRPr="00470269">
        <w:t xml:space="preserve">The Public Water System Investment and Consolidation Act provides that an acquisition premium may be included in the acquiring water company’s rate base. </w:t>
      </w:r>
      <w:r w:rsidRPr="00470269" w:rsidR="00BA05C9">
        <w:t xml:space="preserve"> </w:t>
      </w:r>
      <w:r w:rsidRPr="00470269">
        <w:t xml:space="preserve">This acquisition premium is the difference between the book value of the assets prior to acquisition, and the </w:t>
      </w:r>
      <w:r w:rsidR="00E60D94">
        <w:t xml:space="preserve">fair market value of the assets at the time they </w:t>
      </w:r>
      <w:r w:rsidRPr="00470269">
        <w:t>are purchased.</w:t>
      </w:r>
    </w:p>
    <w:p w:rsidRPr="00470269" w:rsidR="00F25438" w:rsidP="00F25438" w:rsidRDefault="00F41734" w14:paraId="4DC2D282" w14:textId="22A36E61">
      <w:pPr>
        <w:pStyle w:val="FoF"/>
      </w:pPr>
      <w:proofErr w:type="gramStart"/>
      <w:r>
        <w:t>As long as</w:t>
      </w:r>
      <w:proofErr w:type="gramEnd"/>
      <w:r w:rsidRPr="00470269" w:rsidR="00F25438">
        <w:t xml:space="preserve"> the transaction is found to be </w:t>
      </w:r>
      <w:r>
        <w:t xml:space="preserve">in the public interest, </w:t>
      </w:r>
      <w:r w:rsidRPr="00470269" w:rsidR="00F25438">
        <w:t xml:space="preserve">the Public Water System Investment and Consolidation Act </w:t>
      </w:r>
      <w:r>
        <w:t xml:space="preserve">permits inclusion of the </w:t>
      </w:r>
      <w:r w:rsidRPr="00470269" w:rsidR="00F25438">
        <w:t xml:space="preserve">acquisition premium </w:t>
      </w:r>
      <w:r>
        <w:t>in the acquiring company’s rate base</w:t>
      </w:r>
      <w:r w:rsidRPr="00470269" w:rsidR="00F25438">
        <w:t xml:space="preserve">. </w:t>
      </w:r>
    </w:p>
    <w:p w:rsidRPr="00470269" w:rsidR="00F25438" w:rsidP="00F25438" w:rsidRDefault="00F25438" w14:paraId="461296E6" w14:textId="77777777">
      <w:pPr>
        <w:pStyle w:val="FoF"/>
      </w:pPr>
      <w:r w:rsidRPr="00470269">
        <w:t>Section 2720(b) provides, in part:</w:t>
      </w:r>
    </w:p>
    <w:p w:rsidRPr="00470269" w:rsidR="00F25438" w:rsidP="00AF0AE6" w:rsidRDefault="00F25438" w14:paraId="6C28393D" w14:textId="552E0AD4">
      <w:pPr>
        <w:pStyle w:val="BlockQuote"/>
      </w:pPr>
      <w:r w:rsidRPr="00470269">
        <w:lastRenderedPageBreak/>
        <w:t>In determining whether the additional amounts are fair and reasonable the commission shall consider whether the acquisition of the public water system will improve water system reliability, whether the ability of the water system to comply with health and safety regulations is improved, whether the water corporation by acquiring the public water system can achieve efficiencies and economies of scale that would not otherwise be available, and whether the effect on existing customers of the water corporation and the acquired public water system is fair and reasonable.</w:t>
      </w:r>
    </w:p>
    <w:p w:rsidRPr="00470269" w:rsidR="00054EB4" w:rsidP="005F204F" w:rsidRDefault="00054EB4" w14:paraId="5053F66F" w14:textId="72CE41B2">
      <w:pPr>
        <w:pStyle w:val="FoF"/>
      </w:pPr>
      <w:r w:rsidRPr="00470269">
        <w:t>The rate impact</w:t>
      </w:r>
      <w:r w:rsidRPr="00470269" w:rsidR="00A56823">
        <w:t>s</w:t>
      </w:r>
      <w:r w:rsidRPr="00470269">
        <w:t xml:space="preserve"> </w:t>
      </w:r>
      <w:r w:rsidR="00836298">
        <w:t>associated with the estimated $1.945 million increase in revenue requirement are</w:t>
      </w:r>
      <w:r w:rsidR="000A6BBE">
        <w:t xml:space="preserve"> </w:t>
      </w:r>
      <w:r w:rsidRPr="00470269">
        <w:t>reasonable in view of the compelling evidence of public interest benefits that will result from the proposed transaction.</w:t>
      </w:r>
    </w:p>
    <w:p w:rsidRPr="00470269" w:rsidR="00ED6AAC" w:rsidP="00C0732E" w:rsidRDefault="00ED6AAC" w14:paraId="640ABCAA" w14:textId="6DBB4E49">
      <w:pPr>
        <w:pStyle w:val="FoF"/>
      </w:pPr>
      <w:r w:rsidRPr="00470269">
        <w:t xml:space="preserve">East Pasadena can be operationally included in Cal-Am’s </w:t>
      </w:r>
      <w:r w:rsidRPr="00470269" w:rsidR="003D350B">
        <w:t xml:space="preserve">current </w:t>
      </w:r>
      <w:r w:rsidRPr="00470269">
        <w:t xml:space="preserve">Los Angeles </w:t>
      </w:r>
      <w:r w:rsidR="0066399F">
        <w:t xml:space="preserve">County </w:t>
      </w:r>
      <w:r w:rsidR="00046162">
        <w:t>D</w:t>
      </w:r>
      <w:r w:rsidRPr="00470269" w:rsidR="003D350B">
        <w:t xml:space="preserve">istrict which itself </w:t>
      </w:r>
      <w:r w:rsidRPr="00470269" w:rsidR="00516A2C">
        <w:t>may be</w:t>
      </w:r>
      <w:r w:rsidRPr="00470269" w:rsidR="003D350B">
        <w:t xml:space="preserve"> inclu</w:t>
      </w:r>
      <w:r w:rsidRPr="00470269" w:rsidR="00516A2C">
        <w:t xml:space="preserve">ded </w:t>
      </w:r>
      <w:r w:rsidRPr="00470269" w:rsidR="003D350B">
        <w:t xml:space="preserve">in a new Southern District in the pending </w:t>
      </w:r>
      <w:r w:rsidRPr="00470269" w:rsidR="00844991">
        <w:t>Cal-Am GRC.</w:t>
      </w:r>
    </w:p>
    <w:bookmarkEnd w:id="126"/>
    <w:p w:rsidRPr="00470269" w:rsidR="00B83CA4" w:rsidP="00C0732E" w:rsidRDefault="007A18E7" w14:paraId="3FF5318D" w14:textId="6B0A9FB5">
      <w:pPr>
        <w:pStyle w:val="FoF"/>
      </w:pPr>
      <w:r w:rsidRPr="00470269">
        <w:t xml:space="preserve">East Pasadena’s rates for its current customers, including any allowable rate increase, remain in effect until Cal-Am’s </w:t>
      </w:r>
      <w:r w:rsidRPr="00470269" w:rsidR="00875FE4">
        <w:t xml:space="preserve">test year </w:t>
      </w:r>
      <w:r w:rsidRPr="00470269" w:rsidR="00844991">
        <w:t>2024</w:t>
      </w:r>
      <w:r w:rsidRPr="00470269">
        <w:t xml:space="preserve"> GRC decision.</w:t>
      </w:r>
    </w:p>
    <w:p w:rsidRPr="00470269" w:rsidR="00647680" w:rsidP="00647680" w:rsidRDefault="00516A2C" w14:paraId="11964C76" w14:textId="1950953F">
      <w:pPr>
        <w:pStyle w:val="FoF"/>
      </w:pPr>
      <w:r w:rsidRPr="00470269">
        <w:t xml:space="preserve">The proposed transaction will result in </w:t>
      </w:r>
      <w:r w:rsidRPr="00470269" w:rsidR="001C5646">
        <w:t>e</w:t>
      </w:r>
      <w:r w:rsidRPr="00470269" w:rsidR="00647680">
        <w:t xml:space="preserve">fficiencies and economies of scale </w:t>
      </w:r>
      <w:r w:rsidRPr="00470269" w:rsidR="001C5646">
        <w:t xml:space="preserve">which </w:t>
      </w:r>
      <w:r w:rsidRPr="00470269" w:rsidR="00647680">
        <w:t>would benefit the</w:t>
      </w:r>
      <w:r w:rsidRPr="00470269" w:rsidR="001C5646">
        <w:t xml:space="preserve"> existing</w:t>
      </w:r>
      <w:r w:rsidRPr="00470269" w:rsidR="00647680">
        <w:t xml:space="preserve"> East Pasadena and Cal</w:t>
      </w:r>
      <w:r w:rsidRPr="00470269" w:rsidR="00647680">
        <w:noBreakHyphen/>
        <w:t>Am ratepayers</w:t>
      </w:r>
      <w:r w:rsidRPr="00470269" w:rsidR="00E27230">
        <w:t>,</w:t>
      </w:r>
      <w:r w:rsidRPr="00470269" w:rsidR="00647680">
        <w:t xml:space="preserve"> including benefits </w:t>
      </w:r>
      <w:r w:rsidRPr="00470269" w:rsidR="00844F5A">
        <w:t>from</w:t>
      </w:r>
      <w:r w:rsidRPr="00470269" w:rsidR="00647680">
        <w:t xml:space="preserve"> consolid</w:t>
      </w:r>
      <w:r w:rsidRPr="00470269" w:rsidR="00E27230">
        <w:t xml:space="preserve">ating </w:t>
      </w:r>
      <w:r w:rsidRPr="00470269" w:rsidR="00647680">
        <w:t xml:space="preserve">the East Pasadena service area into the currently existing Cal-Am Los Angeles </w:t>
      </w:r>
      <w:r w:rsidR="00C6383C">
        <w:t xml:space="preserve">County </w:t>
      </w:r>
      <w:r w:rsidRPr="00470269" w:rsidR="00647680">
        <w:t xml:space="preserve">District.  </w:t>
      </w:r>
    </w:p>
    <w:p w:rsidRPr="00470269" w:rsidR="00A43E9B" w:rsidP="00A43E9B" w:rsidRDefault="00A43E9B" w14:paraId="231C2C01" w14:textId="3BB78E3F">
      <w:pPr>
        <w:pStyle w:val="FoF"/>
      </w:pPr>
      <w:r w:rsidRPr="00470269">
        <w:t xml:space="preserve">The proposed purchase price was supported by the Joint Applicants’ appraisal, which was based on the replacement cost new less depreciation method. </w:t>
      </w:r>
      <w:r w:rsidRPr="00470269" w:rsidR="00BA05C9">
        <w:t xml:space="preserve"> </w:t>
      </w:r>
      <w:r w:rsidRPr="00470269">
        <w:t xml:space="preserve">The appraisal valued the East Pasadena system assets at $42.9 million, consisting of tangible property assets of $9.3 million, real estate and vehicles of $7.2 million, and water rights of $26.7 million.  </w:t>
      </w:r>
    </w:p>
    <w:p w:rsidRPr="00470269" w:rsidR="00A43E9B" w:rsidP="00A43E9B" w:rsidRDefault="00A43E9B" w14:paraId="57883ADB" w14:textId="5D888F2A">
      <w:pPr>
        <w:pStyle w:val="FoF"/>
      </w:pPr>
      <w:r w:rsidRPr="00470269">
        <w:t>The Public Advocates Office presented its own appraisal valuation of $38.5</w:t>
      </w:r>
      <w:r w:rsidRPr="00470269" w:rsidR="00BA05C9">
        <w:t> </w:t>
      </w:r>
      <w:r w:rsidRPr="00470269">
        <w:t xml:space="preserve">million and noted that the proposed purchase price of $34 million is </w:t>
      </w:r>
      <w:proofErr w:type="gramStart"/>
      <w:r w:rsidRPr="00470269">
        <w:lastRenderedPageBreak/>
        <w:t>actually lower</w:t>
      </w:r>
      <w:proofErr w:type="gramEnd"/>
      <w:r w:rsidRPr="00470269">
        <w:t xml:space="preserve"> than either appraisal provided by Cal-Am or the Public Advocates Office.</w:t>
      </w:r>
    </w:p>
    <w:p w:rsidRPr="00470269" w:rsidR="00647680" w:rsidP="00647680" w:rsidRDefault="00E372D2" w14:paraId="4DFFFEF1" w14:textId="431BD304">
      <w:pPr>
        <w:pStyle w:val="FoF"/>
      </w:pPr>
      <w:r w:rsidRPr="00470269">
        <w:t>As a large Class</w:t>
      </w:r>
      <w:r w:rsidR="008B2BD9">
        <w:t xml:space="preserve"> </w:t>
      </w:r>
      <w:r w:rsidRPr="00470269">
        <w:t>A water utility</w:t>
      </w:r>
      <w:r w:rsidRPr="00470269" w:rsidR="00516A2C">
        <w:t>,</w:t>
      </w:r>
      <w:r w:rsidRPr="00470269">
        <w:t xml:space="preserve"> </w:t>
      </w:r>
      <w:r w:rsidRPr="00470269" w:rsidR="00647680">
        <w:t xml:space="preserve">Cal-Am is in a superior position to </w:t>
      </w:r>
      <w:r w:rsidRPr="00470269">
        <w:t>achieve</w:t>
      </w:r>
      <w:r w:rsidRPr="00470269" w:rsidR="00647680">
        <w:t xml:space="preserve"> economies of scale, resources,</w:t>
      </w:r>
      <w:r w:rsidRPr="00470269">
        <w:t xml:space="preserve"> and</w:t>
      </w:r>
      <w:r w:rsidRPr="00470269" w:rsidR="00647680">
        <w:t xml:space="preserve"> </w:t>
      </w:r>
      <w:r w:rsidRPr="00470269">
        <w:t>has</w:t>
      </w:r>
      <w:r w:rsidRPr="00470269" w:rsidR="00647680">
        <w:t xml:space="preserve"> knowledge to better service the water needs of the East Pasadena service area </w:t>
      </w:r>
      <w:r w:rsidRPr="00470269" w:rsidR="008F6CE8">
        <w:t>comp</w:t>
      </w:r>
      <w:r w:rsidRPr="00470269" w:rsidR="00D95B0B">
        <w:t>a</w:t>
      </w:r>
      <w:r w:rsidRPr="00470269" w:rsidR="008F6CE8">
        <w:t xml:space="preserve">red to </w:t>
      </w:r>
      <w:r w:rsidRPr="00470269">
        <w:t xml:space="preserve">East </w:t>
      </w:r>
      <w:r w:rsidRPr="00470269" w:rsidR="00516726">
        <w:t>P</w:t>
      </w:r>
      <w:r w:rsidRPr="00470269">
        <w:t>asadena</w:t>
      </w:r>
      <w:r w:rsidRPr="00470269" w:rsidR="00516726">
        <w:t>’s current operations</w:t>
      </w:r>
      <w:r w:rsidRPr="00470269" w:rsidR="00647680">
        <w:t>.</w:t>
      </w:r>
    </w:p>
    <w:p w:rsidRPr="00470269" w:rsidR="003039A5" w:rsidP="003039A5" w:rsidRDefault="003039A5" w14:paraId="5F94DDE5" w14:textId="77777777">
      <w:pPr>
        <w:pStyle w:val="FoF"/>
        <w:rPr>
          <w:rFonts w:eastAsia="Book Antiqua" w:cs="Book Antiqua"/>
        </w:rPr>
      </w:pPr>
      <w:proofErr w:type="gramStart"/>
      <w:r w:rsidRPr="00470269">
        <w:rPr>
          <w:rFonts w:eastAsia="Book Antiqua" w:cs="Book Antiqua"/>
        </w:rPr>
        <w:t>Cal-Am has</w:t>
      </w:r>
      <w:proofErr w:type="gramEnd"/>
      <w:r w:rsidRPr="00470269">
        <w:rPr>
          <w:rFonts w:eastAsia="Book Antiqua" w:cs="Book Antiqua"/>
        </w:rPr>
        <w:t xml:space="preserve"> no need for a new East Pasadena Acquisition Contingency Memorandum Account.</w:t>
      </w:r>
    </w:p>
    <w:p w:rsidRPr="00470269" w:rsidR="003039A5" w:rsidP="003039A5" w:rsidRDefault="003039A5" w14:paraId="6D1176BA" w14:textId="7D9943A8">
      <w:pPr>
        <w:pStyle w:val="FoF"/>
        <w:rPr>
          <w:rFonts w:eastAsia="Book Antiqua" w:cs="Book Antiqua"/>
        </w:rPr>
      </w:pPr>
      <w:r w:rsidRPr="00470269">
        <w:rPr>
          <w:rFonts w:eastAsia="Book Antiqua" w:cs="Book Antiqua"/>
        </w:rPr>
        <w:t>Cal-Am need</w:t>
      </w:r>
      <w:r w:rsidRPr="00470269" w:rsidR="00A72AB7">
        <w:rPr>
          <w:rFonts w:eastAsia="Book Antiqua" w:cs="Book Antiqua"/>
        </w:rPr>
        <w:t>s</w:t>
      </w:r>
      <w:r w:rsidRPr="00470269">
        <w:rPr>
          <w:rFonts w:eastAsia="Book Antiqua" w:cs="Book Antiqua"/>
        </w:rPr>
        <w:t xml:space="preserve"> a new </w:t>
      </w:r>
      <w:r w:rsidRPr="00470269">
        <w:t>East Pasadena Transaction Cost Memorandum Account for potential recovery of costs incurred after the effective date of this decision.</w:t>
      </w:r>
    </w:p>
    <w:p w:rsidRPr="00470269" w:rsidR="003039A5" w:rsidP="003039A5" w:rsidRDefault="003039A5" w14:paraId="06BB6EC3" w14:textId="617D79FE">
      <w:pPr>
        <w:pStyle w:val="FoF"/>
      </w:pPr>
      <w:r w:rsidRPr="00470269">
        <w:t xml:space="preserve">Cal-Am </w:t>
      </w:r>
      <w:r w:rsidRPr="00470269" w:rsidR="00A72AB7">
        <w:t>needs</w:t>
      </w:r>
      <w:r w:rsidRPr="00470269" w:rsidR="00A16F15">
        <w:t xml:space="preserve"> to include East Pasadena in </w:t>
      </w:r>
      <w:r w:rsidRPr="00470269">
        <w:t>an existing Memorandum Account for Environmental Improvement and Compliance Issues for Acquisitions.</w:t>
      </w:r>
    </w:p>
    <w:p w:rsidRPr="00470269" w:rsidR="00DB778D" w:rsidP="00647680" w:rsidRDefault="00C42166" w14:paraId="2F2DF565" w14:textId="78262B43">
      <w:pPr>
        <w:pStyle w:val="FoF"/>
      </w:pPr>
      <w:r w:rsidRPr="00470269">
        <w:t xml:space="preserve">The cost allocation and rate design impacts of the acquisition can be deferred to the 2024 </w:t>
      </w:r>
      <w:r w:rsidRPr="00470269" w:rsidR="000663DD">
        <w:t>GRC</w:t>
      </w:r>
      <w:r w:rsidRPr="00470269">
        <w:t>.</w:t>
      </w:r>
    </w:p>
    <w:p w:rsidRPr="00470269" w:rsidR="00647680" w:rsidP="00D1087C" w:rsidRDefault="00B87727" w14:paraId="43F6BD68" w14:textId="10B82DE6">
      <w:pPr>
        <w:pStyle w:val="FoF"/>
      </w:pPr>
      <w:r w:rsidRPr="00470269">
        <w:t xml:space="preserve">The transaction will enhance the </w:t>
      </w:r>
      <w:r w:rsidRPr="00470269" w:rsidR="00771B8A">
        <w:t xml:space="preserve">health and </w:t>
      </w:r>
      <w:r w:rsidRPr="00470269">
        <w:t>safety of East Pasadena customers.</w:t>
      </w:r>
    </w:p>
    <w:p w:rsidRPr="00470269" w:rsidR="002770BA" w:rsidP="00016CEE" w:rsidRDefault="00D1087C" w14:paraId="2A56AD2E" w14:textId="77777777">
      <w:pPr>
        <w:pStyle w:val="FoF"/>
      </w:pPr>
      <w:r w:rsidRPr="00470269">
        <w:t xml:space="preserve">The </w:t>
      </w:r>
      <w:bookmarkStart w:name="_Hlk72339369" w:id="128"/>
      <w:r w:rsidRPr="00470269">
        <w:t xml:space="preserve">transaction will have no </w:t>
      </w:r>
      <w:r w:rsidRPr="00470269" w:rsidR="00771B8A">
        <w:t xml:space="preserve">reasonably </w:t>
      </w:r>
      <w:r w:rsidRPr="00470269">
        <w:t>foreseeable impact on the environment</w:t>
      </w:r>
      <w:bookmarkEnd w:id="128"/>
      <w:r w:rsidRPr="00470269">
        <w:t>.</w:t>
      </w:r>
      <w:r w:rsidRPr="00470269" w:rsidR="002770BA">
        <w:t xml:space="preserve"> </w:t>
      </w:r>
    </w:p>
    <w:p w:rsidRPr="00470269" w:rsidR="00A2370D" w:rsidP="00016CEE" w:rsidRDefault="00A2370D" w14:paraId="4DEED96A" w14:textId="77777777">
      <w:pPr>
        <w:pStyle w:val="FoF"/>
      </w:pPr>
      <w:r w:rsidRPr="00470269">
        <w:t>The transaction is not subject to CEQA as it can be seen with some certainty that there is no possibility that the transaction in question may have a significant effect on the environment.</w:t>
      </w:r>
    </w:p>
    <w:p w:rsidRPr="00470269" w:rsidR="00D1087C" w:rsidP="00016CEE" w:rsidRDefault="00A2370D" w14:paraId="6C1D4DDE" w14:textId="4D2E7789">
      <w:pPr>
        <w:pStyle w:val="FoF"/>
      </w:pPr>
      <w:r w:rsidRPr="00470269">
        <w:t>The transaction qualifies for exemption from CEQA, under CEQA Guideline § 15061(b)(3) as having no significant impact upon the environment.</w:t>
      </w:r>
    </w:p>
    <w:p w:rsidRPr="000105A3" w:rsidR="00647680" w:rsidP="00647680" w:rsidRDefault="00647680" w14:paraId="6BCD1971" w14:textId="77777777">
      <w:pPr>
        <w:pStyle w:val="Dummy"/>
        <w:rPr>
          <w:bCs/>
        </w:rPr>
      </w:pPr>
      <w:bookmarkStart w:name="_Toc8123726" w:id="129"/>
      <w:bookmarkStart w:name="_Toc72748088" w:id="130"/>
      <w:bookmarkStart w:name="_Toc76995783" w:id="131"/>
      <w:r w:rsidRPr="000105A3">
        <w:rPr>
          <w:bCs/>
        </w:rPr>
        <w:lastRenderedPageBreak/>
        <w:t>Conclusions of Law</w:t>
      </w:r>
      <w:bookmarkEnd w:id="129"/>
      <w:bookmarkEnd w:id="130"/>
      <w:bookmarkEnd w:id="131"/>
    </w:p>
    <w:p w:rsidRPr="00470269" w:rsidR="00181339" w:rsidP="00181339" w:rsidRDefault="00A72AB7" w14:paraId="534F270C" w14:textId="1ABAEDEC">
      <w:pPr>
        <w:pStyle w:val="CoL"/>
      </w:pPr>
      <w:bookmarkStart w:name="_Hlk72347654" w:id="132"/>
      <w:r w:rsidRPr="00470269">
        <w:t xml:space="preserve">The Commission should </w:t>
      </w:r>
      <w:r w:rsidRPr="00470269" w:rsidR="00181339">
        <w:t xml:space="preserve">authorize East Pasadena to sell, and Cal-Am to purchase, </w:t>
      </w:r>
      <w:proofErr w:type="gramStart"/>
      <w:r w:rsidRPr="00470269" w:rsidR="00181339">
        <w:t>all of</w:t>
      </w:r>
      <w:proofErr w:type="gramEnd"/>
      <w:r w:rsidRPr="00470269" w:rsidR="00181339">
        <w:t xml:space="preserve"> East Pasadena’s assets listed the Asset Purchase Agreement, entered into on August 19, 2019, including East Pasadena’s entire water system, water rights and all of its assets.  </w:t>
      </w:r>
    </w:p>
    <w:bookmarkEnd w:id="132"/>
    <w:p w:rsidRPr="00470269" w:rsidR="00A72AB7" w:rsidRDefault="00A72AB7" w14:paraId="0362A0C3" w14:textId="1B0E8D73">
      <w:pPr>
        <w:pStyle w:val="CoL"/>
      </w:pPr>
      <w:r w:rsidRPr="00470269">
        <w:t>The total final purchase price of $34 million</w:t>
      </w:r>
      <w:r w:rsidRPr="00470269" w:rsidR="00F25438">
        <w:t>, plus or minus any adjustment amounts within the purchase agreement,</w:t>
      </w:r>
      <w:r w:rsidRPr="00470269">
        <w:t xml:space="preserve"> represents the fair market value as defined by Pub. Util. Code § 2720.  </w:t>
      </w:r>
    </w:p>
    <w:p w:rsidRPr="00470269" w:rsidR="00A72AB7" w:rsidP="00A72AB7" w:rsidRDefault="00A72AB7" w14:paraId="67F0A02F" w14:textId="66D61BB1">
      <w:pPr>
        <w:pStyle w:val="CoL"/>
      </w:pPr>
      <w:r w:rsidRPr="00470269">
        <w:t xml:space="preserve">The Commission should authorize </w:t>
      </w:r>
      <w:r w:rsidRPr="00470269" w:rsidR="00F25438">
        <w:t xml:space="preserve">post-transaction </w:t>
      </w:r>
      <w:r w:rsidRPr="00470269">
        <w:t>rate base equal to the total final purchase price.</w:t>
      </w:r>
    </w:p>
    <w:p w:rsidRPr="00470269" w:rsidR="00A72AB7" w:rsidRDefault="00A72AB7" w14:paraId="16D667B7" w14:textId="3AD86E0F">
      <w:pPr>
        <w:pStyle w:val="CoL"/>
      </w:pPr>
      <w:r w:rsidRPr="00470269">
        <w:t>Approving Cal-Am’s proposed purchase of the water utility assets of East</w:t>
      </w:r>
      <w:r w:rsidRPr="00470269" w:rsidR="00BA05C9">
        <w:t> </w:t>
      </w:r>
      <w:r w:rsidRPr="00470269">
        <w:t xml:space="preserve">Pasadena is in the public interest and consistent with §§ 851 </w:t>
      </w:r>
      <w:r w:rsidRPr="00470269">
        <w:rPr>
          <w:i/>
          <w:iCs/>
        </w:rPr>
        <w:t>et seq</w:t>
      </w:r>
      <w:r w:rsidRPr="00470269">
        <w:t>. and §§</w:t>
      </w:r>
      <w:r w:rsidRPr="00470269" w:rsidR="00AF0AE6">
        <w:t> </w:t>
      </w:r>
      <w:r w:rsidRPr="00470269">
        <w:t>2718</w:t>
      </w:r>
      <w:r w:rsidRPr="00470269" w:rsidR="00AF0AE6">
        <w:t> </w:t>
      </w:r>
      <w:r w:rsidRPr="00470269">
        <w:rPr>
          <w:i/>
          <w:iCs/>
        </w:rPr>
        <w:t>e</w:t>
      </w:r>
      <w:r w:rsidRPr="00470269" w:rsidR="00AF0AE6">
        <w:rPr>
          <w:i/>
          <w:iCs/>
        </w:rPr>
        <w:t>t </w:t>
      </w:r>
      <w:r w:rsidRPr="00470269">
        <w:rPr>
          <w:i/>
          <w:iCs/>
        </w:rPr>
        <w:t>seq.</w:t>
      </w:r>
    </w:p>
    <w:p w:rsidRPr="00470269" w:rsidR="00647680" w:rsidP="005F7410" w:rsidRDefault="00647680" w14:paraId="2A3D0C75" w14:textId="59DE4410">
      <w:pPr>
        <w:pStyle w:val="CoL"/>
      </w:pPr>
      <w:r w:rsidRPr="00470269">
        <w:t xml:space="preserve">The </w:t>
      </w:r>
      <w:r w:rsidRPr="00470269" w:rsidR="00A2370D">
        <w:t xml:space="preserve">Application and the proposed </w:t>
      </w:r>
      <w:r w:rsidRPr="00470269" w:rsidR="00E259A8">
        <w:t>acquisition</w:t>
      </w:r>
      <w:r w:rsidRPr="00470269">
        <w:t xml:space="preserve"> </w:t>
      </w:r>
      <w:r w:rsidRPr="00470269" w:rsidR="00A2370D">
        <w:t xml:space="preserve">promote the legislative </w:t>
      </w:r>
      <w:r w:rsidRPr="00470269" w:rsidR="005F204F">
        <w:t xml:space="preserve">and public interest </w:t>
      </w:r>
      <w:r w:rsidRPr="00470269" w:rsidR="00A2370D">
        <w:t xml:space="preserve">goals </w:t>
      </w:r>
      <w:r w:rsidRPr="00470269" w:rsidR="005F204F">
        <w:t xml:space="preserve">of Public Water System Investment and Consolidation Act, </w:t>
      </w:r>
      <w:r w:rsidRPr="00470269" w:rsidR="00F92A2F">
        <w:t>§</w:t>
      </w:r>
      <w:r w:rsidRPr="00470269">
        <w:t xml:space="preserve">§ 2718 </w:t>
      </w:r>
      <w:r w:rsidRPr="00470269">
        <w:rPr>
          <w:i/>
          <w:iCs/>
        </w:rPr>
        <w:t>et seq</w:t>
      </w:r>
      <w:r w:rsidRPr="00470269">
        <w:t>.</w:t>
      </w:r>
      <w:r w:rsidRPr="00470269" w:rsidR="005F7410">
        <w:t xml:space="preserve">  </w:t>
      </w:r>
    </w:p>
    <w:p w:rsidRPr="00470269" w:rsidR="00F25438" w:rsidP="00F25438" w:rsidRDefault="00F25438" w14:paraId="3C7D9647" w14:textId="77777777">
      <w:pPr>
        <w:pStyle w:val="CoL"/>
      </w:pPr>
      <w:r w:rsidRPr="00470269">
        <w:t>It is reasonable to direct the parties to address the long-term ratemaking options and consequences of the intangible assets in the 2024 GRC.</w:t>
      </w:r>
    </w:p>
    <w:p w:rsidRPr="00470269" w:rsidR="00F25438" w:rsidP="00F25438" w:rsidRDefault="00F25438" w14:paraId="1FEF775E" w14:textId="0D9A5E4A">
      <w:pPr>
        <w:pStyle w:val="CoL"/>
      </w:pPr>
      <w:r w:rsidRPr="00470269">
        <w:t>Consideration of Cal-Am's proposal to allocate the rate base between the proposed new consolidated district and its Corporate Office, which would impact all Cal-Am's ratepayers statewide, should be deferred to the next 2024 GRC.</w:t>
      </w:r>
    </w:p>
    <w:p w:rsidRPr="00470269" w:rsidR="005F204F" w:rsidP="005F204F" w:rsidRDefault="00F25438" w14:paraId="4DFFE129" w14:textId="53FA6BB1">
      <w:pPr>
        <w:pStyle w:val="CoL"/>
      </w:pPr>
      <w:r w:rsidRPr="00470269">
        <w:t xml:space="preserve">Cal-Am's proposed immediate consolidation of the East Pasadena service area with Cal-Am’s existing service area (Los Angeles </w:t>
      </w:r>
      <w:r w:rsidR="00266271">
        <w:t xml:space="preserve">County </w:t>
      </w:r>
      <w:r w:rsidR="00046162">
        <w:t>D</w:t>
      </w:r>
      <w:r w:rsidRPr="00470269">
        <w:t>istrict</w:t>
      </w:r>
      <w:r w:rsidR="00046162">
        <w:t xml:space="preserve"> or Southern District</w:t>
      </w:r>
      <w:r w:rsidRPr="00470269">
        <w:t xml:space="preserve">), for operational purposes, should be authorized. </w:t>
      </w:r>
    </w:p>
    <w:p w:rsidRPr="00470269" w:rsidR="00F25438" w:rsidP="00F25438" w:rsidRDefault="00F25438" w14:paraId="02A73615" w14:textId="1830A0A0">
      <w:pPr>
        <w:pStyle w:val="CoL"/>
      </w:pPr>
      <w:r w:rsidRPr="00470269">
        <w:lastRenderedPageBreak/>
        <w:t xml:space="preserve">Cal-Am’s request to consolidate East Pasadena into its Los Angeles County District for ratemaking purposes in Cal-Am’s next GRC, </w:t>
      </w:r>
      <w:r w:rsidR="004A6D6C">
        <w:t>effective</w:t>
      </w:r>
      <w:r w:rsidRPr="00470269">
        <w:t xml:space="preserve"> January 1, 2024, is reasonable, and should be granted.</w:t>
      </w:r>
    </w:p>
    <w:p w:rsidRPr="00470269" w:rsidR="005F204F" w:rsidP="005F204F" w:rsidRDefault="005F204F" w14:paraId="0B7B8CDF" w14:textId="49025372">
      <w:pPr>
        <w:pStyle w:val="CoL"/>
      </w:pPr>
      <w:r w:rsidRPr="00470269">
        <w:t xml:space="preserve">The </w:t>
      </w:r>
      <w:proofErr w:type="spellStart"/>
      <w:r w:rsidRPr="00470269">
        <w:t>ratesetting</w:t>
      </w:r>
      <w:proofErr w:type="spellEnd"/>
      <w:r w:rsidRPr="00470269">
        <w:t xml:space="preserve"> allocation of the rate base addition </w:t>
      </w:r>
      <w:r w:rsidRPr="00470269" w:rsidR="00F25438">
        <w:t>should</w:t>
      </w:r>
      <w:r w:rsidRPr="00470269">
        <w:t xml:space="preserve"> be deferred to the 2024 GRC.</w:t>
      </w:r>
    </w:p>
    <w:p w:rsidRPr="00470269" w:rsidR="00647680" w:rsidP="00DB778D" w:rsidRDefault="00DC0812" w14:paraId="0F8C065B" w14:textId="2FE28C77">
      <w:pPr>
        <w:pStyle w:val="CoL"/>
      </w:pPr>
      <w:r w:rsidRPr="00470269">
        <w:t>The</w:t>
      </w:r>
      <w:r w:rsidRPr="00470269" w:rsidR="00647680">
        <w:t xml:space="preserve"> </w:t>
      </w:r>
      <w:r w:rsidRPr="00470269" w:rsidR="000A3A5A">
        <w:t xml:space="preserve">ratemaking </w:t>
      </w:r>
      <w:r w:rsidRPr="00470269" w:rsidR="00647680">
        <w:t xml:space="preserve">allocation of its acquisition premium between </w:t>
      </w:r>
      <w:r w:rsidRPr="00470269" w:rsidR="00552164">
        <w:t xml:space="preserve">Cal-Am’s </w:t>
      </w:r>
      <w:r w:rsidRPr="00470269" w:rsidR="00647680">
        <w:t xml:space="preserve">rate districts </w:t>
      </w:r>
      <w:r w:rsidRPr="00470269" w:rsidR="00552164">
        <w:t xml:space="preserve">and the </w:t>
      </w:r>
      <w:r w:rsidR="00FC459C">
        <w:t>E</w:t>
      </w:r>
      <w:r w:rsidRPr="00470269" w:rsidR="00FC459C">
        <w:t xml:space="preserve">ast </w:t>
      </w:r>
      <w:r w:rsidRPr="00470269" w:rsidR="00C9522A">
        <w:t xml:space="preserve">Pasadena service area </w:t>
      </w:r>
      <w:r w:rsidRPr="00470269" w:rsidR="00A2370D">
        <w:t>should</w:t>
      </w:r>
      <w:r w:rsidRPr="00470269" w:rsidR="00DB778D">
        <w:t xml:space="preserve"> be deferred to the 2024</w:t>
      </w:r>
      <w:r w:rsidRPr="00470269" w:rsidR="00BA05C9">
        <w:t> </w:t>
      </w:r>
      <w:r w:rsidRPr="00470269" w:rsidR="000663DD">
        <w:t>GRC</w:t>
      </w:r>
      <w:r w:rsidRPr="00470269" w:rsidR="00DB778D">
        <w:t>.</w:t>
      </w:r>
    </w:p>
    <w:p w:rsidRPr="00470269" w:rsidR="00BA6661" w:rsidP="00BA6661" w:rsidRDefault="00BA6661" w14:paraId="676FCB0B" w14:textId="3DDE4A29">
      <w:pPr>
        <w:pStyle w:val="CoL"/>
      </w:pPr>
      <w:r w:rsidRPr="00470269">
        <w:t xml:space="preserve">The </w:t>
      </w:r>
      <w:r w:rsidRPr="00470269" w:rsidR="00634FE7">
        <w:t xml:space="preserve">long-term </w:t>
      </w:r>
      <w:r w:rsidRPr="00470269">
        <w:t xml:space="preserve">ratemaking </w:t>
      </w:r>
      <w:r w:rsidRPr="00470269" w:rsidR="000E3E22">
        <w:t xml:space="preserve">treatment </w:t>
      </w:r>
      <w:r w:rsidRPr="00470269">
        <w:t xml:space="preserve">of the acquired intangible assets </w:t>
      </w:r>
      <w:r w:rsidRPr="00470269" w:rsidR="00A2370D">
        <w:t xml:space="preserve">should </w:t>
      </w:r>
      <w:r w:rsidRPr="00470269">
        <w:t xml:space="preserve">be deferred to the 2024 </w:t>
      </w:r>
      <w:r w:rsidRPr="00470269" w:rsidR="000663DD">
        <w:t>GRC</w:t>
      </w:r>
      <w:r w:rsidRPr="00470269">
        <w:t>.</w:t>
      </w:r>
    </w:p>
    <w:p w:rsidRPr="00470269" w:rsidR="00647680" w:rsidP="00647680" w:rsidRDefault="00647680" w14:paraId="6765CB52" w14:textId="176A6185">
      <w:pPr>
        <w:pStyle w:val="CoL"/>
      </w:pPr>
      <w:r w:rsidRPr="00470269">
        <w:t xml:space="preserve">Until Cal-Am files </w:t>
      </w:r>
      <w:r w:rsidRPr="00470269" w:rsidR="002E237A">
        <w:t xml:space="preserve">its next </w:t>
      </w:r>
      <w:r w:rsidRPr="00470269">
        <w:t xml:space="preserve">GRC, the rates in the East Pasadena service area should remain </w:t>
      </w:r>
      <w:r w:rsidRPr="00470269" w:rsidR="00EE53F8">
        <w:t>in effect subject to existing authority to file for rate increases using the Commission’s advice letter process</w:t>
      </w:r>
      <w:r w:rsidRPr="00470269">
        <w:t>.</w:t>
      </w:r>
    </w:p>
    <w:p w:rsidRPr="00470269" w:rsidR="00647680" w:rsidP="00647680" w:rsidRDefault="00647680" w14:paraId="4735F549" w14:textId="4A4BCFF4">
      <w:pPr>
        <w:pStyle w:val="CoL"/>
      </w:pPr>
      <w:r w:rsidRPr="00470269">
        <w:t>Cal-Am</w:t>
      </w:r>
      <w:r w:rsidRPr="00470269" w:rsidR="002703D3">
        <w:t xml:space="preserve">’s request for </w:t>
      </w:r>
      <w:r w:rsidRPr="00470269">
        <w:t>authoriz</w:t>
      </w:r>
      <w:r w:rsidRPr="00470269" w:rsidR="002703D3">
        <w:t>ation</w:t>
      </w:r>
      <w:r w:rsidRPr="00470269">
        <w:t xml:space="preserve"> to establish a</w:t>
      </w:r>
      <w:r w:rsidRPr="00470269" w:rsidR="00CD23F9">
        <w:t>n</w:t>
      </w:r>
      <w:r w:rsidRPr="00470269">
        <w:t xml:space="preserve"> </w:t>
      </w:r>
      <w:r w:rsidRPr="00470269" w:rsidR="00CD23F9">
        <w:t xml:space="preserve">East Pasadena </w:t>
      </w:r>
      <w:r w:rsidRPr="00470269">
        <w:t xml:space="preserve">Transaction Memorandum Account to record </w:t>
      </w:r>
      <w:proofErr w:type="gramStart"/>
      <w:r w:rsidRPr="00470269">
        <w:t>all of</w:t>
      </w:r>
      <w:proofErr w:type="gramEnd"/>
      <w:r w:rsidRPr="00470269">
        <w:t xml:space="preserve"> its </w:t>
      </w:r>
      <w:r w:rsidRPr="00470269" w:rsidR="002266F0">
        <w:t>future</w:t>
      </w:r>
      <w:r w:rsidRPr="00470269">
        <w:t xml:space="preserve"> transaction costs consistent with this Decision</w:t>
      </w:r>
      <w:r w:rsidRPr="00470269" w:rsidR="002703D3">
        <w:t xml:space="preserve"> should be granted</w:t>
      </w:r>
      <w:r w:rsidRPr="00470269">
        <w:t>.</w:t>
      </w:r>
    </w:p>
    <w:p w:rsidRPr="00470269" w:rsidR="00647680" w:rsidP="00B14260" w:rsidRDefault="00647680" w14:paraId="05105910" w14:textId="0EEDF775">
      <w:pPr>
        <w:pStyle w:val="CoL"/>
      </w:pPr>
      <w:r w:rsidRPr="00470269">
        <w:t>Cal-Am</w:t>
      </w:r>
      <w:r w:rsidRPr="00470269" w:rsidR="002703D3">
        <w:t xml:space="preserve">’s request for </w:t>
      </w:r>
      <w:r w:rsidRPr="00470269">
        <w:t>authoriz</w:t>
      </w:r>
      <w:r w:rsidRPr="00470269" w:rsidR="002703D3">
        <w:t xml:space="preserve">ation </w:t>
      </w:r>
      <w:r w:rsidRPr="00470269">
        <w:t xml:space="preserve">to establish an </w:t>
      </w:r>
      <w:r w:rsidRPr="00470269" w:rsidR="00CD23F9">
        <w:t xml:space="preserve">East Pasadena </w:t>
      </w:r>
      <w:r w:rsidRPr="00470269">
        <w:t>Acquisition Contingency Memorandum Account</w:t>
      </w:r>
      <w:r w:rsidRPr="00470269" w:rsidR="002703D3">
        <w:t xml:space="preserve"> should be denied</w:t>
      </w:r>
      <w:r w:rsidRPr="00470269">
        <w:t>.</w:t>
      </w:r>
    </w:p>
    <w:p w:rsidRPr="00470269" w:rsidR="00B14260" w:rsidP="00647680" w:rsidRDefault="00647680" w14:paraId="5758ABCA" w14:textId="777BAC7A">
      <w:pPr>
        <w:pStyle w:val="CoL"/>
      </w:pPr>
      <w:r w:rsidRPr="00470269">
        <w:t xml:space="preserve">Cal-Am should be authorized to add East Pasadena to its existing Memorandum Account for Environmental Improvement and Compliance Issues for Acquisitions.  </w:t>
      </w:r>
    </w:p>
    <w:p w:rsidRPr="00470269" w:rsidR="008917B5" w:rsidP="008917B5" w:rsidRDefault="008917B5" w14:paraId="1222684E" w14:textId="7AF6853A">
      <w:pPr>
        <w:pStyle w:val="CoL"/>
      </w:pPr>
      <w:r w:rsidRPr="00470269">
        <w:t>The Commission’s decisions on gain-on-sale and the attendant gain</w:t>
      </w:r>
      <w:r w:rsidRPr="00470269" w:rsidR="00BA05C9">
        <w:noBreakHyphen/>
      </w:r>
      <w:r w:rsidRPr="00470269">
        <w:t>on</w:t>
      </w:r>
      <w:r w:rsidRPr="00470269" w:rsidR="00BA05C9">
        <w:noBreakHyphen/>
      </w:r>
      <w:r w:rsidRPr="00470269">
        <w:t xml:space="preserve">sales rules </w:t>
      </w:r>
      <w:r w:rsidR="005871FE">
        <w:t>do</w:t>
      </w:r>
      <w:r w:rsidRPr="00470269">
        <w:t xml:space="preserve"> not appl</w:t>
      </w:r>
      <w:r w:rsidR="005871FE">
        <w:t>y</w:t>
      </w:r>
      <w:r w:rsidRPr="00470269">
        <w:t xml:space="preserve"> to this transaction.</w:t>
      </w:r>
    </w:p>
    <w:p w:rsidRPr="00470269" w:rsidR="008917B5" w:rsidP="008917B5" w:rsidRDefault="008917B5" w14:paraId="5E94BC81" w14:textId="4D082F2F">
      <w:pPr>
        <w:pStyle w:val="CoL"/>
      </w:pPr>
      <w:r w:rsidRPr="00470269">
        <w:t>The transaction complies with and is consistent with § 451, which requires, in part, that utilities are operated to promote the safety of the public.</w:t>
      </w:r>
    </w:p>
    <w:p w:rsidRPr="00470269" w:rsidR="00A2370D" w:rsidP="00647680" w:rsidRDefault="00A2370D" w14:paraId="1968B0B6" w14:textId="2D5AC699">
      <w:pPr>
        <w:pStyle w:val="CoL"/>
      </w:pPr>
      <w:r w:rsidRPr="00470269">
        <w:t>CEQA review should not be required before approving the transaction.</w:t>
      </w:r>
    </w:p>
    <w:p w:rsidRPr="00470269" w:rsidR="00647680" w:rsidP="00647680" w:rsidRDefault="00647680" w14:paraId="0F1EE78B" w14:textId="77777777">
      <w:pPr>
        <w:pStyle w:val="CoL"/>
      </w:pPr>
      <w:r w:rsidRPr="00470269">
        <w:lastRenderedPageBreak/>
        <w:t>This proceeding should be closed.</w:t>
      </w:r>
    </w:p>
    <w:p w:rsidRPr="000105A3" w:rsidR="00647680" w:rsidP="00647680" w:rsidRDefault="00647680" w14:paraId="2FA580D6" w14:textId="77777777">
      <w:pPr>
        <w:pStyle w:val="Mainex"/>
        <w:rPr>
          <w:rFonts w:cs="Arial"/>
          <w:bCs/>
        </w:rPr>
      </w:pPr>
      <w:bookmarkStart w:name="_Toc72748089" w:id="133"/>
      <w:bookmarkStart w:name="_Toc76995784" w:id="134"/>
      <w:r w:rsidRPr="000105A3">
        <w:rPr>
          <w:rFonts w:cs="Arial"/>
          <w:bCs/>
        </w:rPr>
        <w:t>ORDER</w:t>
      </w:r>
      <w:bookmarkEnd w:id="133"/>
      <w:bookmarkEnd w:id="134"/>
    </w:p>
    <w:p w:rsidRPr="00470269" w:rsidR="00647680" w:rsidP="00647680" w:rsidRDefault="00647680" w14:paraId="7B4C5433" w14:textId="77777777">
      <w:pPr>
        <w:keepNext/>
      </w:pPr>
      <w:r w:rsidRPr="00470269">
        <w:rPr>
          <w:b/>
          <w:bCs/>
        </w:rPr>
        <w:t>IT IS ORDERED</w:t>
      </w:r>
      <w:r w:rsidRPr="00470269">
        <w:t xml:space="preserve"> that:</w:t>
      </w:r>
    </w:p>
    <w:p w:rsidRPr="00470269" w:rsidR="0061029D" w:rsidP="00181339" w:rsidRDefault="00647680" w14:paraId="4D5C2C84" w14:textId="66B95817">
      <w:pPr>
        <w:pStyle w:val="ListParagraph"/>
        <w:keepNext/>
        <w:keepLines/>
        <w:numPr>
          <w:ilvl w:val="0"/>
          <w:numId w:val="18"/>
        </w:numPr>
        <w:spacing w:after="120"/>
        <w:ind w:left="0" w:firstLine="360"/>
        <w:rPr>
          <w:rFonts w:eastAsia="Book Antiqua" w:cs="Book Antiqua"/>
          <w:szCs w:val="26"/>
        </w:rPr>
      </w:pPr>
      <w:r w:rsidRPr="00470269">
        <w:rPr>
          <w:rFonts w:eastAsia="Book Antiqua" w:cs="Book Antiqua"/>
          <w:szCs w:val="26"/>
        </w:rPr>
        <w:t>East Pasadena Water Company (East Pasadena) is authorized to sell</w:t>
      </w:r>
      <w:r w:rsidRPr="00470269" w:rsidR="00CA1601">
        <w:rPr>
          <w:rFonts w:eastAsia="Book Antiqua" w:cs="Book Antiqua"/>
          <w:szCs w:val="26"/>
        </w:rPr>
        <w:t>,</w:t>
      </w:r>
      <w:r w:rsidRPr="00470269">
        <w:rPr>
          <w:rFonts w:eastAsia="Book Antiqua" w:cs="Book Antiqua"/>
          <w:szCs w:val="26"/>
        </w:rPr>
        <w:t xml:space="preserve"> and California-American Water Company is authorized to purchase</w:t>
      </w:r>
      <w:r w:rsidRPr="00470269" w:rsidR="00CA1601">
        <w:rPr>
          <w:rFonts w:eastAsia="Book Antiqua" w:cs="Book Antiqua"/>
          <w:szCs w:val="26"/>
        </w:rPr>
        <w:t>,</w:t>
      </w:r>
      <w:r w:rsidRPr="00470269">
        <w:rPr>
          <w:rFonts w:eastAsia="Book Antiqua" w:cs="Book Antiqua"/>
          <w:szCs w:val="26"/>
        </w:rPr>
        <w:t xml:space="preserve"> </w:t>
      </w:r>
      <w:proofErr w:type="gramStart"/>
      <w:r w:rsidRPr="00470269">
        <w:rPr>
          <w:rFonts w:eastAsia="Book Antiqua" w:cs="Book Antiqua"/>
          <w:szCs w:val="26"/>
        </w:rPr>
        <w:t>all of</w:t>
      </w:r>
      <w:proofErr w:type="gramEnd"/>
      <w:r w:rsidRPr="00470269">
        <w:rPr>
          <w:rFonts w:eastAsia="Book Antiqua" w:cs="Book Antiqua"/>
          <w:szCs w:val="26"/>
        </w:rPr>
        <w:t xml:space="preserve"> East Pasadena’s assets listed </w:t>
      </w:r>
      <w:r w:rsidR="00E37FE6">
        <w:rPr>
          <w:rFonts w:eastAsia="Book Antiqua" w:cs="Book Antiqua"/>
          <w:szCs w:val="26"/>
        </w:rPr>
        <w:t xml:space="preserve">in </w:t>
      </w:r>
      <w:r w:rsidRPr="00470269">
        <w:rPr>
          <w:rFonts w:eastAsia="Book Antiqua" w:cs="Book Antiqua"/>
          <w:szCs w:val="26"/>
        </w:rPr>
        <w:t xml:space="preserve">the Asset Purchase Agreement, </w:t>
      </w:r>
      <w:r w:rsidRPr="00470269" w:rsidR="00181339">
        <w:rPr>
          <w:rFonts w:eastAsia="Book Antiqua" w:cs="Book Antiqua"/>
          <w:szCs w:val="26"/>
        </w:rPr>
        <w:t>entered into on August</w:t>
      </w:r>
      <w:r w:rsidRPr="00470269" w:rsidR="00AF0AE6">
        <w:rPr>
          <w:rFonts w:eastAsia="Book Antiqua" w:cs="Book Antiqua"/>
          <w:szCs w:val="26"/>
        </w:rPr>
        <w:t> </w:t>
      </w:r>
      <w:r w:rsidRPr="00470269" w:rsidR="00181339">
        <w:rPr>
          <w:rFonts w:eastAsia="Book Antiqua" w:cs="Book Antiqua"/>
          <w:szCs w:val="26"/>
        </w:rPr>
        <w:t xml:space="preserve">19, 2019, including East Pasadena’s entire water system, water rights </w:t>
      </w:r>
      <w:r w:rsidRPr="00470269">
        <w:rPr>
          <w:rFonts w:eastAsia="Book Antiqua" w:cs="Book Antiqua"/>
          <w:szCs w:val="26"/>
        </w:rPr>
        <w:t>and all of its assets.</w:t>
      </w:r>
      <w:r w:rsidRPr="00470269" w:rsidR="00181339">
        <w:rPr>
          <w:rFonts w:eastAsia="Book Antiqua" w:cs="Book Antiqua"/>
          <w:szCs w:val="26"/>
        </w:rPr>
        <w:t xml:space="preserve">  </w:t>
      </w:r>
    </w:p>
    <w:p w:rsidRPr="00470269" w:rsidR="0061029D" w:rsidP="00647680" w:rsidRDefault="0061029D" w14:paraId="3EA5FB0C" w14:textId="1C8ED47F">
      <w:pPr>
        <w:pStyle w:val="ListParagraph"/>
        <w:numPr>
          <w:ilvl w:val="0"/>
          <w:numId w:val="18"/>
        </w:numPr>
        <w:spacing w:after="120"/>
        <w:ind w:left="0" w:firstLine="360"/>
        <w:rPr>
          <w:rFonts w:eastAsia="Book Antiqua" w:cs="Book Antiqua"/>
          <w:szCs w:val="26"/>
        </w:rPr>
      </w:pPr>
      <w:r w:rsidRPr="00470269">
        <w:rPr>
          <w:rFonts w:eastAsia="Book Antiqua" w:cs="Book Antiqua"/>
          <w:szCs w:val="26"/>
        </w:rPr>
        <w:t>California-American Water Company’s (Cal-Am's) Certificate of Public Convenience and Necessity is modified to incorporate the East Pasadena Water System service area into Cal-Am’s Los Angeles County District.</w:t>
      </w:r>
    </w:p>
    <w:p w:rsidRPr="00470269" w:rsidR="00647680" w:rsidP="00647680" w:rsidRDefault="00647680" w14:paraId="579BF820" w14:textId="474EC9D4">
      <w:pPr>
        <w:pStyle w:val="ListParagraph"/>
        <w:numPr>
          <w:ilvl w:val="0"/>
          <w:numId w:val="18"/>
        </w:numPr>
        <w:spacing w:after="120"/>
        <w:ind w:left="0" w:firstLine="360"/>
        <w:rPr>
          <w:rFonts w:eastAsia="Book Antiqua" w:cs="Book Antiqua"/>
          <w:szCs w:val="26"/>
        </w:rPr>
      </w:pPr>
      <w:r w:rsidRPr="00470269">
        <w:rPr>
          <w:rFonts w:eastAsia="Book Antiqua" w:cs="Book Antiqua"/>
          <w:szCs w:val="26"/>
        </w:rPr>
        <w:t>California-American Water Company</w:t>
      </w:r>
      <w:r w:rsidRPr="00470269" w:rsidDel="004636B5">
        <w:rPr>
          <w:rFonts w:eastAsia="Book Antiqua" w:cs="Book Antiqua"/>
          <w:szCs w:val="26"/>
        </w:rPr>
        <w:t xml:space="preserve"> </w:t>
      </w:r>
      <w:r w:rsidRPr="00470269">
        <w:rPr>
          <w:rFonts w:eastAsia="Book Antiqua" w:cs="Book Antiqua"/>
          <w:szCs w:val="26"/>
        </w:rPr>
        <w:t xml:space="preserve">(Cal-Am) is authorized to include the $34,000,000 </w:t>
      </w:r>
      <w:r w:rsidRPr="00470269" w:rsidR="002542DF">
        <w:rPr>
          <w:rFonts w:eastAsia="Book Antiqua" w:cs="Book Antiqua"/>
          <w:szCs w:val="26"/>
        </w:rPr>
        <w:t>purchase price</w:t>
      </w:r>
      <w:r w:rsidR="000770E6">
        <w:rPr>
          <w:rFonts w:eastAsia="Book Antiqua" w:cs="Book Antiqua"/>
          <w:szCs w:val="26"/>
        </w:rPr>
        <w:t>, plus or minus any adjustment amounts within the purchase agreement,</w:t>
      </w:r>
      <w:r w:rsidRPr="00470269" w:rsidR="002542DF">
        <w:rPr>
          <w:rFonts w:eastAsia="Book Antiqua" w:cs="Book Antiqua"/>
          <w:szCs w:val="26"/>
        </w:rPr>
        <w:t xml:space="preserve"> of </w:t>
      </w:r>
      <w:r w:rsidRPr="00470269">
        <w:rPr>
          <w:rFonts w:eastAsia="Book Antiqua" w:cs="Book Antiqua"/>
          <w:szCs w:val="26"/>
        </w:rPr>
        <w:t>East Pasadena Water Company in Cal-Am’s rate base</w:t>
      </w:r>
      <w:r w:rsidRPr="00470269" w:rsidR="007819E9">
        <w:rPr>
          <w:rFonts w:eastAsia="Book Antiqua" w:cs="Book Antiqua"/>
          <w:szCs w:val="26"/>
        </w:rPr>
        <w:t xml:space="preserve"> in a subsequent </w:t>
      </w:r>
      <w:r w:rsidRPr="00470269" w:rsidR="00D23336">
        <w:rPr>
          <w:rFonts w:eastAsia="Book Antiqua" w:cs="Book Antiqua"/>
          <w:szCs w:val="26"/>
        </w:rPr>
        <w:t xml:space="preserve">2024 </w:t>
      </w:r>
      <w:r w:rsidRPr="00470269" w:rsidR="007819E9">
        <w:rPr>
          <w:rFonts w:eastAsia="Book Antiqua" w:cs="Book Antiqua"/>
          <w:szCs w:val="26"/>
        </w:rPr>
        <w:t>general rate case proceeding</w:t>
      </w:r>
      <w:r w:rsidRPr="00470269">
        <w:rPr>
          <w:rFonts w:eastAsia="Book Antiqua" w:cs="Book Antiqua"/>
          <w:szCs w:val="26"/>
        </w:rPr>
        <w:t>.</w:t>
      </w:r>
      <w:r w:rsidRPr="00470269" w:rsidR="00D23336">
        <w:rPr>
          <w:rFonts w:eastAsia="Book Antiqua" w:cs="Book Antiqua"/>
          <w:szCs w:val="26"/>
        </w:rPr>
        <w:t xml:space="preserve">  </w:t>
      </w:r>
      <w:r w:rsidRPr="00470269" w:rsidR="00634FE7">
        <w:rPr>
          <w:rFonts w:eastAsia="Book Antiqua" w:cs="Book Antiqua"/>
          <w:szCs w:val="26"/>
        </w:rPr>
        <w:t>Cal-Am shall address the</w:t>
      </w:r>
      <w:r w:rsidRPr="00470269" w:rsidR="000E3E22">
        <w:t xml:space="preserve"> long-term ratemaking treatment of the acquired intangible assets</w:t>
      </w:r>
      <w:r w:rsidRPr="00470269" w:rsidR="004A7A8A">
        <w:t xml:space="preserve"> in th</w:t>
      </w:r>
      <w:r w:rsidRPr="00470269" w:rsidR="00EA5C53">
        <w:t>at proceeding</w:t>
      </w:r>
      <w:r w:rsidRPr="00470269" w:rsidR="000E3E22">
        <w:t>.</w:t>
      </w:r>
    </w:p>
    <w:p w:rsidRPr="00470269" w:rsidR="00647680" w:rsidP="00647680" w:rsidRDefault="00647680" w14:paraId="158ABDFE" w14:textId="785FB081">
      <w:pPr>
        <w:pStyle w:val="ListParagraph"/>
        <w:numPr>
          <w:ilvl w:val="0"/>
          <w:numId w:val="18"/>
        </w:numPr>
        <w:spacing w:after="120"/>
        <w:ind w:left="0" w:firstLine="360"/>
        <w:rPr>
          <w:rFonts w:eastAsia="Book Antiqua" w:cs="Book Antiqua"/>
          <w:szCs w:val="26"/>
        </w:rPr>
      </w:pPr>
      <w:r w:rsidRPr="00470269">
        <w:rPr>
          <w:rFonts w:eastAsia="Book Antiqua" w:cs="Book Antiqua"/>
          <w:szCs w:val="26"/>
        </w:rPr>
        <w:t>California-American Water Company</w:t>
      </w:r>
      <w:r w:rsidRPr="00470269" w:rsidR="002817B1">
        <w:rPr>
          <w:rFonts w:eastAsia="Book Antiqua" w:cs="Book Antiqua"/>
          <w:szCs w:val="26"/>
        </w:rPr>
        <w:t>,</w:t>
      </w:r>
      <w:r w:rsidRPr="00470269" w:rsidDel="004636B5">
        <w:rPr>
          <w:rFonts w:eastAsia="Book Antiqua" w:cs="Book Antiqua"/>
          <w:szCs w:val="26"/>
        </w:rPr>
        <w:t xml:space="preserve"> </w:t>
      </w:r>
      <w:r w:rsidRPr="00470269">
        <w:rPr>
          <w:rFonts w:eastAsia="Book Antiqua" w:cs="Book Antiqua"/>
          <w:szCs w:val="26"/>
        </w:rPr>
        <w:t xml:space="preserve">in its next </w:t>
      </w:r>
      <w:r w:rsidRPr="00470269" w:rsidR="00833ED2">
        <w:rPr>
          <w:rFonts w:eastAsia="Book Antiqua" w:cs="Book Antiqua"/>
          <w:szCs w:val="26"/>
        </w:rPr>
        <w:t xml:space="preserve">2024 </w:t>
      </w:r>
      <w:r w:rsidRPr="00470269" w:rsidR="007819E9">
        <w:rPr>
          <w:rFonts w:eastAsia="Book Antiqua" w:cs="Book Antiqua"/>
          <w:szCs w:val="26"/>
        </w:rPr>
        <w:t>g</w:t>
      </w:r>
      <w:r w:rsidRPr="00470269">
        <w:rPr>
          <w:rFonts w:eastAsia="Book Antiqua" w:cs="Book Antiqua"/>
          <w:szCs w:val="26"/>
        </w:rPr>
        <w:t xml:space="preserve">eneral </w:t>
      </w:r>
      <w:r w:rsidRPr="00470269" w:rsidR="007819E9">
        <w:rPr>
          <w:rFonts w:eastAsia="Book Antiqua" w:cs="Book Antiqua"/>
          <w:szCs w:val="26"/>
        </w:rPr>
        <w:t>r</w:t>
      </w:r>
      <w:r w:rsidRPr="00470269">
        <w:rPr>
          <w:rFonts w:eastAsia="Book Antiqua" w:cs="Book Antiqua"/>
          <w:szCs w:val="26"/>
        </w:rPr>
        <w:t xml:space="preserve">ate </w:t>
      </w:r>
      <w:r w:rsidRPr="00470269" w:rsidR="007819E9">
        <w:rPr>
          <w:rFonts w:eastAsia="Book Antiqua" w:cs="Book Antiqua"/>
          <w:szCs w:val="26"/>
        </w:rPr>
        <w:t>c</w:t>
      </w:r>
      <w:r w:rsidRPr="00470269">
        <w:rPr>
          <w:rFonts w:eastAsia="Book Antiqua" w:cs="Book Antiqua"/>
          <w:szCs w:val="26"/>
        </w:rPr>
        <w:t>ase</w:t>
      </w:r>
      <w:r w:rsidR="009054C6">
        <w:rPr>
          <w:rFonts w:eastAsia="Book Antiqua" w:cs="Book Antiqua"/>
          <w:szCs w:val="26"/>
        </w:rPr>
        <w:t>,</w:t>
      </w:r>
      <w:r w:rsidRPr="00470269">
        <w:rPr>
          <w:rFonts w:eastAsia="Book Antiqua" w:cs="Book Antiqua"/>
          <w:szCs w:val="26"/>
        </w:rPr>
        <w:t xml:space="preserve"> </w:t>
      </w:r>
      <w:r w:rsidRPr="00470269" w:rsidR="007D4432">
        <w:rPr>
          <w:rFonts w:eastAsia="Book Antiqua" w:cs="Book Antiqua"/>
          <w:szCs w:val="26"/>
        </w:rPr>
        <w:t>shall</w:t>
      </w:r>
      <w:r w:rsidRPr="00470269">
        <w:rPr>
          <w:rFonts w:eastAsia="Book Antiqua" w:cs="Book Antiqua"/>
          <w:szCs w:val="26"/>
        </w:rPr>
        <w:t xml:space="preserve"> consolidate </w:t>
      </w:r>
      <w:r w:rsidRPr="00470269" w:rsidR="007D4432">
        <w:rPr>
          <w:rFonts w:eastAsia="Book Antiqua" w:cs="Book Antiqua"/>
          <w:szCs w:val="26"/>
        </w:rPr>
        <w:t xml:space="preserve">East Pasadena Water Company in its tariffs </w:t>
      </w:r>
      <w:r w:rsidRPr="00470269">
        <w:rPr>
          <w:rFonts w:eastAsia="Book Antiqua" w:cs="Book Antiqua"/>
          <w:szCs w:val="26"/>
        </w:rPr>
        <w:t>for ratemaking purposes.</w:t>
      </w:r>
    </w:p>
    <w:p w:rsidRPr="00470269" w:rsidR="0061029D" w:rsidP="000105A3" w:rsidRDefault="0061029D" w14:paraId="258AA441" w14:textId="794816B3">
      <w:pPr>
        <w:pStyle w:val="ListParagraph"/>
        <w:numPr>
          <w:ilvl w:val="0"/>
          <w:numId w:val="18"/>
        </w:numPr>
        <w:tabs>
          <w:tab w:val="left" w:pos="720"/>
        </w:tabs>
        <w:ind w:left="0" w:firstLine="360"/>
        <w:rPr>
          <w:rFonts w:eastAsia="Book Antiqua" w:cs="Book Antiqua"/>
          <w:szCs w:val="26"/>
        </w:rPr>
      </w:pPr>
      <w:r w:rsidRPr="00470269">
        <w:rPr>
          <w:rFonts w:eastAsia="Book Antiqua" w:cs="Book Antiqua"/>
          <w:szCs w:val="26"/>
        </w:rPr>
        <w:t xml:space="preserve">California-American Water Company's (Cal-Am's) proposed immediate consolidation of the East Pasadena Water Company service area with Cal-Am’s existing service area (Los Angeles </w:t>
      </w:r>
      <w:r w:rsidR="00075D0A">
        <w:rPr>
          <w:rFonts w:eastAsia="Book Antiqua" w:cs="Book Antiqua"/>
          <w:szCs w:val="26"/>
        </w:rPr>
        <w:t xml:space="preserve">County </w:t>
      </w:r>
      <w:r w:rsidR="00046162">
        <w:rPr>
          <w:rFonts w:eastAsia="Book Antiqua" w:cs="Book Antiqua"/>
          <w:szCs w:val="26"/>
        </w:rPr>
        <w:t>D</w:t>
      </w:r>
      <w:r w:rsidRPr="00470269">
        <w:rPr>
          <w:rFonts w:eastAsia="Book Antiqua" w:cs="Book Antiqua"/>
          <w:szCs w:val="26"/>
        </w:rPr>
        <w:t>istrict</w:t>
      </w:r>
      <w:r w:rsidR="00A82DAA">
        <w:rPr>
          <w:rFonts w:eastAsia="Book Antiqua" w:cs="Book Antiqua"/>
          <w:szCs w:val="26"/>
        </w:rPr>
        <w:t xml:space="preserve"> or Southern </w:t>
      </w:r>
      <w:r w:rsidR="0052330B">
        <w:rPr>
          <w:rFonts w:eastAsia="Book Antiqua" w:cs="Book Antiqua"/>
          <w:szCs w:val="26"/>
        </w:rPr>
        <w:t>D</w:t>
      </w:r>
      <w:r w:rsidR="00A82DAA">
        <w:rPr>
          <w:rFonts w:eastAsia="Book Antiqua" w:cs="Book Antiqua"/>
          <w:szCs w:val="26"/>
        </w:rPr>
        <w:t>istrict</w:t>
      </w:r>
      <w:r w:rsidRPr="00470269">
        <w:rPr>
          <w:rFonts w:eastAsia="Book Antiqua" w:cs="Book Antiqua"/>
          <w:szCs w:val="26"/>
        </w:rPr>
        <w:t xml:space="preserve">), for operational purposes, is authorized. </w:t>
      </w:r>
    </w:p>
    <w:p w:rsidRPr="00470269" w:rsidR="00D23336" w:rsidP="00D23336" w:rsidRDefault="00C770DB" w14:paraId="78FB5E56" w14:textId="4D87ACFA">
      <w:pPr>
        <w:pStyle w:val="ListParagraph"/>
        <w:numPr>
          <w:ilvl w:val="0"/>
          <w:numId w:val="18"/>
        </w:numPr>
        <w:spacing w:after="120"/>
        <w:ind w:left="0" w:firstLine="360"/>
        <w:rPr>
          <w:rFonts w:eastAsia="Book Antiqua" w:cs="Book Antiqua"/>
          <w:szCs w:val="26"/>
        </w:rPr>
      </w:pPr>
      <w:r w:rsidRPr="00470269">
        <w:rPr>
          <w:rFonts w:eastAsia="Book Antiqua" w:cs="Book Antiqua"/>
          <w:szCs w:val="26"/>
        </w:rPr>
        <w:t xml:space="preserve">Existing rates for customers of the East Pasadena Water Company </w:t>
      </w:r>
      <w:r w:rsidRPr="00470269" w:rsidR="00BF3373">
        <w:rPr>
          <w:rFonts w:eastAsia="Book Antiqua" w:cs="Book Antiqua"/>
          <w:szCs w:val="26"/>
        </w:rPr>
        <w:t xml:space="preserve">shall </w:t>
      </w:r>
      <w:r w:rsidRPr="00470269">
        <w:rPr>
          <w:rFonts w:eastAsia="Book Antiqua" w:cs="Book Antiqua"/>
          <w:szCs w:val="26"/>
        </w:rPr>
        <w:t xml:space="preserve">remain in effect until </w:t>
      </w:r>
      <w:r w:rsidR="00F94748">
        <w:rPr>
          <w:rFonts w:eastAsia="Book Antiqua" w:cs="Book Antiqua"/>
          <w:szCs w:val="26"/>
        </w:rPr>
        <w:t xml:space="preserve">subsequently </w:t>
      </w:r>
      <w:r w:rsidRPr="00470269">
        <w:rPr>
          <w:rFonts w:eastAsia="Book Antiqua" w:cs="Book Antiqua"/>
          <w:szCs w:val="26"/>
        </w:rPr>
        <w:t>modified by this Commission.</w:t>
      </w:r>
      <w:bookmarkStart w:name="_Hlk536442286" w:id="135"/>
    </w:p>
    <w:p w:rsidRPr="00470269" w:rsidR="007C33E3" w:rsidP="00D23336" w:rsidRDefault="00221F62" w14:paraId="5F209DDA" w14:textId="7487E2F6">
      <w:pPr>
        <w:pStyle w:val="ListParagraph"/>
        <w:numPr>
          <w:ilvl w:val="0"/>
          <w:numId w:val="18"/>
        </w:numPr>
        <w:spacing w:after="120"/>
        <w:ind w:left="0" w:firstLine="360"/>
        <w:rPr>
          <w:rFonts w:eastAsia="Book Antiqua" w:cs="Book Antiqua"/>
          <w:szCs w:val="26"/>
        </w:rPr>
      </w:pPr>
      <w:r w:rsidRPr="00470269">
        <w:rPr>
          <w:rFonts w:eastAsia="Book Antiqua" w:cs="Book Antiqua"/>
          <w:szCs w:val="26"/>
        </w:rPr>
        <w:lastRenderedPageBreak/>
        <w:t xml:space="preserve"> </w:t>
      </w:r>
      <w:r w:rsidRPr="00470269" w:rsidR="00647680">
        <w:rPr>
          <w:rFonts w:eastAsia="Book Antiqua" w:cs="Book Antiqua"/>
          <w:szCs w:val="26"/>
        </w:rPr>
        <w:t xml:space="preserve">California-American Water Company </w:t>
      </w:r>
      <w:r w:rsidRPr="00470269" w:rsidR="0015425E">
        <w:rPr>
          <w:rFonts w:eastAsia="Book Antiqua" w:cs="Book Antiqua"/>
          <w:szCs w:val="26"/>
        </w:rPr>
        <w:t>shall file</w:t>
      </w:r>
      <w:r w:rsidRPr="00470269" w:rsidR="005E7D02">
        <w:rPr>
          <w:rFonts w:eastAsia="Book Antiqua" w:cs="Book Antiqua"/>
          <w:szCs w:val="26"/>
        </w:rPr>
        <w:t xml:space="preserve"> within 10 days of this decision</w:t>
      </w:r>
      <w:r w:rsidRPr="00470269" w:rsidR="0015425E">
        <w:rPr>
          <w:rFonts w:eastAsia="Book Antiqua" w:cs="Book Antiqua"/>
          <w:szCs w:val="26"/>
        </w:rPr>
        <w:t xml:space="preserve"> a T</w:t>
      </w:r>
      <w:r w:rsidRPr="00470269" w:rsidR="00D144C2">
        <w:rPr>
          <w:rFonts w:eastAsia="Book Antiqua" w:cs="Book Antiqua"/>
          <w:szCs w:val="26"/>
        </w:rPr>
        <w:t xml:space="preserve">ier 1 Advice Letter </w:t>
      </w:r>
      <w:r w:rsidRPr="00470269" w:rsidR="00647680">
        <w:rPr>
          <w:rFonts w:eastAsia="Book Antiqua" w:cs="Book Antiqua"/>
          <w:szCs w:val="26"/>
        </w:rPr>
        <w:t xml:space="preserve">to </w:t>
      </w:r>
      <w:bookmarkEnd w:id="135"/>
      <w:r w:rsidRPr="00470269" w:rsidR="00647680">
        <w:rPr>
          <w:rFonts w:eastAsia="Book Antiqua" w:cs="Book Antiqua"/>
          <w:szCs w:val="26"/>
        </w:rPr>
        <w:t xml:space="preserve">establish an East Pasadena Transaction Cost Memorandum Account </w:t>
      </w:r>
      <w:r w:rsidRPr="00470269" w:rsidR="00D144C2">
        <w:rPr>
          <w:rFonts w:eastAsia="Book Antiqua" w:cs="Book Antiqua"/>
          <w:szCs w:val="26"/>
        </w:rPr>
        <w:t xml:space="preserve">and to include East Pasadena </w:t>
      </w:r>
      <w:r w:rsidRPr="00470269" w:rsidR="007C33E3">
        <w:rPr>
          <w:rFonts w:eastAsia="Book Antiqua" w:cs="Book Antiqua"/>
          <w:szCs w:val="26"/>
        </w:rPr>
        <w:t xml:space="preserve">in its existing </w:t>
      </w:r>
      <w:r w:rsidRPr="00470269" w:rsidR="007C33E3">
        <w:t>Memorandum Account for Environmental Improvement and Compliance Issues for Acquisitions</w:t>
      </w:r>
      <w:r w:rsidRPr="00470269" w:rsidR="005E7D02">
        <w:t>.</w:t>
      </w:r>
      <w:r w:rsidRPr="00470269" w:rsidR="007C33E3">
        <w:rPr>
          <w:rFonts w:eastAsia="Book Antiqua" w:cs="Book Antiqua"/>
          <w:szCs w:val="26"/>
        </w:rPr>
        <w:t xml:space="preserve"> </w:t>
      </w:r>
    </w:p>
    <w:p w:rsidRPr="00470269" w:rsidR="00647680" w:rsidP="00BD36FC" w:rsidRDefault="00221F62" w14:paraId="2343FF6A" w14:textId="5D9FF3F9">
      <w:pPr>
        <w:pStyle w:val="ListParagraph"/>
        <w:numPr>
          <w:ilvl w:val="0"/>
          <w:numId w:val="18"/>
        </w:numPr>
        <w:spacing w:after="120"/>
        <w:ind w:left="0" w:firstLine="360"/>
        <w:rPr>
          <w:rFonts w:eastAsia="Book Antiqua" w:cs="Book Antiqua"/>
          <w:szCs w:val="26"/>
        </w:rPr>
      </w:pPr>
      <w:r w:rsidRPr="00470269">
        <w:rPr>
          <w:rFonts w:eastAsia="Book Antiqua" w:cs="Book Antiqua"/>
          <w:szCs w:val="26"/>
        </w:rPr>
        <w:t xml:space="preserve"> </w:t>
      </w:r>
      <w:r w:rsidRPr="00470269" w:rsidR="00A62E67">
        <w:rPr>
          <w:rFonts w:eastAsia="Book Antiqua" w:cs="Book Antiqua"/>
          <w:szCs w:val="26"/>
        </w:rPr>
        <w:t xml:space="preserve">California-American Water Company’s request to create a new </w:t>
      </w:r>
      <w:r w:rsidRPr="00470269" w:rsidR="00CD23F9">
        <w:t>East Pasadena Acquisition Contingency Memorandum Account</w:t>
      </w:r>
      <w:r w:rsidRPr="00470269" w:rsidR="00CD23F9">
        <w:rPr>
          <w:rFonts w:eastAsia="Book Antiqua" w:cs="Book Antiqua"/>
          <w:szCs w:val="26"/>
        </w:rPr>
        <w:t xml:space="preserve"> </w:t>
      </w:r>
      <w:r w:rsidRPr="00470269" w:rsidR="00A62E67">
        <w:rPr>
          <w:rFonts w:eastAsia="Book Antiqua" w:cs="Book Antiqua"/>
          <w:szCs w:val="26"/>
        </w:rPr>
        <w:t>is denied.</w:t>
      </w:r>
    </w:p>
    <w:p w:rsidRPr="00470269" w:rsidR="00221F62" w:rsidP="00BD36FC" w:rsidRDefault="00221F62" w14:paraId="1379C4E9" w14:textId="106AA5B0">
      <w:pPr>
        <w:pStyle w:val="ListParagraph"/>
        <w:numPr>
          <w:ilvl w:val="0"/>
          <w:numId w:val="18"/>
        </w:numPr>
        <w:tabs>
          <w:tab w:val="left" w:pos="720"/>
        </w:tabs>
        <w:spacing w:after="120"/>
        <w:ind w:left="0" w:firstLine="360"/>
        <w:rPr>
          <w:rFonts w:eastAsia="Book Antiqua" w:cs="Book Antiqua"/>
          <w:szCs w:val="26"/>
        </w:rPr>
      </w:pPr>
      <w:r w:rsidRPr="00470269">
        <w:rPr>
          <w:rFonts w:eastAsia="Book Antiqua" w:cs="Book Antiqua"/>
          <w:szCs w:val="26"/>
        </w:rPr>
        <w:t xml:space="preserve"> Until California-American Water Company files its 2024 general rate case proceeding, the rates in the East Pasadena Water System service area shall remain in effect subject to existing authority to file for rate increases using the Commission’s advice letter process.</w:t>
      </w:r>
    </w:p>
    <w:p w:rsidRPr="00470269" w:rsidR="00221F62" w:rsidP="00BD36FC" w:rsidRDefault="00221F62" w14:paraId="4183D0C6" w14:textId="648176C8">
      <w:pPr>
        <w:pStyle w:val="ListParagraph"/>
        <w:numPr>
          <w:ilvl w:val="0"/>
          <w:numId w:val="18"/>
        </w:numPr>
        <w:tabs>
          <w:tab w:val="left" w:pos="720"/>
        </w:tabs>
        <w:spacing w:after="120"/>
        <w:ind w:left="0" w:firstLine="360"/>
        <w:rPr>
          <w:rFonts w:eastAsia="Book Antiqua" w:cs="Book Antiqua"/>
          <w:szCs w:val="26"/>
        </w:rPr>
      </w:pPr>
      <w:r w:rsidRPr="00470269">
        <w:rPr>
          <w:rFonts w:eastAsia="Book Antiqua" w:cs="Book Antiqua"/>
          <w:szCs w:val="26"/>
        </w:rPr>
        <w:t xml:space="preserve"> California-American Water Company's request for authorization to establish an East Pasadena Transaction Memorandum Account to record </w:t>
      </w:r>
      <w:proofErr w:type="gramStart"/>
      <w:r w:rsidRPr="00470269">
        <w:rPr>
          <w:rFonts w:eastAsia="Book Antiqua" w:cs="Book Antiqua"/>
          <w:szCs w:val="26"/>
        </w:rPr>
        <w:t>all of</w:t>
      </w:r>
      <w:proofErr w:type="gramEnd"/>
      <w:r w:rsidRPr="00470269">
        <w:rPr>
          <w:rFonts w:eastAsia="Book Antiqua" w:cs="Book Antiqua"/>
          <w:szCs w:val="26"/>
        </w:rPr>
        <w:t xml:space="preserve"> its future transaction costs consistent with this Decision is granted.</w:t>
      </w:r>
    </w:p>
    <w:p w:rsidRPr="00470269" w:rsidR="00221F62" w:rsidP="00BD36FC" w:rsidRDefault="00221F62" w14:paraId="5E06A0A3" w14:textId="135903A7">
      <w:pPr>
        <w:pStyle w:val="ListParagraph"/>
        <w:numPr>
          <w:ilvl w:val="0"/>
          <w:numId w:val="18"/>
        </w:numPr>
        <w:tabs>
          <w:tab w:val="left" w:pos="720"/>
        </w:tabs>
        <w:spacing w:after="120"/>
        <w:ind w:left="0" w:firstLine="360"/>
        <w:rPr>
          <w:rFonts w:eastAsia="Book Antiqua" w:cs="Book Antiqua"/>
          <w:szCs w:val="26"/>
        </w:rPr>
      </w:pPr>
      <w:r w:rsidRPr="00470269">
        <w:rPr>
          <w:rFonts w:eastAsia="Book Antiqua" w:cs="Book Antiqua"/>
          <w:szCs w:val="26"/>
        </w:rPr>
        <w:t xml:space="preserve"> </w:t>
      </w:r>
      <w:r w:rsidRPr="00470269" w:rsidR="00647680">
        <w:rPr>
          <w:rFonts w:eastAsia="Book Antiqua" w:cs="Book Antiqua"/>
          <w:szCs w:val="26"/>
        </w:rPr>
        <w:t xml:space="preserve">Within 10 days of the completion of the sale by the East Pasadena Water Company (East Pasadena) to California-American Water Company (Cal-Am) of </w:t>
      </w:r>
      <w:proofErr w:type="gramStart"/>
      <w:r w:rsidRPr="00470269" w:rsidR="00647680">
        <w:rPr>
          <w:rFonts w:eastAsia="Book Antiqua" w:cs="Book Antiqua"/>
          <w:szCs w:val="26"/>
        </w:rPr>
        <w:t>all of</w:t>
      </w:r>
      <w:proofErr w:type="gramEnd"/>
      <w:r w:rsidRPr="00470269" w:rsidR="00647680">
        <w:rPr>
          <w:rFonts w:eastAsia="Book Antiqua" w:cs="Book Antiqua"/>
          <w:szCs w:val="26"/>
        </w:rPr>
        <w:t xml:space="preserve"> the assets included </w:t>
      </w:r>
      <w:r w:rsidR="00E37FE6">
        <w:rPr>
          <w:rFonts w:eastAsia="Book Antiqua" w:cs="Book Antiqua"/>
          <w:szCs w:val="26"/>
        </w:rPr>
        <w:t>i</w:t>
      </w:r>
      <w:r w:rsidRPr="00470269" w:rsidR="00647680">
        <w:rPr>
          <w:rFonts w:eastAsia="Book Antiqua" w:cs="Book Antiqua"/>
          <w:szCs w:val="26"/>
        </w:rPr>
        <w:t xml:space="preserve">n the Asset Purchase Agreement, Cal-Am and East Pasadena </w:t>
      </w:r>
      <w:r w:rsidRPr="00470269" w:rsidR="003C0DB6">
        <w:rPr>
          <w:rFonts w:eastAsia="Book Antiqua" w:cs="Book Antiqua"/>
          <w:szCs w:val="26"/>
        </w:rPr>
        <w:t>shall</w:t>
      </w:r>
      <w:r w:rsidRPr="00470269" w:rsidR="00647680">
        <w:rPr>
          <w:rFonts w:eastAsia="Book Antiqua" w:cs="Book Antiqua"/>
          <w:szCs w:val="26"/>
        </w:rPr>
        <w:t xml:space="preserve"> notify the Commission’s Water Division that the sale has been completed.</w:t>
      </w:r>
      <w:r w:rsidRPr="00470269">
        <w:rPr>
          <w:rFonts w:eastAsia="Book Antiqua" w:cs="Book Antiqua"/>
          <w:szCs w:val="26"/>
        </w:rPr>
        <w:t xml:space="preserve"> </w:t>
      </w:r>
    </w:p>
    <w:p w:rsidRPr="00470269" w:rsidR="00647680" w:rsidP="00BA05C9" w:rsidRDefault="00221F62" w14:paraId="63B72B15" w14:textId="6F4F231A">
      <w:pPr>
        <w:pStyle w:val="ListParagraph"/>
        <w:numPr>
          <w:ilvl w:val="0"/>
          <w:numId w:val="18"/>
        </w:numPr>
        <w:tabs>
          <w:tab w:val="left" w:pos="720"/>
        </w:tabs>
        <w:ind w:left="0" w:firstLine="360"/>
        <w:rPr>
          <w:rFonts w:eastAsia="Book Antiqua" w:cs="Book Antiqua"/>
          <w:szCs w:val="26"/>
        </w:rPr>
      </w:pPr>
      <w:r w:rsidRPr="00470269">
        <w:rPr>
          <w:rFonts w:eastAsia="Book Antiqua" w:cs="Book Antiqua"/>
          <w:szCs w:val="26"/>
        </w:rPr>
        <w:t xml:space="preserve"> </w:t>
      </w:r>
      <w:r w:rsidRPr="00470269" w:rsidR="00647680">
        <w:rPr>
          <w:rFonts w:eastAsia="Book Antiqua" w:cs="Book Antiqua"/>
          <w:szCs w:val="26"/>
        </w:rPr>
        <w:t>This proceeding</w:t>
      </w:r>
      <w:r w:rsidRPr="00470269" w:rsidR="002554B1">
        <w:rPr>
          <w:rFonts w:eastAsia="Book Antiqua" w:cs="Book Antiqua"/>
          <w:szCs w:val="26"/>
        </w:rPr>
        <w:t>,</w:t>
      </w:r>
      <w:r w:rsidRPr="00470269" w:rsidR="00647680">
        <w:rPr>
          <w:rFonts w:eastAsia="Book Antiqua" w:cs="Book Antiqua"/>
          <w:szCs w:val="26"/>
        </w:rPr>
        <w:t xml:space="preserve"> A</w:t>
      </w:r>
      <w:r w:rsidRPr="00470269" w:rsidR="00BA05C9">
        <w:rPr>
          <w:rFonts w:eastAsia="Book Antiqua" w:cs="Book Antiqua"/>
          <w:szCs w:val="26"/>
        </w:rPr>
        <w:t xml:space="preserve">pplication </w:t>
      </w:r>
      <w:r w:rsidRPr="00470269" w:rsidR="00647680">
        <w:rPr>
          <w:rFonts w:eastAsia="Book Antiqua" w:cs="Book Antiqua"/>
          <w:szCs w:val="26"/>
        </w:rPr>
        <w:t>20-04-003</w:t>
      </w:r>
      <w:r w:rsidRPr="00470269" w:rsidR="002554B1">
        <w:rPr>
          <w:rFonts w:eastAsia="Book Antiqua" w:cs="Book Antiqua"/>
          <w:szCs w:val="26"/>
        </w:rPr>
        <w:t>,</w:t>
      </w:r>
      <w:r w:rsidRPr="00470269" w:rsidR="00647680">
        <w:rPr>
          <w:rFonts w:eastAsia="Book Antiqua" w:cs="Book Antiqua"/>
          <w:szCs w:val="26"/>
        </w:rPr>
        <w:t xml:space="preserve"> is closed.</w:t>
      </w:r>
    </w:p>
    <w:p w:rsidRPr="00470269" w:rsidR="00647680" w:rsidP="00647680" w:rsidRDefault="00647680" w14:paraId="04FCA4C4" w14:textId="77777777">
      <w:r w:rsidRPr="00470269">
        <w:t>This order is effective today.</w:t>
      </w:r>
    </w:p>
    <w:p w:rsidRPr="00470269" w:rsidR="00714CF2" w:rsidP="006F6525" w:rsidRDefault="008F0116" w14:paraId="280FD699" w14:textId="77777777">
      <w:r w:rsidRPr="00470269">
        <w:t xml:space="preserve">Dated </w:t>
      </w:r>
      <w:r w:rsidRPr="00470269">
        <w:rPr>
          <w:u w:val="single"/>
        </w:rPr>
        <w:tab/>
      </w:r>
      <w:r w:rsidRPr="00470269">
        <w:rPr>
          <w:u w:val="single"/>
        </w:rPr>
        <w:tab/>
      </w:r>
      <w:r w:rsidRPr="00470269">
        <w:rPr>
          <w:u w:val="single"/>
        </w:rPr>
        <w:tab/>
      </w:r>
      <w:r w:rsidRPr="00470269">
        <w:rPr>
          <w:u w:val="single"/>
        </w:rPr>
        <w:tab/>
      </w:r>
      <w:r w:rsidRPr="00470269">
        <w:rPr>
          <w:u w:val="single"/>
        </w:rPr>
        <w:tab/>
      </w:r>
      <w:r w:rsidRPr="00470269">
        <w:t>, at San Francisco, California</w:t>
      </w:r>
      <w:r w:rsidRPr="00470269" w:rsidR="00FF110C">
        <w:t>.</w:t>
      </w:r>
    </w:p>
    <w:sectPr w:rsidRPr="00470269" w:rsidR="00714CF2" w:rsidSect="001D1BA9">
      <w:footerReference w:type="first" r:id="rId20"/>
      <w:pgSz w:w="12240" w:h="15840"/>
      <w:pgMar w:top="1728" w:right="1440" w:bottom="1440" w:left="1440" w:header="720" w:footer="720" w:gutter="0"/>
      <w:pgNumType w:start="2"/>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31DC5" w16cex:dateUtc="2021-07-10T0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CF031F" w16cid:durableId="24931DC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3C189" w14:textId="77777777" w:rsidR="00667333" w:rsidRDefault="00667333" w:rsidP="0098138E">
      <w:pPr>
        <w:spacing w:line="240" w:lineRule="auto"/>
      </w:pPr>
      <w:r>
        <w:separator/>
      </w:r>
    </w:p>
  </w:endnote>
  <w:endnote w:type="continuationSeparator" w:id="0">
    <w:p w14:paraId="61CF4C42" w14:textId="77777777" w:rsidR="00667333" w:rsidRDefault="00667333" w:rsidP="009813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FD995" w14:textId="4677E265" w:rsidR="00BA05C9" w:rsidRDefault="00BE71A8" w:rsidP="00102559">
    <w:pPr>
      <w:pStyle w:val="Footer"/>
      <w:ind w:firstLine="0"/>
    </w:pPr>
    <w:r w:rsidRPr="00BE71A8">
      <w:rPr>
        <w:sz w:val="18"/>
        <w:szCs w:val="18"/>
      </w:rPr>
      <w:t>397517386</w:t>
    </w:r>
    <w:r w:rsidR="00102559">
      <w:tab/>
    </w:r>
    <w:sdt>
      <w:sdtPr>
        <w:id w:val="95526163"/>
        <w:docPartObj>
          <w:docPartGallery w:val="Page Numbers (Bottom of Page)"/>
          <w:docPartUnique/>
        </w:docPartObj>
      </w:sdtPr>
      <w:sdtEndPr>
        <w:rPr>
          <w:noProof/>
        </w:rPr>
      </w:sdtEndPr>
      <w:sdtContent>
        <w:r w:rsidR="000E6D1F">
          <w:t xml:space="preserve">- </w:t>
        </w:r>
        <w:r w:rsidR="00BA05C9">
          <w:fldChar w:fldCharType="begin"/>
        </w:r>
        <w:r w:rsidR="00BA05C9">
          <w:instrText xml:space="preserve"> PAGE   \* MERGEFORMAT </w:instrText>
        </w:r>
        <w:r w:rsidR="00BA05C9">
          <w:fldChar w:fldCharType="separate"/>
        </w:r>
        <w:r w:rsidR="00BA05C9">
          <w:rPr>
            <w:noProof/>
          </w:rPr>
          <w:t>2</w:t>
        </w:r>
        <w:r w:rsidR="00BA05C9">
          <w:rPr>
            <w:noProof/>
          </w:rPr>
          <w:fldChar w:fldCharType="end"/>
        </w:r>
      </w:sdtContent>
    </w:sdt>
    <w:r w:rsidR="000E6D1F">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208691"/>
      <w:docPartObj>
        <w:docPartGallery w:val="Page Numbers (Bottom of Page)"/>
        <w:docPartUnique/>
      </w:docPartObj>
    </w:sdtPr>
    <w:sdtEndPr>
      <w:rPr>
        <w:noProof/>
      </w:rPr>
    </w:sdtEndPr>
    <w:sdtContent>
      <w:p w14:paraId="4145D419" w14:textId="1BB1C431" w:rsidR="001D1BA9" w:rsidRDefault="00F254FC" w:rsidP="001D1BA9">
        <w:pPr>
          <w:pStyle w:val="Footer"/>
          <w:ind w:firstLine="0"/>
          <w:jc w:val="center"/>
        </w:pPr>
        <w:r>
          <w:t xml:space="preserve">- </w:t>
        </w:r>
        <w:r w:rsidR="001D1BA9">
          <w:fldChar w:fldCharType="begin"/>
        </w:r>
        <w:r w:rsidR="001D1BA9">
          <w:instrText xml:space="preserve"> PAGE   \* MERGEFORMAT </w:instrText>
        </w:r>
        <w:r w:rsidR="001D1BA9">
          <w:fldChar w:fldCharType="separate"/>
        </w:r>
        <w:r w:rsidR="001D1BA9">
          <w:rPr>
            <w:noProof/>
          </w:rPr>
          <w:t>2</w:t>
        </w:r>
        <w:r w:rsidR="001D1BA9">
          <w:rPr>
            <w:noProof/>
          </w:rPr>
          <w:fldChar w:fldCharType="end"/>
        </w:r>
        <w:r>
          <w:rPr>
            <w:noProof/>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521986"/>
      <w:docPartObj>
        <w:docPartGallery w:val="Page Numbers (Bottom of Page)"/>
        <w:docPartUnique/>
      </w:docPartObj>
    </w:sdtPr>
    <w:sdtEndPr>
      <w:rPr>
        <w:noProof/>
      </w:rPr>
    </w:sdtEndPr>
    <w:sdtContent>
      <w:p w14:paraId="262A76FE" w14:textId="4623B93D" w:rsidR="001D1BA9" w:rsidRDefault="001D1BA9" w:rsidP="001D1BA9">
        <w:pPr>
          <w:pStyle w:val="Footer"/>
          <w:ind w:firstLine="0"/>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6295201"/>
      <w:docPartObj>
        <w:docPartGallery w:val="Page Numbers (Bottom of Page)"/>
        <w:docPartUnique/>
      </w:docPartObj>
    </w:sdtPr>
    <w:sdtEndPr>
      <w:rPr>
        <w:noProof/>
      </w:rPr>
    </w:sdtEndPr>
    <w:sdtContent>
      <w:p w14:paraId="0A90E7C7" w14:textId="77777777" w:rsidR="001D1BA9" w:rsidRDefault="001D1BA9" w:rsidP="001D1BA9">
        <w:pPr>
          <w:pStyle w:val="Footer"/>
          <w:ind w:firstLine="0"/>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35821" w14:textId="77777777" w:rsidR="00667333" w:rsidRDefault="00667333" w:rsidP="00DF58E7">
      <w:pPr>
        <w:spacing w:line="240" w:lineRule="auto"/>
        <w:ind w:firstLine="0"/>
      </w:pPr>
      <w:r>
        <w:separator/>
      </w:r>
    </w:p>
  </w:footnote>
  <w:footnote w:type="continuationSeparator" w:id="0">
    <w:p w14:paraId="50EC6460" w14:textId="77777777" w:rsidR="00667333" w:rsidRDefault="00667333" w:rsidP="00DF58E7">
      <w:pPr>
        <w:spacing w:line="240" w:lineRule="auto"/>
        <w:ind w:firstLine="0"/>
      </w:pPr>
      <w:r>
        <w:continuationSeparator/>
      </w:r>
    </w:p>
  </w:footnote>
  <w:footnote w:type="continuationNotice" w:id="1">
    <w:p w14:paraId="2BD93D57" w14:textId="77777777" w:rsidR="00667333" w:rsidRPr="00DF58E7" w:rsidRDefault="00667333" w:rsidP="00DF58E7">
      <w:pPr>
        <w:spacing w:line="240" w:lineRule="auto"/>
        <w:ind w:firstLine="0"/>
        <w:jc w:val="right"/>
        <w:rPr>
          <w:i/>
          <w:sz w:val="22"/>
        </w:rPr>
      </w:pPr>
    </w:p>
  </w:footnote>
  <w:footnote w:id="2">
    <w:p w14:paraId="3D514067" w14:textId="74CAB82D" w:rsidR="001215FE" w:rsidRDefault="001215FE" w:rsidP="006A2A36">
      <w:pPr>
        <w:pStyle w:val="FootnoteText"/>
      </w:pPr>
      <w:r>
        <w:rPr>
          <w:rStyle w:val="FootnoteReference"/>
        </w:rPr>
        <w:footnoteRef/>
      </w:r>
      <w:r>
        <w:t xml:space="preserve"> </w:t>
      </w:r>
      <w:r w:rsidR="00730E65">
        <w:t xml:space="preserve"> </w:t>
      </w:r>
      <w:r w:rsidRPr="00882A0C">
        <w:t xml:space="preserve">A second </w:t>
      </w:r>
      <w:r w:rsidR="000C5A00">
        <w:t>ALJ</w:t>
      </w:r>
      <w:r w:rsidRPr="00882A0C">
        <w:t xml:space="preserve"> was subsequently co-assigned but was not also designated as a Presiding Officer.</w:t>
      </w:r>
    </w:p>
  </w:footnote>
  <w:footnote w:id="3">
    <w:p w14:paraId="71208475" w14:textId="5D652AD4" w:rsidR="001215FE" w:rsidRDefault="001215FE" w:rsidP="006A2A36">
      <w:pPr>
        <w:pStyle w:val="FootnoteText"/>
      </w:pPr>
      <w:r>
        <w:rPr>
          <w:rStyle w:val="FootnoteReference"/>
        </w:rPr>
        <w:footnoteRef/>
      </w:r>
      <w:r>
        <w:t xml:space="preserve"> </w:t>
      </w:r>
      <w:r w:rsidR="00730E65">
        <w:t xml:space="preserve"> </w:t>
      </w:r>
      <w:r>
        <w:t>As of January 18, 2021, a total of 33 individual comments had been received.</w:t>
      </w:r>
    </w:p>
  </w:footnote>
  <w:footnote w:id="4">
    <w:p w14:paraId="41368578" w14:textId="7295BAF6" w:rsidR="001215FE" w:rsidRDefault="001215FE" w:rsidP="001215FE">
      <w:pPr>
        <w:pStyle w:val="FootnoteText"/>
      </w:pPr>
      <w:r>
        <w:rPr>
          <w:rStyle w:val="FootnoteReference"/>
        </w:rPr>
        <w:footnoteRef/>
      </w:r>
      <w:r>
        <w:t xml:space="preserve"> </w:t>
      </w:r>
      <w:r w:rsidR="00CD1928">
        <w:t xml:space="preserve"> </w:t>
      </w:r>
      <w:r>
        <w:t>D.16-12-014.</w:t>
      </w:r>
    </w:p>
  </w:footnote>
  <w:footnote w:id="5">
    <w:p w14:paraId="63AB2AAA" w14:textId="75325797" w:rsidR="001215FE" w:rsidRDefault="001215FE" w:rsidP="001215FE">
      <w:pPr>
        <w:pStyle w:val="FootnoteText"/>
      </w:pPr>
      <w:r>
        <w:rPr>
          <w:rStyle w:val="FootnoteReference"/>
        </w:rPr>
        <w:footnoteRef/>
      </w:r>
      <w:r>
        <w:t xml:space="preserve"> </w:t>
      </w:r>
      <w:r w:rsidR="00CD1928">
        <w:t xml:space="preserve"> </w:t>
      </w:r>
      <w:r>
        <w:t>D.19-04-015.</w:t>
      </w:r>
    </w:p>
  </w:footnote>
  <w:footnote w:id="6">
    <w:p w14:paraId="3890AAA7" w14:textId="27572F2C" w:rsidR="001215FE" w:rsidRDefault="001215FE" w:rsidP="001215FE">
      <w:pPr>
        <w:pStyle w:val="FootnoteText"/>
      </w:pPr>
      <w:r>
        <w:rPr>
          <w:rStyle w:val="FootnoteReference"/>
        </w:rPr>
        <w:footnoteRef/>
      </w:r>
      <w:r>
        <w:t xml:space="preserve"> </w:t>
      </w:r>
      <w:r w:rsidR="00CD1928">
        <w:t xml:space="preserve"> </w:t>
      </w:r>
      <w:r>
        <w:t xml:space="preserve">D.19-04-015. </w:t>
      </w:r>
    </w:p>
  </w:footnote>
  <w:footnote w:id="7">
    <w:p w14:paraId="20EF9BEA" w14:textId="56B97370" w:rsidR="001215FE" w:rsidRDefault="001215FE" w:rsidP="001215FE">
      <w:pPr>
        <w:pStyle w:val="FootnoteText"/>
      </w:pPr>
      <w:r>
        <w:rPr>
          <w:rStyle w:val="FootnoteReference"/>
        </w:rPr>
        <w:footnoteRef/>
      </w:r>
      <w:r>
        <w:t xml:space="preserve"> </w:t>
      </w:r>
      <w:r w:rsidR="00CD1928">
        <w:t xml:space="preserve"> </w:t>
      </w:r>
      <w:r>
        <w:t>D.19-12-038.</w:t>
      </w:r>
    </w:p>
  </w:footnote>
  <w:footnote w:id="8">
    <w:p w14:paraId="233D3248" w14:textId="2DB35B2A" w:rsidR="001215FE" w:rsidRDefault="001215FE" w:rsidP="001215FE">
      <w:pPr>
        <w:pStyle w:val="FootnoteText"/>
      </w:pPr>
      <w:r>
        <w:rPr>
          <w:rStyle w:val="FootnoteReference"/>
        </w:rPr>
        <w:footnoteRef/>
      </w:r>
      <w:r>
        <w:t xml:space="preserve"> </w:t>
      </w:r>
      <w:r w:rsidR="002C730F">
        <w:t xml:space="preserve"> </w:t>
      </w:r>
      <w:r>
        <w:t>A.19-07-004.</w:t>
      </w:r>
    </w:p>
  </w:footnote>
  <w:footnote w:id="9">
    <w:p w14:paraId="6CBF5A26" w14:textId="7A8A7742" w:rsidR="001215FE" w:rsidRDefault="001215FE" w:rsidP="006A2A36">
      <w:pPr>
        <w:pStyle w:val="FootnoteText"/>
      </w:pPr>
      <w:r>
        <w:rPr>
          <w:rStyle w:val="FootnoteReference"/>
        </w:rPr>
        <w:footnoteRef/>
      </w:r>
      <w:r>
        <w:t xml:space="preserve"> </w:t>
      </w:r>
      <w:r w:rsidR="002C730F">
        <w:t xml:space="preserve"> </w:t>
      </w:r>
      <w:r>
        <w:t>According to East Pasadena’s 2019 Annual Report it serves a population of 9,979. It reports 3,024 total meters, of which 1,111 are the smallest size and 936 are the next smallest size.</w:t>
      </w:r>
    </w:p>
  </w:footnote>
  <w:footnote w:id="10">
    <w:p w14:paraId="2B741E9C" w14:textId="20089D72" w:rsidR="001215FE" w:rsidRDefault="001215FE" w:rsidP="008D6CD1">
      <w:pPr>
        <w:pStyle w:val="FootnoteText"/>
      </w:pPr>
      <w:r>
        <w:rPr>
          <w:rStyle w:val="FootnoteReference"/>
        </w:rPr>
        <w:footnoteRef/>
      </w:r>
      <w:r>
        <w:t xml:space="preserve"> </w:t>
      </w:r>
      <w:r w:rsidR="002C730F">
        <w:t xml:space="preserve"> </w:t>
      </w:r>
      <w:r>
        <w:t xml:space="preserve">Cal-Am has a pending request to combine, for ratemaking purposes, its Los Angeles </w:t>
      </w:r>
      <w:r w:rsidR="00FF61A8">
        <w:t xml:space="preserve">County </w:t>
      </w:r>
      <w:r>
        <w:t xml:space="preserve">District with its Ventura and San Diego </w:t>
      </w:r>
      <w:r w:rsidR="00472AF0">
        <w:t>D</w:t>
      </w:r>
      <w:r>
        <w:t>istricts, into what would become the Southern District</w:t>
      </w:r>
      <w:r w:rsidR="00B87DD0">
        <w:t xml:space="preserve"> in its pending </w:t>
      </w:r>
      <w:r w:rsidR="00D6054A">
        <w:t>GRC</w:t>
      </w:r>
      <w:r>
        <w:t>. See Application at 21.</w:t>
      </w:r>
    </w:p>
  </w:footnote>
  <w:footnote w:id="11">
    <w:p w14:paraId="0A290380" w14:textId="5B18D76D" w:rsidR="0010179F" w:rsidRDefault="0010179F">
      <w:pPr>
        <w:pStyle w:val="FootnoteText"/>
      </w:pPr>
      <w:r>
        <w:rPr>
          <w:rStyle w:val="FootnoteReference"/>
        </w:rPr>
        <w:footnoteRef/>
      </w:r>
      <w:r>
        <w:t xml:space="preserve"> </w:t>
      </w:r>
      <w:r w:rsidR="002C730F">
        <w:t xml:space="preserve"> </w:t>
      </w:r>
      <w:r w:rsidRPr="0010179F">
        <w:t>The Joint Applicants have complied with the procedural requirements of §§ 851–854 and §§ 2718–2720, and filed the requisite supporting documents identified in Rule 3.6 of the Commission’s Rules of Practice and Procedure and in Decision (D.) 99-10-064.</w:t>
      </w:r>
    </w:p>
  </w:footnote>
  <w:footnote w:id="12">
    <w:p w14:paraId="52709385" w14:textId="630D4E7B" w:rsidR="009C7F86" w:rsidRDefault="009C7F86" w:rsidP="009C7F86">
      <w:pPr>
        <w:pStyle w:val="FootnoteText"/>
      </w:pPr>
      <w:r>
        <w:rPr>
          <w:rStyle w:val="FootnoteReference"/>
        </w:rPr>
        <w:footnoteRef/>
      </w:r>
      <w:r>
        <w:t xml:space="preserve"> </w:t>
      </w:r>
      <w:r w:rsidR="002C730F">
        <w:t xml:space="preserve"> </w:t>
      </w:r>
      <w:r w:rsidRPr="00C32B68">
        <w:rPr>
          <w:rFonts w:ascii="Palatino Linotype" w:eastAsia="Book Antiqua" w:hAnsi="Palatino Linotype" w:cs="Book Antiqua"/>
          <w:szCs w:val="26"/>
        </w:rPr>
        <w:t xml:space="preserve">§ 854 </w:t>
      </w:r>
      <w:r>
        <w:rPr>
          <w:rFonts w:ascii="Palatino Linotype" w:eastAsia="Book Antiqua" w:hAnsi="Palatino Linotype" w:cs="Book Antiqua"/>
          <w:szCs w:val="26"/>
        </w:rPr>
        <w:t>subsection (d) applies only to electric and gas corporations.</w:t>
      </w:r>
    </w:p>
  </w:footnote>
  <w:footnote w:id="13">
    <w:p w14:paraId="38785ED1" w14:textId="40C0C8DA" w:rsidR="00841CA7" w:rsidRDefault="00841CA7">
      <w:pPr>
        <w:pStyle w:val="FootnoteText"/>
      </w:pPr>
      <w:r>
        <w:rPr>
          <w:rStyle w:val="FootnoteReference"/>
        </w:rPr>
        <w:footnoteRef/>
      </w:r>
      <w:r>
        <w:t xml:space="preserve"> D.01-09-057, Conclusions of Law 8, 9.</w:t>
      </w:r>
    </w:p>
  </w:footnote>
  <w:footnote w:id="14">
    <w:p w14:paraId="0EA88195" w14:textId="058CE513" w:rsidR="00CC6CF0" w:rsidRPr="00354700" w:rsidRDefault="009C7F86" w:rsidP="00CC6CF0">
      <w:pPr>
        <w:pStyle w:val="standard0"/>
        <w:ind w:firstLine="0"/>
        <w:rPr>
          <w:rFonts w:ascii="Book Antiqua" w:eastAsiaTheme="minorHAnsi" w:hAnsi="Book Antiqua" w:cstheme="minorBidi"/>
          <w:sz w:val="22"/>
        </w:rPr>
      </w:pPr>
      <w:r>
        <w:rPr>
          <w:rStyle w:val="FootnoteReference"/>
        </w:rPr>
        <w:footnoteRef/>
      </w:r>
      <w:r>
        <w:t xml:space="preserve">  </w:t>
      </w:r>
      <w:r w:rsidR="00CC6CF0" w:rsidRPr="00354700">
        <w:rPr>
          <w:rFonts w:ascii="Book Antiqua" w:eastAsiaTheme="minorHAnsi" w:hAnsi="Book Antiqua" w:cstheme="minorBidi"/>
          <w:sz w:val="22"/>
        </w:rPr>
        <w:t>Subsection (c)</w:t>
      </w:r>
      <w:r w:rsidR="00CC6CF0">
        <w:rPr>
          <w:rFonts w:ascii="Book Antiqua" w:eastAsiaTheme="minorHAnsi" w:hAnsi="Book Antiqua" w:cstheme="minorBidi"/>
          <w:sz w:val="22"/>
        </w:rPr>
        <w:t xml:space="preserve"> </w:t>
      </w:r>
      <w:r w:rsidR="00CC6CF0" w:rsidRPr="00354700">
        <w:rPr>
          <w:rFonts w:ascii="Book Antiqua" w:eastAsiaTheme="minorHAnsi" w:hAnsi="Book Antiqua" w:cstheme="minorBidi"/>
          <w:sz w:val="22"/>
        </w:rPr>
        <w:t xml:space="preserve"> of § 854 contain</w:t>
      </w:r>
      <w:r w:rsidR="00CC6CF0">
        <w:rPr>
          <w:rFonts w:ascii="Book Antiqua" w:eastAsiaTheme="minorHAnsi" w:hAnsi="Book Antiqua" w:cstheme="minorBidi"/>
          <w:sz w:val="22"/>
        </w:rPr>
        <w:t>s</w:t>
      </w:r>
      <w:r w:rsidR="00CC6CF0" w:rsidRPr="00354700">
        <w:rPr>
          <w:rFonts w:ascii="Book Antiqua" w:eastAsiaTheme="minorHAnsi" w:hAnsi="Book Antiqua" w:cstheme="minorBidi"/>
          <w:sz w:val="22"/>
        </w:rPr>
        <w:t xml:space="preserve"> a list of eight public interest criteria, as follows:</w:t>
      </w:r>
    </w:p>
    <w:p w14:paraId="717FDE3C" w14:textId="77777777" w:rsidR="00CC6CF0" w:rsidRPr="00354700" w:rsidRDefault="00CC6CF0" w:rsidP="00CC6CF0">
      <w:pPr>
        <w:pStyle w:val="FootnoteText"/>
        <w:spacing w:after="0"/>
        <w:ind w:left="1080" w:right="1440" w:hanging="360"/>
      </w:pPr>
      <w:r w:rsidRPr="00354700">
        <w:t>(1) Maintain or improve the financial condition of the resulting public utility doing business in the state.</w:t>
      </w:r>
    </w:p>
    <w:p w14:paraId="517D8AF9" w14:textId="77777777" w:rsidR="00CC6CF0" w:rsidRPr="00354700" w:rsidRDefault="00CC6CF0" w:rsidP="00CC6CF0">
      <w:pPr>
        <w:pStyle w:val="FootnoteText"/>
        <w:spacing w:after="0"/>
        <w:ind w:left="1080" w:right="1440" w:hanging="360"/>
      </w:pPr>
      <w:r w:rsidRPr="00354700">
        <w:t>(2) Maintain or improve the quality of service to public utility ratepayers in the state.</w:t>
      </w:r>
    </w:p>
    <w:p w14:paraId="584950F1" w14:textId="77777777" w:rsidR="00CC6CF0" w:rsidRPr="00354700" w:rsidRDefault="00CC6CF0" w:rsidP="00CC6CF0">
      <w:pPr>
        <w:pStyle w:val="FootnoteText"/>
        <w:spacing w:after="0"/>
        <w:ind w:left="1080" w:right="1440" w:hanging="360"/>
      </w:pPr>
      <w:r w:rsidRPr="00354700">
        <w:t>(3) Maintain or improve the quality of management of the resulting public utility doing business in the state.</w:t>
      </w:r>
    </w:p>
    <w:p w14:paraId="0FB30944" w14:textId="77777777" w:rsidR="00CC6CF0" w:rsidRPr="00354700" w:rsidRDefault="00CC6CF0" w:rsidP="00CC6CF0">
      <w:pPr>
        <w:pStyle w:val="FootnoteText"/>
        <w:spacing w:after="0"/>
        <w:ind w:left="1080" w:right="1440" w:hanging="360"/>
      </w:pPr>
      <w:r w:rsidRPr="00354700">
        <w:t xml:space="preserve">(4) Be fair and reasonable to affected public utility employees, including both union and nonunion employees. </w:t>
      </w:r>
    </w:p>
    <w:p w14:paraId="627735C4" w14:textId="77777777" w:rsidR="00CC6CF0" w:rsidRPr="00354700" w:rsidRDefault="00CC6CF0" w:rsidP="00CC6CF0">
      <w:pPr>
        <w:pStyle w:val="FootnoteText"/>
        <w:spacing w:after="0"/>
        <w:ind w:left="1080" w:right="1440" w:hanging="360"/>
      </w:pPr>
      <w:r w:rsidRPr="00354700">
        <w:t>(5) Be fair and reasonable to the majority of all affected public utility shareholders.</w:t>
      </w:r>
    </w:p>
    <w:p w14:paraId="125685A9" w14:textId="77777777" w:rsidR="00CC6CF0" w:rsidRPr="00354700" w:rsidRDefault="00CC6CF0" w:rsidP="00CC6CF0">
      <w:pPr>
        <w:pStyle w:val="FootnoteText"/>
        <w:spacing w:after="0"/>
        <w:ind w:left="1080" w:right="1440" w:hanging="360"/>
      </w:pPr>
      <w:r w:rsidRPr="00354700">
        <w:t>(6) Be beneficial on an overall basis to state and local economies, and to the communities in the area served by the resulting public utility.</w:t>
      </w:r>
    </w:p>
    <w:p w14:paraId="1C5255A0" w14:textId="77777777" w:rsidR="00CC6CF0" w:rsidRPr="00354700" w:rsidRDefault="00CC6CF0" w:rsidP="00CC6CF0">
      <w:pPr>
        <w:pStyle w:val="FootnoteText"/>
        <w:spacing w:after="0"/>
        <w:ind w:left="1080" w:right="1440" w:hanging="360"/>
      </w:pPr>
      <w:r w:rsidRPr="00354700">
        <w:t>(7) Preserve the jurisdiction of the commission and the capacity of the commission to effectively regulate and audit public utility operations in the state.</w:t>
      </w:r>
    </w:p>
    <w:p w14:paraId="77D9653A" w14:textId="093CC865" w:rsidR="009C7F86" w:rsidRPr="00F0537E" w:rsidRDefault="00CC6CF0" w:rsidP="00636FD3">
      <w:pPr>
        <w:pStyle w:val="FootnoteText"/>
        <w:ind w:left="720"/>
      </w:pPr>
      <w:r w:rsidRPr="00354700">
        <w:t>(8) Provide mitigation measures to prevent significant adverse consequences that may result</w:t>
      </w:r>
    </w:p>
  </w:footnote>
  <w:footnote w:id="15">
    <w:p w14:paraId="77C16D93" w14:textId="5205374F" w:rsidR="001215FE" w:rsidRDefault="001215FE">
      <w:pPr>
        <w:pStyle w:val="FootnoteText"/>
      </w:pPr>
      <w:r>
        <w:rPr>
          <w:rStyle w:val="FootnoteReference"/>
        </w:rPr>
        <w:footnoteRef/>
      </w:r>
      <w:r>
        <w:t xml:space="preserve"> </w:t>
      </w:r>
      <w:r w:rsidR="001D1BA9">
        <w:t xml:space="preserve"> </w:t>
      </w:r>
      <w:r w:rsidRPr="00EF5824">
        <w:t>§ 271</w:t>
      </w:r>
      <w:r>
        <w:t>9.</w:t>
      </w:r>
    </w:p>
  </w:footnote>
  <w:footnote w:id="16">
    <w:p w14:paraId="36796588" w14:textId="3B0FDC98" w:rsidR="001215FE" w:rsidRDefault="001215FE">
      <w:pPr>
        <w:pStyle w:val="FootnoteText"/>
      </w:pPr>
      <w:r>
        <w:rPr>
          <w:rStyle w:val="FootnoteReference"/>
        </w:rPr>
        <w:footnoteRef/>
      </w:r>
      <w:r>
        <w:t xml:space="preserve"> </w:t>
      </w:r>
      <w:r w:rsidR="002C730F">
        <w:t xml:space="preserve"> </w:t>
      </w:r>
      <w:r w:rsidRPr="00EF5824">
        <w:t>§ 2720(d)</w:t>
      </w:r>
      <w:r>
        <w:t>.</w:t>
      </w:r>
    </w:p>
  </w:footnote>
  <w:footnote w:id="17">
    <w:p w14:paraId="7BF2503A" w14:textId="07755CAC" w:rsidR="00C57430" w:rsidRDefault="00C57430">
      <w:pPr>
        <w:pStyle w:val="FootnoteText"/>
      </w:pPr>
      <w:r>
        <w:rPr>
          <w:rStyle w:val="FootnoteReference"/>
        </w:rPr>
        <w:footnoteRef/>
      </w:r>
      <w:r>
        <w:t xml:space="preserve"> </w:t>
      </w:r>
      <w:r w:rsidR="00506E52">
        <w:t xml:space="preserve"> </w:t>
      </w:r>
      <w:r w:rsidR="00004351">
        <w:t xml:space="preserve">This transaction is governed by </w:t>
      </w:r>
      <w:r w:rsidR="00004351" w:rsidRPr="00EF5824">
        <w:t>§ 2720</w:t>
      </w:r>
      <w:r w:rsidR="00004351">
        <w:t xml:space="preserve"> </w:t>
      </w:r>
      <w:r w:rsidR="00004351" w:rsidRPr="00EF5824">
        <w:t>(</w:t>
      </w:r>
      <w:r w:rsidR="00004351">
        <w:t>a</w:t>
      </w:r>
      <w:r w:rsidR="00004351" w:rsidRPr="00EF5824">
        <w:t>)</w:t>
      </w:r>
      <w:r w:rsidR="00004351">
        <w:t xml:space="preserve">. </w:t>
      </w:r>
      <w:r w:rsidR="00402893">
        <w:t xml:space="preserve">Subsection </w:t>
      </w:r>
      <w:r w:rsidR="00402893" w:rsidRPr="00EF5824">
        <w:t>(</w:t>
      </w:r>
      <w:r w:rsidR="00402893">
        <w:t>b</w:t>
      </w:r>
      <w:r w:rsidR="00402893" w:rsidRPr="00EF5824">
        <w:t>)</w:t>
      </w:r>
      <w:r w:rsidR="00402893">
        <w:t xml:space="preserve"> to </w:t>
      </w:r>
      <w:r w:rsidR="00004351" w:rsidRPr="00EF5824">
        <w:t>§ 2720</w:t>
      </w:r>
      <w:r w:rsidR="00004351">
        <w:t xml:space="preserve"> </w:t>
      </w:r>
      <w:r w:rsidR="00402893">
        <w:t>becomes applicable when</w:t>
      </w:r>
      <w:r>
        <w:t xml:space="preserve"> the fair market value exceeds reproduction cost,</w:t>
      </w:r>
      <w:r w:rsidR="00402893">
        <w:t xml:space="preserve"> which is not the case here.</w:t>
      </w:r>
      <w:r>
        <w:t xml:space="preserve"> </w:t>
      </w:r>
    </w:p>
  </w:footnote>
  <w:footnote w:id="18">
    <w:p w14:paraId="29878123" w14:textId="43BC7A13" w:rsidR="001215FE" w:rsidRDefault="001215FE" w:rsidP="004F5C5A">
      <w:pPr>
        <w:pStyle w:val="FootnoteText"/>
      </w:pPr>
      <w:r>
        <w:rPr>
          <w:rStyle w:val="FootnoteReference"/>
        </w:rPr>
        <w:footnoteRef/>
      </w:r>
      <w:r w:rsidR="002C730F">
        <w:t xml:space="preserve"> </w:t>
      </w:r>
      <w:r>
        <w:t xml:space="preserve"> D.11-12-007 at 5-6 ultimately settled upon the “ratepayer indifference standard,” as did D.00</w:t>
      </w:r>
      <w:r w:rsidR="002C730F">
        <w:noBreakHyphen/>
      </w:r>
      <w:r>
        <w:t>05-027 (</w:t>
      </w:r>
      <w:r w:rsidRPr="002C730F">
        <w:rPr>
          <w:i/>
          <w:iCs/>
        </w:rPr>
        <w:t>also see</w:t>
      </w:r>
      <w:r>
        <w:t xml:space="preserve"> Dissent), </w:t>
      </w:r>
      <w:r w:rsidR="00D50E6F">
        <w:t>D.</w:t>
      </w:r>
      <w:r>
        <w:t>00-05-047 (</w:t>
      </w:r>
      <w:r w:rsidRPr="002C730F">
        <w:rPr>
          <w:i/>
          <w:iCs/>
        </w:rPr>
        <w:t>also see</w:t>
      </w:r>
      <w:r>
        <w:t xml:space="preserve"> Concurrence), D.10-09-012 at 8, D.15-12-029 at</w:t>
      </w:r>
      <w:r w:rsidR="002C730F">
        <w:t> </w:t>
      </w:r>
      <w:r>
        <w:t>11, D.16-12-014 at 12, D.15-11-012.</w:t>
      </w:r>
      <w:r w:rsidR="002C730F">
        <w:t xml:space="preserve"> </w:t>
      </w:r>
      <w:r>
        <w:t xml:space="preserve"> In contrast, D.01-09-057 at 27, and D.19-12-038 at 7 apply the “net ratepayer benefits.”</w:t>
      </w:r>
    </w:p>
  </w:footnote>
  <w:footnote w:id="19">
    <w:p w14:paraId="2BC8B2DF" w14:textId="5B8BAC29" w:rsidR="001215FE" w:rsidRDefault="001215FE">
      <w:pPr>
        <w:pStyle w:val="FootnoteText"/>
      </w:pPr>
      <w:r>
        <w:rPr>
          <w:rStyle w:val="FootnoteReference"/>
        </w:rPr>
        <w:footnoteRef/>
      </w:r>
      <w:r>
        <w:t xml:space="preserve"> </w:t>
      </w:r>
      <w:r w:rsidR="00644FCD">
        <w:t xml:space="preserve"> </w:t>
      </w:r>
      <w:r>
        <w:t>Application at 10</w:t>
      </w:r>
      <w:r w:rsidR="00D50E6F">
        <w:t>.</w:t>
      </w:r>
      <w:r>
        <w:t xml:space="preserve"> </w:t>
      </w:r>
    </w:p>
  </w:footnote>
  <w:footnote w:id="20">
    <w:p w14:paraId="5C1D5112" w14:textId="185890D7" w:rsidR="001215FE" w:rsidRDefault="001215FE" w:rsidP="002C763B">
      <w:pPr>
        <w:pStyle w:val="FootnoteText"/>
      </w:pPr>
      <w:r>
        <w:rPr>
          <w:rStyle w:val="FootnoteReference"/>
        </w:rPr>
        <w:footnoteRef/>
      </w:r>
      <w:r>
        <w:t xml:space="preserve"> </w:t>
      </w:r>
      <w:r w:rsidR="00644FCD">
        <w:t xml:space="preserve"> </w:t>
      </w:r>
      <w:r>
        <w:t>Opening Brief of the Public Advocates Office at 4 – 5.</w:t>
      </w:r>
    </w:p>
  </w:footnote>
  <w:footnote w:id="21">
    <w:p w14:paraId="7B46C183" w14:textId="635290CD" w:rsidR="001215FE" w:rsidRDefault="001215FE" w:rsidP="009501D1">
      <w:pPr>
        <w:pStyle w:val="FootnoteText"/>
      </w:pPr>
      <w:r>
        <w:rPr>
          <w:rStyle w:val="FootnoteReference"/>
        </w:rPr>
        <w:footnoteRef/>
      </w:r>
      <w:r w:rsidR="00644FCD">
        <w:t xml:space="preserve"> </w:t>
      </w:r>
      <w:r>
        <w:t xml:space="preserve"> </w:t>
      </w:r>
      <w:r w:rsidR="00C83851">
        <w:t xml:space="preserve">Subsection (a)(2) of </w:t>
      </w:r>
      <w:r w:rsidR="00C83851" w:rsidRPr="00EF5824">
        <w:t>§ 27</w:t>
      </w:r>
      <w:r w:rsidR="00C83851">
        <w:t xml:space="preserve">20 adopts the </w:t>
      </w:r>
      <w:r w:rsidR="00F71EC6">
        <w:t xml:space="preserve">same </w:t>
      </w:r>
      <w:r w:rsidR="00C83851">
        <w:t xml:space="preserve">meaning of “fair market value” set forth in </w:t>
      </w:r>
      <w:r w:rsidRPr="00F233D0">
        <w:t>Section 1263.320 of the Code of Civil Procedure</w:t>
      </w:r>
      <w:r w:rsidR="00C83851">
        <w:t>, which in turn</w:t>
      </w:r>
      <w:r w:rsidRPr="00F233D0">
        <w:t xml:space="preserve"> sets forth two options for determining fair market value – (a) the highest price on the date of valuation that would be agreed to by a seller, being willing to sell… and a buyer , being ready, willing and able to buy…with full knowledge of all the uses and purposes for which the property is reasonably adaptable and available, and (b) [for property taken for which there is no relevant, comparable market] the value on the date of valuation as determined by any method of valuation that is just and equitable.  </w:t>
      </w:r>
    </w:p>
  </w:footnote>
  <w:footnote w:id="22">
    <w:p w14:paraId="647AB68C" w14:textId="107EA8AB" w:rsidR="001215FE" w:rsidRDefault="001215FE" w:rsidP="009501D1">
      <w:pPr>
        <w:pStyle w:val="FootnoteText"/>
      </w:pPr>
      <w:r>
        <w:rPr>
          <w:rStyle w:val="FootnoteReference"/>
        </w:rPr>
        <w:footnoteRef/>
      </w:r>
      <w:r>
        <w:t xml:space="preserve"> </w:t>
      </w:r>
      <w:r w:rsidR="00644FCD">
        <w:t xml:space="preserve"> </w:t>
      </w:r>
      <w:r w:rsidR="00F67C44">
        <w:t>EPWC - 1</w:t>
      </w:r>
      <w:r>
        <w:t xml:space="preserve"> (Morales Direct) at 4.</w:t>
      </w:r>
    </w:p>
  </w:footnote>
  <w:footnote w:id="23">
    <w:p w14:paraId="47469928" w14:textId="7BE090E5" w:rsidR="001215FE" w:rsidRDefault="001215FE" w:rsidP="009501D1">
      <w:pPr>
        <w:pStyle w:val="FootnoteText"/>
      </w:pPr>
      <w:r>
        <w:rPr>
          <w:rStyle w:val="FootnoteReference"/>
        </w:rPr>
        <w:footnoteRef/>
      </w:r>
      <w:r>
        <w:t xml:space="preserve"> </w:t>
      </w:r>
      <w:r w:rsidR="00644FCD">
        <w:t xml:space="preserve"> </w:t>
      </w:r>
      <w:r>
        <w:t>The appraisal value of $43.2 million presented in CAW-</w:t>
      </w:r>
      <w:r w:rsidR="00250959">
        <w:t>5</w:t>
      </w:r>
      <w:r>
        <w:t xml:space="preserve"> (Zanni Direct), was corrected and updated in CAW-</w:t>
      </w:r>
      <w:r w:rsidR="00250959">
        <w:t>11</w:t>
      </w:r>
      <w:r>
        <w:t xml:space="preserve"> (Zanni Rebuttal) to reflect a change in the economic obsolescence conclusion.</w:t>
      </w:r>
    </w:p>
  </w:footnote>
  <w:footnote w:id="24">
    <w:p w14:paraId="6F20512D" w14:textId="3A751FAB" w:rsidR="001215FE" w:rsidRDefault="001215FE" w:rsidP="00E00B7A">
      <w:pPr>
        <w:pStyle w:val="FootnoteText"/>
      </w:pPr>
      <w:r>
        <w:rPr>
          <w:rStyle w:val="FootnoteReference"/>
        </w:rPr>
        <w:footnoteRef/>
      </w:r>
      <w:r>
        <w:t xml:space="preserve"> </w:t>
      </w:r>
      <w:r w:rsidR="00644FCD">
        <w:t xml:space="preserve"> </w:t>
      </w:r>
      <w:r>
        <w:t>Public Advocates Office Opening Brief at 7.</w:t>
      </w:r>
    </w:p>
  </w:footnote>
  <w:footnote w:id="25">
    <w:p w14:paraId="7C5D850A" w14:textId="3A4CA55C" w:rsidR="001215FE" w:rsidRDefault="001215FE" w:rsidP="009501D1">
      <w:pPr>
        <w:pStyle w:val="FootnoteText"/>
      </w:pPr>
      <w:r>
        <w:rPr>
          <w:rStyle w:val="FootnoteReference"/>
        </w:rPr>
        <w:footnoteRef/>
      </w:r>
      <w:r>
        <w:t xml:space="preserve"> </w:t>
      </w:r>
      <w:r w:rsidR="00644FCD">
        <w:t xml:space="preserve"> </w:t>
      </w:r>
      <w:r>
        <w:t>D.01-09-057 at 28.</w:t>
      </w:r>
    </w:p>
  </w:footnote>
  <w:footnote w:id="26">
    <w:p w14:paraId="11D26061" w14:textId="297083C7" w:rsidR="001215FE" w:rsidRDefault="001215FE">
      <w:pPr>
        <w:pStyle w:val="FootnoteText"/>
      </w:pPr>
      <w:r>
        <w:rPr>
          <w:rStyle w:val="FootnoteReference"/>
        </w:rPr>
        <w:footnoteRef/>
      </w:r>
      <w:r>
        <w:t xml:space="preserve"> </w:t>
      </w:r>
      <w:r w:rsidR="00644FCD">
        <w:t xml:space="preserve"> </w:t>
      </w:r>
      <w:r w:rsidRPr="00933B0C">
        <w:t>§</w:t>
      </w:r>
      <w:r>
        <w:t xml:space="preserve"> </w:t>
      </w:r>
      <w:r w:rsidRPr="00933B0C">
        <w:t>27</w:t>
      </w:r>
      <w:r>
        <w:t>19 (d).</w:t>
      </w:r>
    </w:p>
  </w:footnote>
  <w:footnote w:id="27">
    <w:p w14:paraId="111556C9" w14:textId="5541D0CF" w:rsidR="00BC3F3F" w:rsidRDefault="00BC3F3F" w:rsidP="00BC3F3F">
      <w:pPr>
        <w:pStyle w:val="FootnoteText"/>
      </w:pPr>
      <w:r>
        <w:rPr>
          <w:rStyle w:val="FootnoteReference"/>
        </w:rPr>
        <w:footnoteRef/>
      </w:r>
      <w:r w:rsidR="00644FCD">
        <w:t xml:space="preserve"> </w:t>
      </w:r>
      <w:r>
        <w:t xml:space="preserve"> </w:t>
      </w:r>
      <w:r w:rsidRPr="00F233D0">
        <w:t xml:space="preserve">Section 1263.320 of the Code of Civil Procedure sets forth two options for determining fair market value – (a) the highest price on the date of valuation that would be agreed to by a seller, being willing to sell… and a buyer , being ready, willing and able to buy…with full knowledge of all the uses and purposes for which the property is reasonably adaptable and available, and (b) [for property taken for which there is no relevant, comparable market] the value on the date of valuation as determined by any method of valuation that is just and equitable.  </w:t>
      </w:r>
    </w:p>
  </w:footnote>
  <w:footnote w:id="28">
    <w:p w14:paraId="232C615E" w14:textId="1BC5173C" w:rsidR="00537904" w:rsidRDefault="00537904">
      <w:pPr>
        <w:pStyle w:val="FootnoteText"/>
      </w:pPr>
      <w:r>
        <w:rPr>
          <w:rStyle w:val="FootnoteReference"/>
        </w:rPr>
        <w:footnoteRef/>
      </w:r>
      <w:r w:rsidR="00506E52">
        <w:t xml:space="preserve">  </w:t>
      </w:r>
      <w:r>
        <w:t xml:space="preserve">$4 million </w:t>
      </w:r>
      <w:r w:rsidRPr="00470269">
        <w:rPr>
          <w:rFonts w:cs="TimesNewRomanPSMT"/>
          <w:szCs w:val="26"/>
        </w:rPr>
        <w:t>is essentially the rate base of East Pasadena for ratemaking purposes</w:t>
      </w:r>
      <w:r>
        <w:rPr>
          <w:rFonts w:cs="TimesNewRomanPSMT"/>
          <w:szCs w:val="26"/>
        </w:rPr>
        <w:t>.</w:t>
      </w:r>
      <w:r w:rsidR="009E2BBD">
        <w:rPr>
          <w:rFonts w:cs="TimesNewRomanPSMT"/>
          <w:szCs w:val="26"/>
        </w:rPr>
        <w:t xml:space="preserve"> </w:t>
      </w:r>
      <w:r w:rsidR="009E2BBD">
        <w:t>Acquisition premium=difference between fair market value and book value of East Pasadena assets=$34 million-$4 million=$30 million.</w:t>
      </w:r>
    </w:p>
  </w:footnote>
  <w:footnote w:id="29">
    <w:p w14:paraId="41079E4F" w14:textId="78BDD3AB" w:rsidR="007A2A31" w:rsidRDefault="007A2A31" w:rsidP="007A2A31">
      <w:pPr>
        <w:pStyle w:val="FootnoteText"/>
      </w:pPr>
      <w:r>
        <w:rPr>
          <w:rStyle w:val="FootnoteReference"/>
        </w:rPr>
        <w:footnoteRef/>
      </w:r>
      <w:r>
        <w:t xml:space="preserve"> </w:t>
      </w:r>
      <w:r w:rsidR="00F448F7">
        <w:t xml:space="preserve"> </w:t>
      </w:r>
      <w:r>
        <w:t>A.19-07-004.</w:t>
      </w:r>
    </w:p>
  </w:footnote>
  <w:footnote w:id="30">
    <w:p w14:paraId="5C5106CD" w14:textId="0015C44E" w:rsidR="007A2A31" w:rsidRDefault="007A2A31" w:rsidP="007A2A31">
      <w:pPr>
        <w:pStyle w:val="FootnoteText"/>
      </w:pPr>
      <w:r>
        <w:rPr>
          <w:rStyle w:val="FootnoteReference"/>
        </w:rPr>
        <w:footnoteRef/>
      </w:r>
      <w:r>
        <w:t xml:space="preserve"> </w:t>
      </w:r>
      <w:r w:rsidR="00F448F7">
        <w:t xml:space="preserve"> </w:t>
      </w:r>
      <w:r>
        <w:t>Note that Joint Applicants estimate of a 0.71</w:t>
      </w:r>
      <w:r w:rsidR="00F448F7">
        <w:t xml:space="preserve"> percent</w:t>
      </w:r>
      <w:r>
        <w:t xml:space="preserve"> rate increase is illustrative as it is based upon the unlikely assumption of immediate consolidation for ratemaking purposes.</w:t>
      </w:r>
      <w:r w:rsidR="00F448F7">
        <w:t xml:space="preserve"> </w:t>
      </w:r>
      <w:r>
        <w:t xml:space="preserve"> In fact, Joint Applicants propose collection of the increases estimated before 2024 through a memorandum account review and surcharge, and not through rates.</w:t>
      </w:r>
    </w:p>
  </w:footnote>
  <w:footnote w:id="31">
    <w:p w14:paraId="7E2B2F7B" w14:textId="22A82EBA" w:rsidR="000D1BC4" w:rsidRDefault="000D1BC4" w:rsidP="000D1BC4">
      <w:pPr>
        <w:pStyle w:val="FootnoteText"/>
      </w:pPr>
      <w:r>
        <w:rPr>
          <w:rStyle w:val="FootnoteReference"/>
        </w:rPr>
        <w:footnoteRef/>
      </w:r>
      <w:r>
        <w:t xml:space="preserve"> </w:t>
      </w:r>
      <w:r>
        <w:rPr>
          <w:i/>
          <w:iCs/>
        </w:rPr>
        <w:t>See</w:t>
      </w:r>
      <w:r>
        <w:t xml:space="preserve"> Attachment 1 to CAW – 2 (Owens Direct Errata), showing the proposed allocation of $34</w:t>
      </w:r>
      <w:r w:rsidR="00506E52">
        <w:t> </w:t>
      </w:r>
      <w:r>
        <w:t xml:space="preserve">million as $16.39 million to customers of the newly consolidated district, offset by operational savings and new revenues, and the remaining </w:t>
      </w:r>
      <w:r w:rsidRPr="003D313F">
        <w:t>$17.61 millio</w:t>
      </w:r>
      <w:r>
        <w:t>n to all Cal-Am customers, including the former East Pasadena customers.</w:t>
      </w:r>
    </w:p>
  </w:footnote>
  <w:footnote w:id="32">
    <w:p w14:paraId="2B7ED8F7" w14:textId="0F9840B3" w:rsidR="007A2A31" w:rsidRDefault="007A2A31" w:rsidP="007A2A31">
      <w:pPr>
        <w:pStyle w:val="FootnoteText"/>
      </w:pPr>
      <w:r>
        <w:rPr>
          <w:rStyle w:val="FootnoteReference"/>
        </w:rPr>
        <w:footnoteRef/>
      </w:r>
      <w:r>
        <w:t xml:space="preserve"> </w:t>
      </w:r>
      <w:r w:rsidR="00F448F7">
        <w:t xml:space="preserve"> </w:t>
      </w:r>
      <w:r>
        <w:t>CAW – 2 (Owens Direct Errata) at 9.</w:t>
      </w:r>
    </w:p>
  </w:footnote>
  <w:footnote w:id="33">
    <w:p w14:paraId="3C564430" w14:textId="633D777C" w:rsidR="007A2A31" w:rsidRDefault="007A2A31" w:rsidP="007A2A31">
      <w:pPr>
        <w:pStyle w:val="FootnoteText"/>
      </w:pPr>
      <w:r>
        <w:rPr>
          <w:rStyle w:val="FootnoteReference"/>
        </w:rPr>
        <w:footnoteRef/>
      </w:r>
      <w:r>
        <w:t xml:space="preserve"> </w:t>
      </w:r>
      <w:r w:rsidR="00F448F7">
        <w:t xml:space="preserve"> </w:t>
      </w:r>
      <w:r>
        <w:t xml:space="preserve">CAW – 2 (Owens Direct Errata) at 9 and CAW – </w:t>
      </w:r>
      <w:r w:rsidR="00342AE4">
        <w:t>11</w:t>
      </w:r>
      <w:r>
        <w:t xml:space="preserve"> (Zanni Rebuttal) at 2. </w:t>
      </w:r>
      <w:r w:rsidR="00F448F7">
        <w:t xml:space="preserve"> </w:t>
      </w:r>
      <w:r>
        <w:t>Witness Owens’62</w:t>
      </w:r>
      <w:r w:rsidR="00F448F7">
        <w:t> </w:t>
      </w:r>
      <w:r w:rsidR="001A57A9">
        <w:t>percent</w:t>
      </w:r>
      <w:r>
        <w:t xml:space="preserve"> water rights figure in Direct Testimony was based on a total appraisal value of $43.2 million which Cal-Am’s witness corrected in Rebuttal to $42.9 million but this correction does not change the percentage calculation of water rights as 62% of total appraised value of the assets. </w:t>
      </w:r>
    </w:p>
  </w:footnote>
  <w:footnote w:id="34">
    <w:p w14:paraId="5482B1B7" w14:textId="36C0277B" w:rsidR="007A2A31" w:rsidRDefault="007A2A31" w:rsidP="007A2A31">
      <w:pPr>
        <w:pStyle w:val="FootnoteText"/>
      </w:pPr>
      <w:r>
        <w:rPr>
          <w:rStyle w:val="FootnoteReference"/>
        </w:rPr>
        <w:footnoteRef/>
      </w:r>
      <w:r w:rsidR="00F448F7">
        <w:t xml:space="preserve"> </w:t>
      </w:r>
      <w:r>
        <w:t xml:space="preserve"> The Commission last approved East Pasadena</w:t>
      </w:r>
      <w:r w:rsidR="00A01ED4">
        <w:t>’s</w:t>
      </w:r>
      <w:r>
        <w:t xml:space="preserve"> revenues and rates in Commission Resolution W-5039 (Resolution W-5039).</w:t>
      </w:r>
    </w:p>
  </w:footnote>
  <w:footnote w:id="35">
    <w:p w14:paraId="34E88FE0" w14:textId="2D10907D" w:rsidR="007A2A31" w:rsidRDefault="007A2A31" w:rsidP="007A2A31">
      <w:pPr>
        <w:pStyle w:val="FootnoteText"/>
      </w:pPr>
      <w:r>
        <w:rPr>
          <w:rStyle w:val="FootnoteReference"/>
        </w:rPr>
        <w:footnoteRef/>
      </w:r>
      <w:r>
        <w:t xml:space="preserve"> </w:t>
      </w:r>
      <w:r w:rsidR="00F448F7">
        <w:t xml:space="preserve"> </w:t>
      </w:r>
      <w:r>
        <w:t>Resolution W-5039.</w:t>
      </w:r>
    </w:p>
  </w:footnote>
  <w:footnote w:id="36">
    <w:p w14:paraId="58E44869" w14:textId="6F83D91C" w:rsidR="007A2A31" w:rsidRDefault="007A2A31" w:rsidP="007A2A31">
      <w:pPr>
        <w:pStyle w:val="FootnoteText"/>
      </w:pPr>
      <w:r>
        <w:rPr>
          <w:rStyle w:val="FootnoteReference"/>
        </w:rPr>
        <w:footnoteRef/>
      </w:r>
      <w:r>
        <w:t xml:space="preserve"> </w:t>
      </w:r>
      <w:r w:rsidR="00F448F7">
        <w:t xml:space="preserve"> </w:t>
      </w:r>
      <w:r>
        <w:t>Attachment 2 to CAW-2 (Owens Direct Errata).</w:t>
      </w:r>
    </w:p>
  </w:footnote>
  <w:footnote w:id="37">
    <w:p w14:paraId="48BABB49" w14:textId="5E189D34" w:rsidR="007A2A31" w:rsidRDefault="007A2A31" w:rsidP="007A2A31">
      <w:pPr>
        <w:pStyle w:val="FootnoteText"/>
      </w:pPr>
      <w:r>
        <w:rPr>
          <w:rStyle w:val="FootnoteReference"/>
        </w:rPr>
        <w:footnoteRef/>
      </w:r>
      <w:r>
        <w:t xml:space="preserve"> </w:t>
      </w:r>
      <w:r w:rsidR="00F448F7">
        <w:t xml:space="preserve"> </w:t>
      </w:r>
      <w:r>
        <w:t>Standard Practice Manual U-27-W revised April 16, 2014 at 65.</w:t>
      </w:r>
    </w:p>
  </w:footnote>
  <w:footnote w:id="38">
    <w:p w14:paraId="3EAFC2E0" w14:textId="46D4C9D6" w:rsidR="007A2A31" w:rsidRDefault="007A2A31" w:rsidP="007A2A31">
      <w:pPr>
        <w:pStyle w:val="FootnoteText"/>
      </w:pPr>
      <w:r>
        <w:rPr>
          <w:rStyle w:val="FootnoteReference"/>
        </w:rPr>
        <w:footnoteRef/>
      </w:r>
      <w:r>
        <w:t xml:space="preserve"> </w:t>
      </w:r>
      <w:r w:rsidR="00F448F7">
        <w:t xml:space="preserve"> </w:t>
      </w:r>
      <w:r>
        <w:t>AL 96.</w:t>
      </w:r>
    </w:p>
  </w:footnote>
  <w:footnote w:id="39">
    <w:p w14:paraId="77D3DFAB" w14:textId="6C4FF500" w:rsidR="007A2A31" w:rsidRDefault="007A2A31" w:rsidP="007A2A31">
      <w:pPr>
        <w:pStyle w:val="FootnoteText"/>
      </w:pPr>
      <w:r>
        <w:rPr>
          <w:rStyle w:val="FootnoteReference"/>
        </w:rPr>
        <w:footnoteRef/>
      </w:r>
      <w:r>
        <w:t xml:space="preserve"> </w:t>
      </w:r>
      <w:r w:rsidR="00F448F7">
        <w:t xml:space="preserve"> </w:t>
      </w:r>
      <w:r>
        <w:t>AL 98.</w:t>
      </w:r>
    </w:p>
  </w:footnote>
  <w:footnote w:id="40">
    <w:p w14:paraId="16388A3A" w14:textId="5276EE2B" w:rsidR="007A2A31" w:rsidRDefault="007A2A31" w:rsidP="007A2A31">
      <w:pPr>
        <w:pStyle w:val="FootnoteText"/>
      </w:pPr>
      <w:r>
        <w:rPr>
          <w:rStyle w:val="FootnoteReference"/>
        </w:rPr>
        <w:footnoteRef/>
      </w:r>
      <w:r>
        <w:t xml:space="preserve"> </w:t>
      </w:r>
      <w:r w:rsidR="00F448F7">
        <w:t xml:space="preserve"> </w:t>
      </w:r>
      <w:r>
        <w:t>AL 105.</w:t>
      </w:r>
    </w:p>
  </w:footnote>
  <w:footnote w:id="41">
    <w:p w14:paraId="121B8427" w14:textId="379BDA7D" w:rsidR="007A2A31" w:rsidRDefault="007A2A31" w:rsidP="007A2A31">
      <w:pPr>
        <w:pStyle w:val="FootnoteText"/>
      </w:pPr>
      <w:r>
        <w:rPr>
          <w:rStyle w:val="FootnoteReference"/>
        </w:rPr>
        <w:footnoteRef/>
      </w:r>
      <w:r>
        <w:t xml:space="preserve"> </w:t>
      </w:r>
      <w:r w:rsidR="00F448F7">
        <w:t xml:space="preserve"> </w:t>
      </w:r>
      <w:r>
        <w:t>AL 103.</w:t>
      </w:r>
    </w:p>
  </w:footnote>
  <w:footnote w:id="42">
    <w:p w14:paraId="44A97EAB" w14:textId="333469CD" w:rsidR="007A2A31" w:rsidRDefault="007A2A31" w:rsidP="007A2A31">
      <w:pPr>
        <w:pStyle w:val="FootnoteText"/>
      </w:pPr>
      <w:r>
        <w:rPr>
          <w:rStyle w:val="FootnoteReference"/>
        </w:rPr>
        <w:footnoteRef/>
      </w:r>
      <w:r>
        <w:t xml:space="preserve"> </w:t>
      </w:r>
      <w:r w:rsidR="00F448F7">
        <w:t xml:space="preserve"> </w:t>
      </w:r>
      <w:r>
        <w:rPr>
          <w:szCs w:val="26"/>
        </w:rPr>
        <w:t>In its current GRC, Cal-Am requests approval to consolidate for ratemaking purposes its Los</w:t>
      </w:r>
      <w:r w:rsidR="00F448F7">
        <w:rPr>
          <w:szCs w:val="26"/>
        </w:rPr>
        <w:t> </w:t>
      </w:r>
      <w:r>
        <w:rPr>
          <w:szCs w:val="26"/>
        </w:rPr>
        <w:t xml:space="preserve">Angeles </w:t>
      </w:r>
      <w:r w:rsidR="00845C81">
        <w:rPr>
          <w:szCs w:val="26"/>
        </w:rPr>
        <w:t xml:space="preserve">County </w:t>
      </w:r>
      <w:r w:rsidR="00472AF0">
        <w:rPr>
          <w:szCs w:val="26"/>
        </w:rPr>
        <w:t>D</w:t>
      </w:r>
      <w:r>
        <w:rPr>
          <w:szCs w:val="26"/>
        </w:rPr>
        <w:t xml:space="preserve">istrict with the Ventura and San Diego </w:t>
      </w:r>
      <w:r w:rsidR="00472AF0">
        <w:rPr>
          <w:szCs w:val="26"/>
        </w:rPr>
        <w:t>D</w:t>
      </w:r>
      <w:r>
        <w:rPr>
          <w:szCs w:val="26"/>
        </w:rPr>
        <w:t xml:space="preserve">istricts, to form a Southern </w:t>
      </w:r>
      <w:r w:rsidR="00472AF0">
        <w:rPr>
          <w:szCs w:val="26"/>
        </w:rPr>
        <w:t>D</w:t>
      </w:r>
      <w:r>
        <w:rPr>
          <w:szCs w:val="26"/>
        </w:rPr>
        <w:t>istrict.</w:t>
      </w:r>
    </w:p>
  </w:footnote>
  <w:footnote w:id="43">
    <w:p w14:paraId="356D504C" w14:textId="50EF9727" w:rsidR="007A2A31" w:rsidRDefault="007A2A31" w:rsidP="007A2A31">
      <w:pPr>
        <w:pStyle w:val="FootnoteText"/>
      </w:pPr>
      <w:r>
        <w:rPr>
          <w:rStyle w:val="FootnoteReference"/>
        </w:rPr>
        <w:footnoteRef/>
      </w:r>
      <w:r>
        <w:t xml:space="preserve"> </w:t>
      </w:r>
      <w:r w:rsidR="00F448F7">
        <w:t xml:space="preserve"> </w:t>
      </w:r>
      <w:r>
        <w:t>2024, or after Cal</w:t>
      </w:r>
      <w:r w:rsidR="005D6C54">
        <w:t>-</w:t>
      </w:r>
      <w:r>
        <w:t>Am’s GRC subsequent to the A.19-07-004 GRC.</w:t>
      </w:r>
    </w:p>
  </w:footnote>
  <w:footnote w:id="44">
    <w:p w14:paraId="3DAE35D9" w14:textId="4EEFE634" w:rsidR="007A2A31" w:rsidRDefault="007A2A31" w:rsidP="007A2A31">
      <w:pPr>
        <w:pStyle w:val="FootnoteText"/>
      </w:pPr>
      <w:r>
        <w:rPr>
          <w:rStyle w:val="FootnoteReference"/>
        </w:rPr>
        <w:footnoteRef/>
      </w:r>
      <w:r>
        <w:t xml:space="preserve"> </w:t>
      </w:r>
      <w:r w:rsidR="00F448F7">
        <w:t xml:space="preserve"> </w:t>
      </w:r>
      <w:r>
        <w:t>Attachment 2 to CAW-2 (Owens Direct Errata).</w:t>
      </w:r>
    </w:p>
  </w:footnote>
  <w:footnote w:id="45">
    <w:p w14:paraId="5F548F2F" w14:textId="645F4144" w:rsidR="007A2A31" w:rsidRDefault="007A2A31" w:rsidP="007A2A31">
      <w:pPr>
        <w:pStyle w:val="FootnoteText"/>
      </w:pPr>
      <w:r>
        <w:rPr>
          <w:rStyle w:val="FootnoteReference"/>
        </w:rPr>
        <w:footnoteRef/>
      </w:r>
      <w:r>
        <w:t xml:space="preserve"> </w:t>
      </w:r>
      <w:r w:rsidR="00F448F7">
        <w:t xml:space="preserve"> </w:t>
      </w:r>
      <w:r>
        <w:t>A conservation focused rate design has increasing prices for higher consumption to encourage reduced consumption.  Otherwise, a rate design might tend to have lower prices if there are economies of scale which reduce the average cost of incremental units.</w:t>
      </w:r>
    </w:p>
  </w:footnote>
  <w:footnote w:id="46">
    <w:p w14:paraId="32A6574E" w14:textId="7A579298" w:rsidR="001215FE" w:rsidRDefault="001215FE">
      <w:pPr>
        <w:pStyle w:val="FootnoteText"/>
      </w:pPr>
      <w:r>
        <w:rPr>
          <w:rStyle w:val="FootnoteReference"/>
        </w:rPr>
        <w:footnoteRef/>
      </w:r>
      <w:r>
        <w:t xml:space="preserve"> </w:t>
      </w:r>
      <w:r w:rsidR="00F448F7">
        <w:t xml:space="preserve"> </w:t>
      </w:r>
      <w:r>
        <w:t>Attachment 1 to CAW – 2 (Owens Direct Errata</w:t>
      </w:r>
      <w:r w:rsidR="004B4B28">
        <w:t>).</w:t>
      </w:r>
    </w:p>
  </w:footnote>
  <w:footnote w:id="47">
    <w:p w14:paraId="602796E1" w14:textId="2F60B73C" w:rsidR="001215FE" w:rsidRDefault="001215FE" w:rsidP="00BD45B7">
      <w:pPr>
        <w:pStyle w:val="FootnoteText"/>
      </w:pPr>
      <w:r>
        <w:rPr>
          <w:rStyle w:val="FootnoteReference"/>
        </w:rPr>
        <w:footnoteRef/>
      </w:r>
      <w:r>
        <w:t xml:space="preserve"> </w:t>
      </w:r>
      <w:r w:rsidR="00F448F7">
        <w:t xml:space="preserve"> </w:t>
      </w:r>
      <w:r>
        <w:t>CAW – 2 (Owens Direct Errata) at 30.</w:t>
      </w:r>
    </w:p>
  </w:footnote>
  <w:footnote w:id="48">
    <w:p w14:paraId="69D4247B" w14:textId="2C62478C" w:rsidR="001215FE" w:rsidRDefault="001215FE" w:rsidP="00BD45B7">
      <w:pPr>
        <w:pStyle w:val="FootnoteText"/>
      </w:pPr>
      <w:r>
        <w:rPr>
          <w:rStyle w:val="FootnoteReference"/>
        </w:rPr>
        <w:footnoteRef/>
      </w:r>
      <w:r>
        <w:t xml:space="preserve"> </w:t>
      </w:r>
      <w:r w:rsidR="00F448F7">
        <w:t xml:space="preserve"> </w:t>
      </w:r>
      <w:r>
        <w:t>CAW – 2 (Owens Direct Errata) at 30.</w:t>
      </w:r>
    </w:p>
  </w:footnote>
  <w:footnote w:id="49">
    <w:p w14:paraId="0A886E5C" w14:textId="515F9C07" w:rsidR="001215FE" w:rsidRDefault="001215FE" w:rsidP="00BD45B7">
      <w:pPr>
        <w:pStyle w:val="FootnoteText"/>
      </w:pPr>
      <w:r>
        <w:rPr>
          <w:rStyle w:val="FootnoteReference"/>
        </w:rPr>
        <w:footnoteRef/>
      </w:r>
      <w:r>
        <w:t xml:space="preserve"> </w:t>
      </w:r>
      <w:r w:rsidR="00F448F7">
        <w:t xml:space="preserve"> </w:t>
      </w:r>
      <w:r>
        <w:t>CAW – 2 (Owens Direct Errata) at 29.</w:t>
      </w:r>
    </w:p>
  </w:footnote>
  <w:footnote w:id="50">
    <w:p w14:paraId="2EFE7393" w14:textId="5BF18E09" w:rsidR="001215FE" w:rsidRDefault="001215FE" w:rsidP="00BD45B7">
      <w:pPr>
        <w:pStyle w:val="FootnoteText"/>
      </w:pPr>
      <w:r>
        <w:rPr>
          <w:rStyle w:val="FootnoteReference"/>
        </w:rPr>
        <w:footnoteRef/>
      </w:r>
      <w:r>
        <w:t xml:space="preserve"> </w:t>
      </w:r>
      <w:r w:rsidR="00F448F7">
        <w:t xml:space="preserve"> </w:t>
      </w:r>
      <w:r>
        <w:t>CAW – 2 (Owens Direct Errata) at 28, 30.</w:t>
      </w:r>
    </w:p>
  </w:footnote>
  <w:footnote w:id="51">
    <w:p w14:paraId="03FD1443" w14:textId="0AE383DC" w:rsidR="001215FE" w:rsidRDefault="001215FE" w:rsidP="00F6094A">
      <w:pPr>
        <w:pStyle w:val="FootnoteText"/>
      </w:pPr>
      <w:r>
        <w:rPr>
          <w:rStyle w:val="FootnoteReference"/>
        </w:rPr>
        <w:footnoteRef/>
      </w:r>
      <w:r>
        <w:t xml:space="preserve"> </w:t>
      </w:r>
      <w:r w:rsidR="00F448F7">
        <w:t xml:space="preserve"> </w:t>
      </w:r>
      <w:r>
        <w:t>CAW – 2 (Owens Direct Errata) at 16.</w:t>
      </w:r>
      <w:r w:rsidR="00036E87">
        <w:t>;</w:t>
      </w:r>
      <w:r>
        <w:t xml:space="preserve">  One of the first applicable Commission decisions following the implementation of </w:t>
      </w:r>
      <w:r>
        <w:rPr>
          <w:rFonts w:ascii="Palatino Linotype" w:hAnsi="Palatino Linotype"/>
        </w:rPr>
        <w:t>§§</w:t>
      </w:r>
      <w:r>
        <w:t xml:space="preserve"> 2718 – 2720 was D. 01-09-057, authorizing Cal-Am to acquire the water utility assets and public utility operations of Citizens Utilities Company of California.</w:t>
      </w:r>
      <w:r w:rsidR="00F448F7">
        <w:t xml:space="preserve"> </w:t>
      </w:r>
      <w:r>
        <w:t xml:space="preserve"> In this decision, the Commission explains the conundrum of how an increased rate base, with a likely increase in rates to follow, is beneficial to ratepayers of the acquired company “…..that if it were to include the full acquisition premium directly in rate base at the time of transfer under Section 2720(a), the revenue requirement for the former Citizens districts would be driven up and rates would follow in the short term.  Economies of scale would begin to develop almost immediately, however, and after the early years the synergies savings from consolidation would overcome the effects of including the acquisition adjustment in rate base.  Rates could then begin to drop to below what they would have been for the stand-alone operation.”</w:t>
      </w:r>
    </w:p>
  </w:footnote>
  <w:footnote w:id="52">
    <w:p w14:paraId="3154B9CA" w14:textId="5CF14928" w:rsidR="001215FE" w:rsidRDefault="001215FE" w:rsidP="00997451">
      <w:pPr>
        <w:pStyle w:val="FootnoteText"/>
      </w:pPr>
      <w:r>
        <w:rPr>
          <w:rStyle w:val="FootnoteReference"/>
        </w:rPr>
        <w:footnoteRef/>
      </w:r>
      <w:r>
        <w:t xml:space="preserve"> </w:t>
      </w:r>
      <w:r w:rsidR="00F448F7">
        <w:t xml:space="preserve"> </w:t>
      </w:r>
      <w:r>
        <w:t>CAW – 2 (Owens Direct Errata) at 16, 26.</w:t>
      </w:r>
    </w:p>
  </w:footnote>
  <w:footnote w:id="53">
    <w:p w14:paraId="72A4920F" w14:textId="2C4780A0" w:rsidR="001215FE" w:rsidRDefault="001215FE" w:rsidP="00BD45B7">
      <w:pPr>
        <w:pStyle w:val="FootnoteText"/>
      </w:pPr>
      <w:r>
        <w:rPr>
          <w:rStyle w:val="FootnoteReference"/>
        </w:rPr>
        <w:footnoteRef/>
      </w:r>
      <w:r>
        <w:t xml:space="preserve"> </w:t>
      </w:r>
      <w:r w:rsidR="00F448F7">
        <w:t xml:space="preserve"> </w:t>
      </w:r>
      <w:r>
        <w:t xml:space="preserve">While the Public Advocates Office referenced an unreasonable rate increase for customers of the newly formed Los Angeles </w:t>
      </w:r>
      <w:r w:rsidR="00224D8E">
        <w:t>D</w:t>
      </w:r>
      <w:r>
        <w:t xml:space="preserve">istrict in its Reply Brief at 3, this statement is in the context of scenario that will not occur: </w:t>
      </w:r>
      <w:r w:rsidR="00F448F7">
        <w:t xml:space="preserve"> </w:t>
      </w:r>
      <w:r>
        <w:t xml:space="preserve">where the newly formed Los Angeles </w:t>
      </w:r>
      <w:r w:rsidR="00224D8E">
        <w:t>D</w:t>
      </w:r>
      <w:r>
        <w:t>istrict would absorb the entire acquisition premium with no offset.</w:t>
      </w:r>
      <w:r w:rsidR="00F448F7">
        <w:t xml:space="preserve"> </w:t>
      </w:r>
      <w:r>
        <w:t xml:space="preserve"> The Public Advocates Office Reply Brief at 3 – 4 </w:t>
      </w:r>
      <w:r w:rsidR="00D04D75">
        <w:t>argued</w:t>
      </w:r>
      <w:r>
        <w:t xml:space="preserve"> Cal-Am ratepayers statewide would subsidize the purchase price with no tangible benefit.</w:t>
      </w:r>
    </w:p>
  </w:footnote>
  <w:footnote w:id="54">
    <w:p w14:paraId="2E844A7A" w14:textId="52603FE7" w:rsidR="001215FE" w:rsidRDefault="001215FE" w:rsidP="00BD45B7">
      <w:pPr>
        <w:pStyle w:val="FootnoteText"/>
      </w:pPr>
      <w:r>
        <w:rPr>
          <w:rStyle w:val="FootnoteReference"/>
        </w:rPr>
        <w:footnoteRef/>
      </w:r>
      <w:r>
        <w:t xml:space="preserve"> </w:t>
      </w:r>
      <w:r w:rsidR="00F448F7">
        <w:t xml:space="preserve"> </w:t>
      </w:r>
      <w:r>
        <w:t>Public Advocates Office Opening Brief at 4.</w:t>
      </w:r>
    </w:p>
  </w:footnote>
  <w:footnote w:id="55">
    <w:p w14:paraId="3CC15010" w14:textId="30A02308" w:rsidR="001215FE" w:rsidRDefault="001215FE" w:rsidP="00DC66C2">
      <w:pPr>
        <w:pStyle w:val="FootnoteText"/>
      </w:pPr>
      <w:r>
        <w:rPr>
          <w:rStyle w:val="FootnoteReference"/>
        </w:rPr>
        <w:footnoteRef/>
      </w:r>
      <w:r>
        <w:t xml:space="preserve"> </w:t>
      </w:r>
      <w:r w:rsidR="00F448F7">
        <w:t xml:space="preserve"> </w:t>
      </w:r>
      <w:r>
        <w:t>Public Advocates Office Reply Brief at 4. Also see PAO – 1 (Public Advocates Office Direct) at</w:t>
      </w:r>
      <w:r w:rsidR="00506E52">
        <w:t> </w:t>
      </w:r>
      <w:r>
        <w:t>1-9.</w:t>
      </w:r>
    </w:p>
  </w:footnote>
  <w:footnote w:id="56">
    <w:p w14:paraId="5222040F" w14:textId="0A6CC34D" w:rsidR="00077A6A" w:rsidRDefault="00077A6A">
      <w:pPr>
        <w:pStyle w:val="FootnoteText"/>
      </w:pPr>
      <w:r>
        <w:rPr>
          <w:rStyle w:val="FootnoteReference"/>
        </w:rPr>
        <w:footnoteRef/>
      </w:r>
      <w:r>
        <w:t xml:space="preserve"> </w:t>
      </w:r>
      <w:r w:rsidR="00506E52">
        <w:t xml:space="preserve"> </w:t>
      </w:r>
      <w:r>
        <w:rPr>
          <w:rFonts w:cs="TimesNewRomanPSMT"/>
          <w:szCs w:val="26"/>
        </w:rPr>
        <w:t>CAW-2 (Owens Direct Errata) at 11:13-18.</w:t>
      </w:r>
    </w:p>
  </w:footnote>
  <w:footnote w:id="57">
    <w:p w14:paraId="504E246D" w14:textId="098D08D7" w:rsidR="006D4084" w:rsidRDefault="006D4084">
      <w:pPr>
        <w:pStyle w:val="FootnoteText"/>
      </w:pPr>
      <w:r>
        <w:rPr>
          <w:rStyle w:val="FootnoteReference"/>
        </w:rPr>
        <w:footnoteRef/>
      </w:r>
      <w:r w:rsidR="00506E52">
        <w:t xml:space="preserve"> </w:t>
      </w:r>
      <w:r>
        <w:t xml:space="preserve"> </w:t>
      </w:r>
      <w:r w:rsidR="0098100A">
        <w:t xml:space="preserve">Reporter’s Transcript of Evidentiary Hearing September </w:t>
      </w:r>
      <w:r w:rsidR="00794831">
        <w:t>14</w:t>
      </w:r>
      <w:r w:rsidR="0098100A">
        <w:t xml:space="preserve">, </w:t>
      </w:r>
      <w:r w:rsidR="0098100A">
        <w:t>2020 at 160:1-6.</w:t>
      </w:r>
    </w:p>
  </w:footnote>
  <w:footnote w:id="58">
    <w:p w14:paraId="5DD7FA03" w14:textId="0298C580" w:rsidR="00192042" w:rsidRDefault="00192042">
      <w:pPr>
        <w:pStyle w:val="FootnoteText"/>
      </w:pPr>
      <w:r>
        <w:rPr>
          <w:rStyle w:val="FootnoteReference"/>
        </w:rPr>
        <w:footnoteRef/>
      </w:r>
      <w:r w:rsidR="00506E52">
        <w:t xml:space="preserve"> </w:t>
      </w:r>
      <w:r>
        <w:t xml:space="preserve"> </w:t>
      </w:r>
      <w:r>
        <w:rPr>
          <w:rFonts w:cs="TimesNewRomanPSMT"/>
          <w:szCs w:val="26"/>
        </w:rPr>
        <w:t>CAW-2 (Owens Direct Errata) at 15:5-23.</w:t>
      </w:r>
    </w:p>
  </w:footnote>
  <w:footnote w:id="59">
    <w:p w14:paraId="6A11AA3D" w14:textId="690DD500" w:rsidR="001215FE" w:rsidRDefault="001215FE" w:rsidP="008D545F">
      <w:pPr>
        <w:pStyle w:val="FootnoteText"/>
      </w:pPr>
      <w:r>
        <w:rPr>
          <w:rStyle w:val="FootnoteReference"/>
        </w:rPr>
        <w:footnoteRef/>
      </w:r>
      <w:r>
        <w:t xml:space="preserve"> </w:t>
      </w:r>
      <w:r w:rsidR="00F448F7">
        <w:t xml:space="preserve"> </w:t>
      </w:r>
      <w:r>
        <w:t>Public Advocates Office Opening Brief at 8, 16.</w:t>
      </w:r>
    </w:p>
  </w:footnote>
  <w:footnote w:id="60">
    <w:p w14:paraId="28D6BDCA" w14:textId="4B61D80A" w:rsidR="000F190E" w:rsidRDefault="000F190E" w:rsidP="000F190E">
      <w:pPr>
        <w:pStyle w:val="FootnoteText"/>
      </w:pPr>
      <w:r>
        <w:rPr>
          <w:rStyle w:val="FootnoteReference"/>
        </w:rPr>
        <w:footnoteRef/>
      </w:r>
      <w:r>
        <w:t xml:space="preserve"> </w:t>
      </w:r>
      <w:r w:rsidR="00F448F7">
        <w:t xml:space="preserve"> </w:t>
      </w:r>
      <w:r w:rsidRPr="00F448F7">
        <w:rPr>
          <w:i/>
          <w:iCs/>
        </w:rPr>
        <w:t>See</w:t>
      </w:r>
      <w:r>
        <w:t xml:space="preserve">, D.06-05-041, as modified by D.06-12-043, the </w:t>
      </w:r>
      <w:r w:rsidR="00C464AA">
        <w:t>principal</w:t>
      </w:r>
      <w:r>
        <w:t xml:space="preserve"> gain-on-sale decisions.</w:t>
      </w:r>
    </w:p>
  </w:footnote>
  <w:footnote w:id="61">
    <w:p w14:paraId="513BC1B4" w14:textId="5546361C" w:rsidR="000F190E" w:rsidRDefault="000F190E" w:rsidP="000F190E">
      <w:pPr>
        <w:pStyle w:val="FootnoteText"/>
      </w:pPr>
      <w:r>
        <w:rPr>
          <w:rStyle w:val="FootnoteReference"/>
        </w:rPr>
        <w:footnoteRef/>
      </w:r>
      <w:r>
        <w:t xml:space="preserve"> </w:t>
      </w:r>
      <w:r w:rsidR="00F448F7">
        <w:t xml:space="preserve"> </w:t>
      </w:r>
      <w:r>
        <w:t>Joint Applicants Reply Brief at 6.</w:t>
      </w:r>
    </w:p>
  </w:footnote>
  <w:footnote w:id="62">
    <w:p w14:paraId="2D524C35" w14:textId="39DD651D" w:rsidR="00E47C10" w:rsidRDefault="00E47C10">
      <w:pPr>
        <w:pStyle w:val="FootnoteText"/>
      </w:pPr>
      <w:r>
        <w:rPr>
          <w:rStyle w:val="FootnoteReference"/>
        </w:rPr>
        <w:footnoteRef/>
      </w:r>
      <w:r>
        <w:t xml:space="preserve"> </w:t>
      </w:r>
      <w:r w:rsidR="00506E52">
        <w:t xml:space="preserve"> </w:t>
      </w:r>
      <w:r>
        <w:t xml:space="preserve">D.06-05-041 </w:t>
      </w:r>
      <w:r>
        <w:t>FoF 2, 3.</w:t>
      </w:r>
    </w:p>
  </w:footnote>
  <w:footnote w:id="63">
    <w:p w14:paraId="7C82EFA0" w14:textId="301C9A63" w:rsidR="000F190E" w:rsidRDefault="000F190E" w:rsidP="000F190E">
      <w:pPr>
        <w:pStyle w:val="FootnoteText"/>
      </w:pPr>
      <w:r>
        <w:rPr>
          <w:rStyle w:val="FootnoteReference"/>
        </w:rPr>
        <w:footnoteRef/>
      </w:r>
      <w:r>
        <w:t xml:space="preserve"> </w:t>
      </w:r>
      <w:r w:rsidR="00F448F7">
        <w:t xml:space="preserve"> </w:t>
      </w:r>
      <w:r>
        <w:t>D. 06-05-024 at 61.</w:t>
      </w:r>
    </w:p>
  </w:footnote>
  <w:footnote w:id="64">
    <w:p w14:paraId="462FDA24" w14:textId="3C39F665" w:rsidR="000F190E" w:rsidRDefault="000F190E" w:rsidP="000F190E">
      <w:pPr>
        <w:pStyle w:val="FootnoteText"/>
      </w:pPr>
      <w:r>
        <w:rPr>
          <w:rStyle w:val="FootnoteReference"/>
        </w:rPr>
        <w:footnoteRef/>
      </w:r>
      <w:r>
        <w:t xml:space="preserve"> </w:t>
      </w:r>
      <w:r w:rsidR="00F448F7">
        <w:t xml:space="preserve"> </w:t>
      </w:r>
      <w:r>
        <w:t>Joint Applicants Opening Brief at 11, Reply Brief at 9.</w:t>
      </w:r>
      <w:r w:rsidRPr="000A00F9">
        <w:t xml:space="preserve"> </w:t>
      </w:r>
      <w:r>
        <w:t xml:space="preserve">CAW – </w:t>
      </w:r>
      <w:r w:rsidR="00FD26DB">
        <w:t>9</w:t>
      </w:r>
      <w:r>
        <w:t xml:space="preserve"> (Stephenson Rebuttal), </w:t>
      </w:r>
      <w:r w:rsidR="00FD26DB">
        <w:t>EPWC</w:t>
      </w:r>
      <w:r w:rsidR="00506E52">
        <w:t> </w:t>
      </w:r>
      <w:r w:rsidR="00FD26DB">
        <w:t>- 2</w:t>
      </w:r>
      <w:r>
        <w:t xml:space="preserve"> (Morales Rebuttal), </w:t>
      </w:r>
      <w:r w:rsidR="00FD26DB">
        <w:t>EPWC - 3</w:t>
      </w:r>
      <w:r>
        <w:t xml:space="preserve"> (Solvik Rebuttal).</w:t>
      </w:r>
    </w:p>
  </w:footnote>
  <w:footnote w:id="65">
    <w:p w14:paraId="34D06B39" w14:textId="1284329F" w:rsidR="000F190E" w:rsidRDefault="000F190E" w:rsidP="000F190E">
      <w:pPr>
        <w:pStyle w:val="FootnoteText"/>
      </w:pPr>
      <w:r>
        <w:rPr>
          <w:rStyle w:val="FootnoteReference"/>
        </w:rPr>
        <w:footnoteRef/>
      </w:r>
      <w:r w:rsidR="00F448F7">
        <w:t xml:space="preserve"> </w:t>
      </w:r>
      <w:r>
        <w:t xml:space="preserve"> D.16-11-014. </w:t>
      </w:r>
    </w:p>
  </w:footnote>
  <w:footnote w:id="66">
    <w:p w14:paraId="28B43D1D" w14:textId="16AE4D59" w:rsidR="0011262F" w:rsidRDefault="0011262F">
      <w:pPr>
        <w:pStyle w:val="FootnoteText"/>
      </w:pPr>
      <w:r>
        <w:rPr>
          <w:rStyle w:val="FootnoteReference"/>
        </w:rPr>
        <w:footnoteRef/>
      </w:r>
      <w:r>
        <w:t xml:space="preserve"> </w:t>
      </w:r>
      <w:r w:rsidR="00506E52">
        <w:t xml:space="preserve"> </w:t>
      </w:r>
      <w:r>
        <w:t>Public Advocates Office Opening Comments on the Proposed Decision at 3-4.</w:t>
      </w:r>
    </w:p>
  </w:footnote>
  <w:footnote w:id="67">
    <w:p w14:paraId="65025A60" w14:textId="37D9FBD7" w:rsidR="00A63C72" w:rsidRDefault="00A63C72">
      <w:pPr>
        <w:pStyle w:val="FootnoteText"/>
      </w:pPr>
      <w:r>
        <w:rPr>
          <w:rStyle w:val="FootnoteReference"/>
        </w:rPr>
        <w:footnoteRef/>
      </w:r>
      <w:r>
        <w:t xml:space="preserve"> </w:t>
      </w:r>
      <w:r w:rsidR="00506E52">
        <w:t xml:space="preserve"> </w:t>
      </w:r>
      <w:r>
        <w:t>Ordering Paragraph 20, with supporting discussion found at 61-66</w:t>
      </w:r>
      <w:r w:rsidR="0020683E">
        <w:t>, of D.06-05-041.</w:t>
      </w:r>
    </w:p>
  </w:footnote>
  <w:footnote w:id="68">
    <w:p w14:paraId="67A97B3A" w14:textId="409F3CE6" w:rsidR="00444A3A" w:rsidRDefault="00444A3A">
      <w:pPr>
        <w:pStyle w:val="FootnoteText"/>
      </w:pPr>
      <w:r>
        <w:rPr>
          <w:rStyle w:val="FootnoteReference"/>
        </w:rPr>
        <w:footnoteRef/>
      </w:r>
      <w:r w:rsidR="00506E52">
        <w:t xml:space="preserve"> </w:t>
      </w:r>
      <w:r>
        <w:t xml:space="preserve"> If buyers and sellers of water utilities were to negotiate a purchase price and concomitant acquisition premium with 50 percent of the gain assumed allocated to ratepayers of the acquired water utility, such credit to ratepayers of the acquired utility would be funded by ratepayers of the acquiring utility</w:t>
      </w:r>
    </w:p>
  </w:footnote>
  <w:footnote w:id="69">
    <w:p w14:paraId="372AFACD" w14:textId="7ABFE4E4" w:rsidR="001215FE" w:rsidRDefault="001215FE">
      <w:pPr>
        <w:pStyle w:val="FootnoteText"/>
      </w:pPr>
      <w:r>
        <w:rPr>
          <w:rStyle w:val="FootnoteReference"/>
        </w:rPr>
        <w:footnoteRef/>
      </w:r>
      <w:r>
        <w:t xml:space="preserve"> </w:t>
      </w:r>
      <w:r w:rsidR="00F448F7">
        <w:t xml:space="preserve"> </w:t>
      </w:r>
      <w:r>
        <w:t>A memorandum account is a regulatory tool that, when authorized, allows a utility to record off the balance sheet any costs which are defined but unknown in terms of amount or justification.  These defined costs are not yet authorized as recoverable in rates.  In a subsequent proceeding the utility must (1) justify why the costs should be recoverable from ratepayers and then it must (2) justify the costs were reasonably incurred (</w:t>
      </w:r>
      <w:r w:rsidRPr="00F448F7">
        <w:rPr>
          <w:i/>
          <w:iCs/>
        </w:rPr>
        <w:t>e.g.</w:t>
      </w:r>
      <w:r>
        <w:t xml:space="preserve">, costs were as low as possible, etc.)  Thus, a memorandum account is a promise to consider recovery, not a promise </w:t>
      </w:r>
      <w:r w:rsidR="00F41EBC">
        <w:t>of</w:t>
      </w:r>
      <w:r>
        <w:t xml:space="preserve"> recovery in subsequent rates.  The creation of a memorandum account avoids the legal prohibition on retroactive ratemaking.  By contrast, a balancing account has a regulatory decision authorizing future recovery where the costs may be volatile and not readily forecast for inclusion in rates, </w:t>
      </w:r>
      <w:r w:rsidR="009C33D1">
        <w:t>and therefore</w:t>
      </w:r>
      <w:r>
        <w:t xml:space="preserve"> the utility must subsequently justify the reasonableness of the actual expense in a formal proceeding.  Memorandum accounts do not appear on the balance sheet because they are not yet authorized for current or future recovery, whereas balancing accounts are reported </w:t>
      </w:r>
      <w:r w:rsidR="0048183A">
        <w:t xml:space="preserve">on </w:t>
      </w:r>
      <w:r>
        <w:t xml:space="preserve">the balance sheet as an asset or liability depending on the balance.  Balancing accounts typically have a forecast rate in current rates which offset actual costs as they are incurred, and therefore can be over- or under-collected over time.   </w:t>
      </w:r>
    </w:p>
  </w:footnote>
  <w:footnote w:id="70">
    <w:p w14:paraId="4D84E6C8" w14:textId="0BA6309D" w:rsidR="001215FE" w:rsidRDefault="001215FE">
      <w:pPr>
        <w:pStyle w:val="FootnoteText"/>
      </w:pPr>
      <w:r>
        <w:rPr>
          <w:rStyle w:val="FootnoteReference"/>
        </w:rPr>
        <w:footnoteRef/>
      </w:r>
      <w:r>
        <w:t xml:space="preserve"> </w:t>
      </w:r>
      <w:r w:rsidR="008E1C87">
        <w:t xml:space="preserve"> </w:t>
      </w:r>
      <w:r w:rsidRPr="001B3D13">
        <w:t>D</w:t>
      </w:r>
      <w:r>
        <w:t>.</w:t>
      </w:r>
      <w:r w:rsidRPr="001B3D13">
        <w:t>19-11-003 in A</w:t>
      </w:r>
      <w:r>
        <w:t>.</w:t>
      </w:r>
      <w:r w:rsidRPr="001B3D13">
        <w:t>18-04-025.</w:t>
      </w:r>
    </w:p>
  </w:footnote>
  <w:footnote w:id="71">
    <w:p w14:paraId="76A692B8" w14:textId="2FDA012E" w:rsidR="001215FE" w:rsidRDefault="001215FE" w:rsidP="007F5BDE">
      <w:pPr>
        <w:pStyle w:val="FootnoteText"/>
      </w:pPr>
      <w:r>
        <w:rPr>
          <w:rStyle w:val="FootnoteReference"/>
        </w:rPr>
        <w:footnoteRef/>
      </w:r>
      <w:r>
        <w:t xml:space="preserve"> </w:t>
      </w:r>
      <w:r w:rsidR="008E1C87">
        <w:t xml:space="preserve"> </w:t>
      </w:r>
      <w:r>
        <w:t>CAW – 7 (Owens Rebuttal) at 9.</w:t>
      </w:r>
    </w:p>
  </w:footnote>
  <w:footnote w:id="72">
    <w:p w14:paraId="1D69C29E" w14:textId="25D59A9A" w:rsidR="001215FE" w:rsidRDefault="001215FE">
      <w:pPr>
        <w:pStyle w:val="FootnoteText"/>
      </w:pPr>
      <w:r>
        <w:rPr>
          <w:rStyle w:val="FootnoteReference"/>
        </w:rPr>
        <w:footnoteRef/>
      </w:r>
      <w:r>
        <w:t xml:space="preserve"> </w:t>
      </w:r>
      <w:r w:rsidR="008E1C87">
        <w:t xml:space="preserve"> </w:t>
      </w:r>
      <w:r>
        <w:t xml:space="preserve">The Commission sets rates on a prospective basis not on the recovery of actual historical costs.  This is why we set rates on a GRC forecast test year and why we authorize balancing accounts for justifiable but uncertain costs. </w:t>
      </w:r>
      <w:r w:rsidR="008E1C87">
        <w:t xml:space="preserve"> </w:t>
      </w:r>
      <w:r>
        <w:t>Memorandum accounts lack findings on justification and reasonableness.</w:t>
      </w:r>
    </w:p>
  </w:footnote>
  <w:footnote w:id="73">
    <w:p w14:paraId="361CC312" w14:textId="2AA65DB1" w:rsidR="001215FE" w:rsidRDefault="001215FE">
      <w:pPr>
        <w:pStyle w:val="FootnoteText"/>
      </w:pPr>
      <w:r>
        <w:rPr>
          <w:rStyle w:val="FootnoteReference"/>
        </w:rPr>
        <w:footnoteRef/>
      </w:r>
      <w:r>
        <w:t xml:space="preserve"> </w:t>
      </w:r>
      <w:r w:rsidR="008E1C87">
        <w:t xml:space="preserve"> </w:t>
      </w:r>
      <w:r>
        <w:t xml:space="preserve">This decision does not terminate the corporate entity of East Pasadena because this transaction is an asset purchase not a merger of two companies.  </w:t>
      </w:r>
    </w:p>
  </w:footnote>
  <w:footnote w:id="74">
    <w:p w14:paraId="08735EB5" w14:textId="77777777" w:rsidR="00EB3EC5" w:rsidRDefault="00EB3EC5" w:rsidP="00EB3EC5">
      <w:pPr>
        <w:pStyle w:val="FootnoteText"/>
      </w:pPr>
      <w:r>
        <w:rPr>
          <w:rStyle w:val="FootnoteReference"/>
        </w:rPr>
        <w:footnoteRef/>
      </w:r>
      <w:r>
        <w:t xml:space="preserve">  CEQA Guideline § 15060(c)(2)</w:t>
      </w:r>
    </w:p>
  </w:footnote>
  <w:footnote w:id="75">
    <w:p w14:paraId="4D05048B" w14:textId="77777777" w:rsidR="00EB3EC5" w:rsidRDefault="00EB3EC5" w:rsidP="00EB3EC5">
      <w:pPr>
        <w:pStyle w:val="FootnoteText"/>
      </w:pPr>
      <w:r>
        <w:rPr>
          <w:rStyle w:val="FootnoteReference"/>
        </w:rPr>
        <w:footnoteRef/>
      </w:r>
      <w:r>
        <w:t xml:space="preserve">  CEQA Guideline § 15061(b)(3).</w:t>
      </w:r>
    </w:p>
  </w:footnote>
  <w:footnote w:id="76">
    <w:p w14:paraId="671623B4" w14:textId="09C68ABE" w:rsidR="001215FE" w:rsidRPr="00F40958" w:rsidRDefault="001215FE" w:rsidP="00395675">
      <w:pPr>
        <w:pStyle w:val="FootnoteText"/>
        <w:rPr>
          <w:szCs w:val="22"/>
        </w:rPr>
      </w:pPr>
      <w:r w:rsidRPr="00F40958">
        <w:rPr>
          <w:rStyle w:val="FootnoteReference"/>
          <w:szCs w:val="22"/>
        </w:rPr>
        <w:footnoteRef/>
      </w:r>
      <w:r w:rsidRPr="00F40958">
        <w:rPr>
          <w:szCs w:val="22"/>
        </w:rPr>
        <w:t xml:space="preserve">  </w:t>
      </w:r>
      <w:r>
        <w:rPr>
          <w:szCs w:val="22"/>
        </w:rPr>
        <w:t>Cal-Am</w:t>
      </w:r>
      <w:r w:rsidRPr="00F40958">
        <w:rPr>
          <w:szCs w:val="22"/>
        </w:rPr>
        <w:t xml:space="preserve"> </w:t>
      </w:r>
      <w:r>
        <w:rPr>
          <w:szCs w:val="22"/>
        </w:rPr>
        <w:t>Application</w:t>
      </w:r>
      <w:r w:rsidRPr="00F40958">
        <w:rPr>
          <w:szCs w:val="22"/>
        </w:rPr>
        <w:t xml:space="preserve"> at </w:t>
      </w:r>
      <w:r>
        <w:rPr>
          <w:szCs w:val="22"/>
        </w:rPr>
        <w:t>15, 17</w:t>
      </w:r>
      <w:r w:rsidRPr="00F40958">
        <w:rPr>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C2F3F" w14:textId="424652DD" w:rsidR="00D27A5C" w:rsidRPr="001D1BA9" w:rsidRDefault="00D27A5C" w:rsidP="00D27A5C">
    <w:pPr>
      <w:pStyle w:val="Header"/>
      <w:tabs>
        <w:tab w:val="clear" w:pos="4680"/>
      </w:tabs>
      <w:ind w:firstLine="0"/>
      <w:rPr>
        <w:b/>
        <w:bCs/>
        <w:iCs/>
      </w:rPr>
    </w:pPr>
    <w:r>
      <w:rPr>
        <w:iCs/>
      </w:rPr>
      <w:t>A.20-04-003  ALJ/KWZ/JMO/gp2</w:t>
    </w:r>
    <w:r w:rsidR="00F32A33">
      <w:rPr>
        <w:iCs/>
      </w:rPr>
      <w:t>/</w:t>
    </w:r>
    <w:proofErr w:type="spellStart"/>
    <w:r w:rsidR="00F32A33">
      <w:rPr>
        <w:iCs/>
      </w:rPr>
      <w:t>lil</w:t>
    </w:r>
    <w:proofErr w:type="spellEnd"/>
    <w:r>
      <w:rPr>
        <w:iCs/>
      </w:rPr>
      <w:tab/>
    </w:r>
    <w:r>
      <w:rPr>
        <w:b/>
        <w:bCs/>
        <w:iCs/>
      </w:rPr>
      <w:t>PROPOSED DECISION (Rev.</w:t>
    </w:r>
    <w:r w:rsidR="00BE478E">
      <w:rPr>
        <w:b/>
        <w:bCs/>
        <w:iCs/>
      </w:rPr>
      <w:t xml:space="preserve"> 2</w:t>
    </w:r>
    <w:r>
      <w:rPr>
        <w:b/>
        <w:bCs/>
        <w:iCs/>
      </w:rPr>
      <w:t>)</w:t>
    </w:r>
  </w:p>
  <w:p w14:paraId="1900AB6A" w14:textId="5B361FAE" w:rsidR="00D27A5C" w:rsidRDefault="00D27A5C" w:rsidP="00F32A33">
    <w:pPr>
      <w:pStyle w:val="Header"/>
      <w:ind w:firstLine="0"/>
    </w:pPr>
  </w:p>
  <w:p w14:paraId="466A355F" w14:textId="77777777" w:rsidR="00F32A33" w:rsidRDefault="00F32A33" w:rsidP="00F32A33">
    <w:pPr>
      <w:pStyle w:val="Header"/>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14C12" w14:textId="1EE5B58A" w:rsidR="00563F43" w:rsidRPr="001D1BA9" w:rsidRDefault="001D1BA9" w:rsidP="000D1B2C">
    <w:pPr>
      <w:pStyle w:val="Header"/>
      <w:tabs>
        <w:tab w:val="clear" w:pos="4680"/>
      </w:tabs>
      <w:ind w:firstLine="0"/>
      <w:rPr>
        <w:b/>
        <w:bCs/>
        <w:iCs/>
      </w:rPr>
    </w:pPr>
    <w:r>
      <w:rPr>
        <w:iCs/>
      </w:rPr>
      <w:t>A.20-04-003  ALJ/KWZ/JMO/gp2</w:t>
    </w:r>
    <w:r w:rsidR="00F32A33">
      <w:rPr>
        <w:iCs/>
      </w:rPr>
      <w:t>/</w:t>
    </w:r>
    <w:proofErr w:type="spellStart"/>
    <w:r w:rsidR="00F32A33">
      <w:rPr>
        <w:iCs/>
      </w:rPr>
      <w:t>lil</w:t>
    </w:r>
    <w:proofErr w:type="spellEnd"/>
    <w:r>
      <w:rPr>
        <w:iCs/>
      </w:rPr>
      <w:tab/>
    </w:r>
    <w:r>
      <w:rPr>
        <w:b/>
        <w:bCs/>
        <w:iCs/>
      </w:rPr>
      <w:t>PROPOSED DECISION</w:t>
    </w:r>
    <w:r w:rsidR="00D27A5C">
      <w:rPr>
        <w:b/>
        <w:bCs/>
        <w:iCs/>
      </w:rPr>
      <w:t xml:space="preserve"> (Rev.</w:t>
    </w:r>
    <w:r w:rsidR="00BE478E">
      <w:rPr>
        <w:b/>
        <w:bCs/>
        <w:iCs/>
      </w:rPr>
      <w:t xml:space="preserve"> 2</w:t>
    </w:r>
    <w:r w:rsidR="00D27A5C">
      <w:rPr>
        <w:b/>
        <w:bCs/>
        <w:iCs/>
      </w:rPr>
      <w:t>)</w:t>
    </w:r>
  </w:p>
  <w:p w14:paraId="738584D3" w14:textId="06A8EA86" w:rsidR="00563F43" w:rsidRDefault="00563F43" w:rsidP="00F32A33">
    <w:pPr>
      <w:pStyle w:val="Header"/>
      <w:ind w:firstLine="0"/>
    </w:pPr>
  </w:p>
  <w:p w14:paraId="1939C79C" w14:textId="77777777" w:rsidR="00F32A33" w:rsidRDefault="00F32A33" w:rsidP="00F32A33">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A1C77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8652D8"/>
    <w:multiLevelType w:val="hybridMultilevel"/>
    <w:tmpl w:val="CBF861CA"/>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09535A64"/>
    <w:multiLevelType w:val="hybridMultilevel"/>
    <w:tmpl w:val="CAE415BA"/>
    <w:lvl w:ilvl="0" w:tplc="F4AAC5D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36B7A"/>
    <w:multiLevelType w:val="multilevel"/>
    <w:tmpl w:val="D32611D2"/>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0E6F78E2"/>
    <w:multiLevelType w:val="multilevel"/>
    <w:tmpl w:val="DF682B8C"/>
    <w:lvl w:ilvl="0">
      <w:start w:val="10"/>
      <w:numFmt w:val="decimal"/>
      <w:lvlText w:val="%1."/>
      <w:lvlJc w:val="left"/>
      <w:pPr>
        <w:ind w:left="360" w:hanging="360"/>
      </w:pPr>
      <w:rPr>
        <w:rFonts w:ascii="Arial" w:hAnsi="Arial" w:hint="default"/>
        <w:b/>
        <w:bCs/>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ind w:left="144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792"/>
        </w:tabs>
        <w:ind w:left="1440" w:hanging="720"/>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3.%2.%1.%4."/>
      <w:lvlJc w:val="left"/>
      <w:pPr>
        <w:ind w:left="1440" w:hanging="720"/>
      </w:pPr>
      <w:rPr>
        <w:rFonts w:ascii="Arial" w:hAnsi="Arial" w:hint="default"/>
        <w:b/>
        <w:i w:val="0"/>
        <w:caps w:val="0"/>
        <w:strike w:val="0"/>
        <w:dstrike w:val="0"/>
        <w:vanish w:val="0"/>
        <w:kern w:val="0"/>
        <w:sz w:val="26"/>
        <w:vertAlign w:val="baseline"/>
        <w14:cntxtAlts w14: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46C1C14"/>
    <w:multiLevelType w:val="multilevel"/>
    <w:tmpl w:val="18F4A5AC"/>
    <w:styleLink w:val="FoFCoLOP"/>
    <w:lvl w:ilvl="0">
      <w:start w:val="1"/>
      <w:numFmt w:val="decimal"/>
      <w:pStyle w:val="OP"/>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6" w15:restartNumberingAfterBreak="0">
    <w:nsid w:val="149D065D"/>
    <w:multiLevelType w:val="multilevel"/>
    <w:tmpl w:val="AB045BC2"/>
    <w:lvl w:ilvl="0">
      <w:start w:val="1"/>
      <w:numFmt w:val="decimal"/>
      <w:lvlText w:val="%1."/>
      <w:lvlJc w:val="left"/>
      <w:pPr>
        <w:ind w:left="360" w:hanging="36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tabs>
          <w:tab w:val="num" w:pos="720"/>
        </w:tabs>
        <w:ind w:left="1008" w:hanging="648"/>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1440"/>
        </w:tabs>
        <w:ind w:left="1584" w:hanging="864"/>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1.%2.%3.%4."/>
      <w:lvlJc w:val="left"/>
      <w:pPr>
        <w:tabs>
          <w:tab w:val="num" w:pos="2160"/>
        </w:tabs>
        <w:ind w:left="2160" w:hanging="1080"/>
      </w:pPr>
      <w:rPr>
        <w:rFonts w:ascii="Arial" w:hAnsi="Arial" w:hint="default"/>
        <w:b/>
        <w:i w:val="0"/>
        <w:caps w:val="0"/>
        <w:strike w:val="0"/>
        <w:dstrike w:val="0"/>
        <w:vanish w:val="0"/>
        <w:kern w:val="0"/>
        <w:sz w:val="26"/>
        <w:vertAlign w:val="baseline"/>
        <w14:cntxtAlts w14:val="0"/>
      </w:rPr>
    </w:lvl>
    <w:lvl w:ilvl="4">
      <w:start w:val="1"/>
      <w:numFmt w:val="decimal"/>
      <w:lvlText w:val="%1.%2.%3.%4.%5."/>
      <w:lvlJc w:val="left"/>
      <w:pPr>
        <w:tabs>
          <w:tab w:val="num" w:pos="2880"/>
        </w:tabs>
        <w:ind w:left="2736" w:hanging="1296"/>
      </w:pPr>
      <w:rPr>
        <w:rFonts w:ascii="Arial" w:hAnsi="Arial" w:hint="default"/>
        <w:b/>
        <w:i w:val="0"/>
        <w:sz w:val="26"/>
      </w:rPr>
    </w:lvl>
    <w:lvl w:ilvl="5">
      <w:start w:val="1"/>
      <w:numFmt w:val="decimal"/>
      <w:lvlText w:val="%1.%2.%3.%4.%5.%6."/>
      <w:lvlJc w:val="left"/>
      <w:pPr>
        <w:tabs>
          <w:tab w:val="num" w:pos="3600"/>
        </w:tabs>
        <w:ind w:left="3312" w:hanging="1512"/>
      </w:pPr>
      <w:rPr>
        <w:rFonts w:ascii="Arial" w:hAnsi="Arial" w:hint="default"/>
        <w:b/>
        <w:i w:val="0"/>
        <w:sz w:val="26"/>
      </w:rPr>
    </w:lvl>
    <w:lvl w:ilvl="6">
      <w:start w:val="1"/>
      <w:numFmt w:val="decimal"/>
      <w:lvlText w:val="%1.%2.%3.%4.%5.%6.%7."/>
      <w:lvlJc w:val="left"/>
      <w:pPr>
        <w:tabs>
          <w:tab w:val="num" w:pos="4320"/>
        </w:tabs>
        <w:ind w:left="5760" w:hanging="1440"/>
      </w:pPr>
      <w:rPr>
        <w:rFonts w:ascii="Arial" w:hAnsi="Arial" w:hint="default"/>
        <w:b/>
        <w:i w:val="0"/>
        <w:sz w:val="26"/>
      </w:rPr>
    </w:lvl>
    <w:lvl w:ilvl="7">
      <w:start w:val="1"/>
      <w:numFmt w:val="upperLetter"/>
      <w:lvlText w:val="%8."/>
      <w:lvlJc w:val="left"/>
      <w:pPr>
        <w:ind w:left="1080" w:hanging="360"/>
      </w:pPr>
      <w:rPr>
        <w:rFonts w:hint="default"/>
        <w:sz w:val="26"/>
      </w:rPr>
    </w:lvl>
    <w:lvl w:ilvl="8">
      <w:start w:val="1"/>
      <w:numFmt w:val="none"/>
      <w:lvlText w:val=""/>
      <w:lvlJc w:val="left"/>
      <w:pPr>
        <w:ind w:left="3240" w:hanging="360"/>
      </w:pPr>
      <w:rPr>
        <w:rFonts w:hint="default"/>
      </w:rPr>
    </w:lvl>
  </w:abstractNum>
  <w:abstractNum w:abstractNumId="7" w15:restartNumberingAfterBreak="0">
    <w:nsid w:val="15F056CB"/>
    <w:multiLevelType w:val="multilevel"/>
    <w:tmpl w:val="18F4A5AC"/>
    <w:numStyleLink w:val="FoFCoLOP"/>
  </w:abstractNum>
  <w:abstractNum w:abstractNumId="8" w15:restartNumberingAfterBreak="0">
    <w:nsid w:val="15FD5084"/>
    <w:multiLevelType w:val="multilevel"/>
    <w:tmpl w:val="58400C4E"/>
    <w:lvl w:ilvl="0">
      <w:start w:val="1"/>
      <w:numFmt w:val="decimal"/>
      <w:lvlText w:val="%1."/>
      <w:lvlJc w:val="left"/>
      <w:pPr>
        <w:ind w:left="360" w:hanging="36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tabs>
          <w:tab w:val="num" w:pos="720"/>
        </w:tabs>
        <w:ind w:left="1008" w:hanging="648"/>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1440"/>
        </w:tabs>
        <w:ind w:left="1584" w:hanging="864"/>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1.%2.%3.%4."/>
      <w:lvlJc w:val="left"/>
      <w:pPr>
        <w:tabs>
          <w:tab w:val="num" w:pos="2160"/>
        </w:tabs>
        <w:ind w:left="2160" w:hanging="1080"/>
      </w:pPr>
      <w:rPr>
        <w:rFonts w:ascii="Arial" w:hAnsi="Arial" w:hint="default"/>
        <w:b/>
        <w:i w:val="0"/>
        <w:caps w:val="0"/>
        <w:strike w:val="0"/>
        <w:dstrike w:val="0"/>
        <w:vanish w:val="0"/>
        <w:kern w:val="0"/>
        <w:sz w:val="26"/>
        <w:vertAlign w:val="baseline"/>
        <w14:cntxtAlts w14:val="0"/>
      </w:rPr>
    </w:lvl>
    <w:lvl w:ilvl="4">
      <w:start w:val="1"/>
      <w:numFmt w:val="decimal"/>
      <w:lvlText w:val="%1.%2.%3.%4.%5."/>
      <w:lvlJc w:val="left"/>
      <w:pPr>
        <w:tabs>
          <w:tab w:val="num" w:pos="2880"/>
        </w:tabs>
        <w:ind w:left="2736" w:hanging="1296"/>
      </w:pPr>
      <w:rPr>
        <w:rFonts w:ascii="Arial" w:hAnsi="Arial" w:hint="default"/>
        <w:b/>
        <w:i w:val="0"/>
        <w:sz w:val="26"/>
      </w:rPr>
    </w:lvl>
    <w:lvl w:ilvl="5">
      <w:start w:val="1"/>
      <w:numFmt w:val="decimal"/>
      <w:lvlText w:val="%1.%2.%3.%4.%5.%6."/>
      <w:lvlJc w:val="left"/>
      <w:pPr>
        <w:tabs>
          <w:tab w:val="num" w:pos="3600"/>
        </w:tabs>
        <w:ind w:left="3312" w:hanging="1512"/>
      </w:pPr>
      <w:rPr>
        <w:rFonts w:ascii="Arial" w:hAnsi="Arial" w:hint="default"/>
        <w:b/>
        <w:i w:val="0"/>
        <w:sz w:val="26"/>
      </w:rPr>
    </w:lvl>
    <w:lvl w:ilvl="6">
      <w:start w:val="1"/>
      <w:numFmt w:val="decimal"/>
      <w:lvlText w:val="%1.%2.%3.%4.%5.%6.%7."/>
      <w:lvlJc w:val="left"/>
      <w:pPr>
        <w:tabs>
          <w:tab w:val="num" w:pos="4320"/>
        </w:tabs>
        <w:ind w:left="5760" w:hanging="1440"/>
      </w:pPr>
      <w:rPr>
        <w:rFonts w:ascii="Arial" w:hAnsi="Arial" w:hint="default"/>
        <w:b/>
        <w:i w:val="0"/>
        <w:sz w:val="26"/>
      </w:rPr>
    </w:lvl>
    <w:lvl w:ilvl="7">
      <w:start w:val="1"/>
      <w:numFmt w:val="upperLetter"/>
      <w:lvlText w:val="%8."/>
      <w:lvlJc w:val="left"/>
      <w:pPr>
        <w:ind w:left="1080" w:hanging="360"/>
      </w:pPr>
      <w:rPr>
        <w:rFonts w:hint="default"/>
        <w:sz w:val="26"/>
      </w:rPr>
    </w:lvl>
    <w:lvl w:ilvl="8">
      <w:start w:val="1"/>
      <w:numFmt w:val="none"/>
      <w:lvlText w:val=""/>
      <w:lvlJc w:val="left"/>
      <w:pPr>
        <w:ind w:left="3240" w:hanging="360"/>
      </w:pPr>
      <w:rPr>
        <w:rFonts w:hint="default"/>
      </w:rPr>
    </w:lvl>
  </w:abstractNum>
  <w:abstractNum w:abstractNumId="9" w15:restartNumberingAfterBreak="0">
    <w:nsid w:val="161F69AF"/>
    <w:multiLevelType w:val="hybridMultilevel"/>
    <w:tmpl w:val="8ED270DA"/>
    <w:lvl w:ilvl="0" w:tplc="9444A3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1966CF"/>
    <w:multiLevelType w:val="hybridMultilevel"/>
    <w:tmpl w:val="FCE201FC"/>
    <w:lvl w:ilvl="0" w:tplc="479215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70038F"/>
    <w:multiLevelType w:val="multilevel"/>
    <w:tmpl w:val="D076BD42"/>
    <w:numStyleLink w:val="Headings"/>
  </w:abstractNum>
  <w:abstractNum w:abstractNumId="12" w15:restartNumberingAfterBreak="0">
    <w:nsid w:val="1DBE2FE9"/>
    <w:multiLevelType w:val="hybridMultilevel"/>
    <w:tmpl w:val="52866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2242C9"/>
    <w:multiLevelType w:val="multilevel"/>
    <w:tmpl w:val="D076BD42"/>
    <w:numStyleLink w:val="Headings"/>
  </w:abstractNum>
  <w:abstractNum w:abstractNumId="14" w15:restartNumberingAfterBreak="0">
    <w:nsid w:val="1E875B59"/>
    <w:multiLevelType w:val="hybridMultilevel"/>
    <w:tmpl w:val="3B385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4C67EED"/>
    <w:multiLevelType w:val="hybridMultilevel"/>
    <w:tmpl w:val="21CA919E"/>
    <w:lvl w:ilvl="0" w:tplc="530A408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50D0D10"/>
    <w:multiLevelType w:val="multilevel"/>
    <w:tmpl w:val="3C7814F2"/>
    <w:lvl w:ilvl="0">
      <w:start w:val="1"/>
      <w:numFmt w:val="decimal"/>
      <w:lvlText w:val="%1."/>
      <w:lvlJc w:val="left"/>
      <w:pPr>
        <w:ind w:left="360" w:hanging="36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tabs>
          <w:tab w:val="num" w:pos="720"/>
        </w:tabs>
        <w:ind w:left="1008" w:hanging="648"/>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1440"/>
        </w:tabs>
        <w:ind w:left="1584" w:hanging="864"/>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1.%2.%3.%4."/>
      <w:lvlJc w:val="left"/>
      <w:pPr>
        <w:tabs>
          <w:tab w:val="num" w:pos="2160"/>
        </w:tabs>
        <w:ind w:left="2160" w:hanging="1080"/>
      </w:pPr>
      <w:rPr>
        <w:rFonts w:ascii="Arial" w:hAnsi="Arial" w:hint="default"/>
        <w:b/>
        <w:i w:val="0"/>
        <w:caps w:val="0"/>
        <w:strike w:val="0"/>
        <w:dstrike w:val="0"/>
        <w:vanish w:val="0"/>
        <w:kern w:val="0"/>
        <w:sz w:val="26"/>
        <w:vertAlign w:val="baseline"/>
        <w14:cntxtAlts w14:val="0"/>
      </w:rPr>
    </w:lvl>
    <w:lvl w:ilvl="4">
      <w:start w:val="1"/>
      <w:numFmt w:val="decimal"/>
      <w:lvlText w:val="%1.%2.%3.%4.%5."/>
      <w:lvlJc w:val="left"/>
      <w:pPr>
        <w:tabs>
          <w:tab w:val="num" w:pos="2880"/>
        </w:tabs>
        <w:ind w:left="2736" w:hanging="1296"/>
      </w:pPr>
      <w:rPr>
        <w:rFonts w:ascii="Arial" w:hAnsi="Arial" w:hint="default"/>
        <w:b/>
        <w:i w:val="0"/>
        <w:sz w:val="26"/>
      </w:rPr>
    </w:lvl>
    <w:lvl w:ilvl="5">
      <w:start w:val="1"/>
      <w:numFmt w:val="decimal"/>
      <w:lvlText w:val="%1.%2.%3.%4.%5.%6."/>
      <w:lvlJc w:val="left"/>
      <w:pPr>
        <w:tabs>
          <w:tab w:val="num" w:pos="3600"/>
        </w:tabs>
        <w:ind w:left="3312" w:hanging="1512"/>
      </w:pPr>
      <w:rPr>
        <w:rFonts w:ascii="Arial" w:hAnsi="Arial" w:hint="default"/>
        <w:b/>
        <w:i w:val="0"/>
        <w:sz w:val="26"/>
      </w:rPr>
    </w:lvl>
    <w:lvl w:ilvl="6">
      <w:start w:val="1"/>
      <w:numFmt w:val="decimal"/>
      <w:lvlText w:val="%1.%2.%3.%4.%5.%6.%7."/>
      <w:lvlJc w:val="left"/>
      <w:pPr>
        <w:tabs>
          <w:tab w:val="num" w:pos="4320"/>
        </w:tabs>
        <w:ind w:left="5760" w:hanging="1440"/>
      </w:pPr>
      <w:rPr>
        <w:rFonts w:ascii="Arial" w:hAnsi="Arial" w:hint="default"/>
        <w:b/>
        <w:i w:val="0"/>
        <w:sz w:val="26"/>
      </w:rPr>
    </w:lvl>
    <w:lvl w:ilvl="7">
      <w:start w:val="5"/>
      <w:numFmt w:val="upperLetter"/>
      <w:lvlText w:val="%8."/>
      <w:lvlJc w:val="left"/>
      <w:pPr>
        <w:ind w:left="1080" w:hanging="360"/>
      </w:pPr>
      <w:rPr>
        <w:rFonts w:hint="default"/>
        <w:sz w:val="26"/>
      </w:rPr>
    </w:lvl>
    <w:lvl w:ilvl="8">
      <w:start w:val="1"/>
      <w:numFmt w:val="none"/>
      <w:lvlText w:val=""/>
      <w:lvlJc w:val="left"/>
      <w:pPr>
        <w:ind w:left="3240" w:hanging="360"/>
      </w:pPr>
      <w:rPr>
        <w:rFonts w:hint="default"/>
      </w:rPr>
    </w:lvl>
  </w:abstractNum>
  <w:abstractNum w:abstractNumId="17" w15:restartNumberingAfterBreak="0">
    <w:nsid w:val="2C4F0584"/>
    <w:multiLevelType w:val="hybridMultilevel"/>
    <w:tmpl w:val="B7D623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63545B"/>
    <w:multiLevelType w:val="multilevel"/>
    <w:tmpl w:val="D7C8A824"/>
    <w:lvl w:ilvl="0">
      <w:start w:val="1"/>
      <w:numFmt w:val="decimal"/>
      <w:lvlText w:val="%1."/>
      <w:lvlJc w:val="left"/>
      <w:pPr>
        <w:ind w:left="360" w:hanging="36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tabs>
          <w:tab w:val="num" w:pos="720"/>
        </w:tabs>
        <w:ind w:left="1008" w:hanging="648"/>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1440"/>
        </w:tabs>
        <w:ind w:left="1584" w:hanging="864"/>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1.%2.%3.%4."/>
      <w:lvlJc w:val="left"/>
      <w:pPr>
        <w:tabs>
          <w:tab w:val="num" w:pos="2160"/>
        </w:tabs>
        <w:ind w:left="2160" w:hanging="1080"/>
      </w:pPr>
      <w:rPr>
        <w:rFonts w:ascii="Arial" w:hAnsi="Arial" w:hint="default"/>
        <w:b/>
        <w:i w:val="0"/>
        <w:caps w:val="0"/>
        <w:strike w:val="0"/>
        <w:dstrike w:val="0"/>
        <w:vanish w:val="0"/>
        <w:kern w:val="0"/>
        <w:sz w:val="26"/>
        <w:vertAlign w:val="baseline"/>
        <w14:cntxtAlts w14:val="0"/>
      </w:rPr>
    </w:lvl>
    <w:lvl w:ilvl="4">
      <w:start w:val="1"/>
      <w:numFmt w:val="decimal"/>
      <w:lvlText w:val="%1.%2.%3.%4.%5."/>
      <w:lvlJc w:val="left"/>
      <w:pPr>
        <w:tabs>
          <w:tab w:val="num" w:pos="2880"/>
        </w:tabs>
        <w:ind w:left="2736" w:hanging="1296"/>
      </w:pPr>
      <w:rPr>
        <w:rFonts w:ascii="Arial" w:hAnsi="Arial" w:hint="default"/>
        <w:b/>
        <w:i w:val="0"/>
        <w:sz w:val="26"/>
      </w:rPr>
    </w:lvl>
    <w:lvl w:ilvl="5">
      <w:start w:val="1"/>
      <w:numFmt w:val="decimal"/>
      <w:lvlText w:val="%1.%2.%3.%4.%5.%6."/>
      <w:lvlJc w:val="left"/>
      <w:pPr>
        <w:tabs>
          <w:tab w:val="num" w:pos="3600"/>
        </w:tabs>
        <w:ind w:left="3312" w:hanging="1512"/>
      </w:pPr>
      <w:rPr>
        <w:rFonts w:ascii="Arial" w:hAnsi="Arial" w:hint="default"/>
        <w:b/>
        <w:i w:val="0"/>
        <w:sz w:val="26"/>
      </w:rPr>
    </w:lvl>
    <w:lvl w:ilvl="6">
      <w:start w:val="1"/>
      <w:numFmt w:val="decimal"/>
      <w:lvlText w:val="%1.%2.%3.%4.%5.%6.%7."/>
      <w:lvlJc w:val="left"/>
      <w:pPr>
        <w:tabs>
          <w:tab w:val="num" w:pos="4320"/>
        </w:tabs>
        <w:ind w:left="5760" w:hanging="1440"/>
      </w:pPr>
      <w:rPr>
        <w:rFonts w:ascii="Arial" w:hAnsi="Arial" w:hint="default"/>
        <w:b/>
        <w:i w:val="0"/>
        <w:sz w:val="26"/>
      </w:rPr>
    </w:lvl>
    <w:lvl w:ilvl="7">
      <w:start w:val="1"/>
      <w:numFmt w:val="lowerLetter"/>
      <w:lvlText w:val="%8)"/>
      <w:lvlJc w:val="left"/>
      <w:pPr>
        <w:ind w:left="1080" w:hanging="360"/>
      </w:pPr>
      <w:rPr>
        <w:rFonts w:hint="default"/>
        <w:sz w:val="26"/>
      </w:rPr>
    </w:lvl>
    <w:lvl w:ilvl="8">
      <w:start w:val="1"/>
      <w:numFmt w:val="none"/>
      <w:lvlText w:val=""/>
      <w:lvlJc w:val="left"/>
      <w:pPr>
        <w:ind w:left="3240" w:hanging="360"/>
      </w:pPr>
      <w:rPr>
        <w:rFonts w:hint="default"/>
      </w:rPr>
    </w:lvl>
  </w:abstractNum>
  <w:abstractNum w:abstractNumId="19" w15:restartNumberingAfterBreak="0">
    <w:nsid w:val="331F6D42"/>
    <w:multiLevelType w:val="multilevel"/>
    <w:tmpl w:val="D076BD42"/>
    <w:styleLink w:val="Headings"/>
    <w:lvl w:ilvl="0">
      <w:start w:val="1"/>
      <w:numFmt w:val="decimal"/>
      <w:pStyle w:val="Heading1"/>
      <w:lvlText w:val="%1."/>
      <w:lvlJc w:val="left"/>
      <w:pPr>
        <w:ind w:left="360" w:hanging="36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pStyle w:val="Heading2"/>
      <w:lvlText w:val="%1.%2."/>
      <w:lvlJc w:val="left"/>
      <w:pPr>
        <w:tabs>
          <w:tab w:val="num" w:pos="720"/>
        </w:tabs>
        <w:ind w:left="1008" w:hanging="648"/>
      </w:pPr>
      <w:rPr>
        <w:rFonts w:ascii="Arial" w:hAnsi="Arial" w:hint="default"/>
        <w:b/>
        <w:i w:val="0"/>
        <w:caps w:val="0"/>
        <w:strike w:val="0"/>
        <w:dstrike w:val="0"/>
        <w:vanish w:val="0"/>
        <w:color w:val="auto"/>
        <w:kern w:val="0"/>
        <w:sz w:val="26"/>
        <w:u w:val="none"/>
        <w:vertAlign w:val="baseline"/>
        <w14:cntxtAlts w14:val="0"/>
      </w:rPr>
    </w:lvl>
    <w:lvl w:ilvl="2">
      <w:start w:val="1"/>
      <w:numFmt w:val="decimal"/>
      <w:pStyle w:val="Heading3"/>
      <w:lvlText w:val="%1.%2.%3."/>
      <w:lvlJc w:val="left"/>
      <w:pPr>
        <w:tabs>
          <w:tab w:val="num" w:pos="1440"/>
        </w:tabs>
        <w:ind w:left="1584" w:hanging="864"/>
      </w:pPr>
      <w:rPr>
        <w:rFonts w:ascii="Arial" w:hAnsi="Arial" w:hint="default"/>
        <w:b/>
        <w:i w:val="0"/>
        <w:caps w:val="0"/>
        <w:strike w:val="0"/>
        <w:dstrike w:val="0"/>
        <w:vanish w:val="0"/>
        <w:color w:val="auto"/>
        <w:kern w:val="0"/>
        <w:sz w:val="26"/>
        <w:u w:val="none"/>
        <w:vertAlign w:val="baseline"/>
        <w14:cntxtAlts w14:val="0"/>
      </w:rPr>
    </w:lvl>
    <w:lvl w:ilvl="3">
      <w:start w:val="1"/>
      <w:numFmt w:val="decimal"/>
      <w:pStyle w:val="Heading4"/>
      <w:lvlText w:val="%1.%2.%3.%4."/>
      <w:lvlJc w:val="left"/>
      <w:pPr>
        <w:tabs>
          <w:tab w:val="num" w:pos="2160"/>
        </w:tabs>
        <w:ind w:left="2160" w:hanging="1080"/>
      </w:pPr>
      <w:rPr>
        <w:rFonts w:ascii="Arial" w:hAnsi="Arial" w:hint="default"/>
        <w:b/>
        <w:i w:val="0"/>
        <w:caps w:val="0"/>
        <w:strike w:val="0"/>
        <w:dstrike w:val="0"/>
        <w:vanish w:val="0"/>
        <w:kern w:val="0"/>
        <w:sz w:val="26"/>
        <w:vertAlign w:val="baseline"/>
        <w14:cntxtAlts w14:val="0"/>
      </w:rPr>
    </w:lvl>
    <w:lvl w:ilvl="4">
      <w:start w:val="1"/>
      <w:numFmt w:val="decimal"/>
      <w:pStyle w:val="Heading5"/>
      <w:lvlText w:val="%1.%2.%3.%4.%5."/>
      <w:lvlJc w:val="left"/>
      <w:pPr>
        <w:tabs>
          <w:tab w:val="num" w:pos="2880"/>
        </w:tabs>
        <w:ind w:left="2736" w:hanging="1296"/>
      </w:pPr>
      <w:rPr>
        <w:rFonts w:ascii="Arial" w:hAnsi="Arial" w:hint="default"/>
        <w:b/>
        <w:i w:val="0"/>
        <w:sz w:val="26"/>
      </w:rPr>
    </w:lvl>
    <w:lvl w:ilvl="5">
      <w:start w:val="1"/>
      <w:numFmt w:val="decimal"/>
      <w:pStyle w:val="Heading6"/>
      <w:lvlText w:val="%1.%2.%3.%4.%5.%6."/>
      <w:lvlJc w:val="left"/>
      <w:pPr>
        <w:tabs>
          <w:tab w:val="num" w:pos="3600"/>
        </w:tabs>
        <w:ind w:left="3312" w:hanging="1512"/>
      </w:pPr>
      <w:rPr>
        <w:rFonts w:ascii="Arial" w:hAnsi="Arial" w:hint="default"/>
        <w:b/>
        <w:i w:val="0"/>
        <w:sz w:val="26"/>
      </w:rPr>
    </w:lvl>
    <w:lvl w:ilvl="6">
      <w:start w:val="1"/>
      <w:numFmt w:val="decimal"/>
      <w:lvlText w:val="%1.%2.%3.%4.%5.%6.%7."/>
      <w:lvlJc w:val="left"/>
      <w:pPr>
        <w:tabs>
          <w:tab w:val="num" w:pos="4320"/>
        </w:tabs>
        <w:ind w:left="5760" w:hanging="1440"/>
      </w:pPr>
      <w:rPr>
        <w:rFonts w:ascii="Arial" w:hAnsi="Arial" w:hint="default"/>
        <w:b/>
        <w:i w:val="0"/>
        <w:sz w:val="26"/>
      </w:rPr>
    </w:lvl>
    <w:lvl w:ilvl="7">
      <w:start w:val="1"/>
      <w:numFmt w:val="lowerLetter"/>
      <w:pStyle w:val="ListAlpha"/>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20" w15:restartNumberingAfterBreak="0">
    <w:nsid w:val="3636766E"/>
    <w:multiLevelType w:val="hybridMultilevel"/>
    <w:tmpl w:val="7DACB990"/>
    <w:lvl w:ilvl="0" w:tplc="F4AAC5D2">
      <w:start w:val="1"/>
      <w:numFmt w:val="decimal"/>
      <w:lvlText w:val="%1."/>
      <w:lvlJc w:val="left"/>
      <w:pPr>
        <w:ind w:left="630" w:hanging="36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91B0497"/>
    <w:multiLevelType w:val="multilevel"/>
    <w:tmpl w:val="6AE07C2A"/>
    <w:lvl w:ilvl="0">
      <w:start w:val="4"/>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00115F5"/>
    <w:multiLevelType w:val="hybridMultilevel"/>
    <w:tmpl w:val="1898092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33B0081"/>
    <w:multiLevelType w:val="multilevel"/>
    <w:tmpl w:val="FE9E9896"/>
    <w:lvl w:ilvl="0">
      <w:start w:val="1"/>
      <w:numFmt w:val="decimal"/>
      <w:lvlText w:val="%1."/>
      <w:lvlJc w:val="left"/>
      <w:pPr>
        <w:ind w:left="360" w:hanging="36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tabs>
          <w:tab w:val="num" w:pos="720"/>
        </w:tabs>
        <w:ind w:left="1008" w:hanging="648"/>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1440"/>
        </w:tabs>
        <w:ind w:left="1584" w:hanging="864"/>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1.%2.%3.%4."/>
      <w:lvlJc w:val="left"/>
      <w:pPr>
        <w:tabs>
          <w:tab w:val="num" w:pos="2160"/>
        </w:tabs>
        <w:ind w:left="2160" w:hanging="1080"/>
      </w:pPr>
      <w:rPr>
        <w:rFonts w:ascii="Arial" w:hAnsi="Arial" w:hint="default"/>
        <w:b/>
        <w:i w:val="0"/>
        <w:caps w:val="0"/>
        <w:strike w:val="0"/>
        <w:dstrike w:val="0"/>
        <w:vanish w:val="0"/>
        <w:kern w:val="0"/>
        <w:sz w:val="26"/>
        <w:vertAlign w:val="baseline"/>
        <w14:cntxtAlts w14:val="0"/>
      </w:rPr>
    </w:lvl>
    <w:lvl w:ilvl="4">
      <w:start w:val="1"/>
      <w:numFmt w:val="decimal"/>
      <w:lvlText w:val="%1.%2.%3.%4.%5."/>
      <w:lvlJc w:val="left"/>
      <w:pPr>
        <w:tabs>
          <w:tab w:val="num" w:pos="2880"/>
        </w:tabs>
        <w:ind w:left="2736" w:hanging="1296"/>
      </w:pPr>
      <w:rPr>
        <w:rFonts w:ascii="Arial" w:hAnsi="Arial" w:hint="default"/>
        <w:b/>
        <w:i w:val="0"/>
        <w:sz w:val="26"/>
      </w:rPr>
    </w:lvl>
    <w:lvl w:ilvl="5">
      <w:start w:val="1"/>
      <w:numFmt w:val="decimal"/>
      <w:lvlText w:val="%1.%2.%3.%4.%5.%6."/>
      <w:lvlJc w:val="left"/>
      <w:pPr>
        <w:tabs>
          <w:tab w:val="num" w:pos="3600"/>
        </w:tabs>
        <w:ind w:left="3312" w:hanging="1512"/>
      </w:pPr>
      <w:rPr>
        <w:rFonts w:ascii="Arial" w:hAnsi="Arial" w:hint="default"/>
        <w:b/>
        <w:i w:val="0"/>
        <w:sz w:val="26"/>
      </w:rPr>
    </w:lvl>
    <w:lvl w:ilvl="6">
      <w:start w:val="1"/>
      <w:numFmt w:val="decimal"/>
      <w:lvlText w:val="%1.%2.%3.%4.%5.%6.%7."/>
      <w:lvlJc w:val="left"/>
      <w:pPr>
        <w:tabs>
          <w:tab w:val="num" w:pos="4320"/>
        </w:tabs>
        <w:ind w:left="5760" w:hanging="1440"/>
      </w:pPr>
      <w:rPr>
        <w:rFonts w:ascii="Arial" w:hAnsi="Arial" w:hint="default"/>
        <w:b/>
        <w:i w:val="0"/>
        <w:sz w:val="26"/>
      </w:rPr>
    </w:lvl>
    <w:lvl w:ilvl="7">
      <w:start w:val="3"/>
      <w:numFmt w:val="upperLetter"/>
      <w:lvlText w:val="%8."/>
      <w:lvlJc w:val="left"/>
      <w:pPr>
        <w:ind w:left="1080" w:hanging="360"/>
      </w:pPr>
      <w:rPr>
        <w:rFonts w:hint="default"/>
        <w:sz w:val="26"/>
      </w:rPr>
    </w:lvl>
    <w:lvl w:ilvl="8">
      <w:start w:val="1"/>
      <w:numFmt w:val="none"/>
      <w:lvlText w:val=""/>
      <w:lvlJc w:val="left"/>
      <w:pPr>
        <w:ind w:left="3240" w:hanging="360"/>
      </w:pPr>
      <w:rPr>
        <w:rFonts w:hint="default"/>
      </w:rPr>
    </w:lvl>
  </w:abstractNum>
  <w:abstractNum w:abstractNumId="24" w15:restartNumberingAfterBreak="0">
    <w:nsid w:val="4D2D0BF7"/>
    <w:multiLevelType w:val="multilevel"/>
    <w:tmpl w:val="52A62B3E"/>
    <w:lvl w:ilvl="0">
      <w:start w:val="1"/>
      <w:numFmt w:val="decimal"/>
      <w:lvlText w:val="%1."/>
      <w:lvlJc w:val="left"/>
      <w:pPr>
        <w:ind w:left="360" w:hanging="36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tabs>
          <w:tab w:val="num" w:pos="720"/>
        </w:tabs>
        <w:ind w:left="1008" w:hanging="648"/>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1440"/>
        </w:tabs>
        <w:ind w:left="1584" w:hanging="864"/>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1.%2.%3.%4."/>
      <w:lvlJc w:val="left"/>
      <w:pPr>
        <w:tabs>
          <w:tab w:val="num" w:pos="2160"/>
        </w:tabs>
        <w:ind w:left="2160" w:hanging="1080"/>
      </w:pPr>
      <w:rPr>
        <w:rFonts w:ascii="Arial" w:hAnsi="Arial" w:hint="default"/>
        <w:b/>
        <w:i w:val="0"/>
        <w:caps w:val="0"/>
        <w:strike w:val="0"/>
        <w:dstrike w:val="0"/>
        <w:vanish w:val="0"/>
        <w:kern w:val="0"/>
        <w:sz w:val="26"/>
        <w:vertAlign w:val="baseline"/>
        <w14:cntxtAlts w14:val="0"/>
      </w:rPr>
    </w:lvl>
    <w:lvl w:ilvl="4">
      <w:start w:val="1"/>
      <w:numFmt w:val="decimal"/>
      <w:lvlText w:val="%1.%2.%3.%4.%5."/>
      <w:lvlJc w:val="left"/>
      <w:pPr>
        <w:tabs>
          <w:tab w:val="num" w:pos="2880"/>
        </w:tabs>
        <w:ind w:left="2736" w:hanging="1296"/>
      </w:pPr>
      <w:rPr>
        <w:rFonts w:ascii="Arial" w:hAnsi="Arial" w:hint="default"/>
        <w:b/>
        <w:i w:val="0"/>
        <w:sz w:val="26"/>
      </w:rPr>
    </w:lvl>
    <w:lvl w:ilvl="5">
      <w:start w:val="1"/>
      <w:numFmt w:val="decimal"/>
      <w:lvlText w:val="%1.%2.%3.%4.%5.%6."/>
      <w:lvlJc w:val="left"/>
      <w:pPr>
        <w:tabs>
          <w:tab w:val="num" w:pos="3600"/>
        </w:tabs>
        <w:ind w:left="3312" w:hanging="1512"/>
      </w:pPr>
      <w:rPr>
        <w:rFonts w:ascii="Arial" w:hAnsi="Arial" w:hint="default"/>
        <w:b/>
        <w:i w:val="0"/>
        <w:sz w:val="26"/>
      </w:rPr>
    </w:lvl>
    <w:lvl w:ilvl="6">
      <w:start w:val="1"/>
      <w:numFmt w:val="decimal"/>
      <w:lvlText w:val="%1.%2.%3.%4.%5.%6.%7."/>
      <w:lvlJc w:val="left"/>
      <w:pPr>
        <w:tabs>
          <w:tab w:val="num" w:pos="4320"/>
        </w:tabs>
        <w:ind w:left="5760" w:hanging="1440"/>
      </w:pPr>
      <w:rPr>
        <w:rFonts w:ascii="Arial" w:hAnsi="Arial" w:hint="default"/>
        <w:b/>
        <w:i w:val="0"/>
        <w:sz w:val="26"/>
      </w:rPr>
    </w:lvl>
    <w:lvl w:ilvl="7">
      <w:start w:val="1"/>
      <w:numFmt w:val="lowerLetter"/>
      <w:lvlText w:val="%8)"/>
      <w:lvlJc w:val="left"/>
      <w:pPr>
        <w:ind w:left="1080" w:hanging="360"/>
      </w:pPr>
      <w:rPr>
        <w:rFonts w:hint="default"/>
        <w:sz w:val="26"/>
      </w:rPr>
    </w:lvl>
    <w:lvl w:ilvl="8">
      <w:start w:val="1"/>
      <w:numFmt w:val="none"/>
      <w:lvlText w:val=""/>
      <w:lvlJc w:val="left"/>
      <w:pPr>
        <w:ind w:left="3240" w:hanging="360"/>
      </w:pPr>
      <w:rPr>
        <w:rFonts w:hint="default"/>
      </w:rPr>
    </w:lvl>
  </w:abstractNum>
  <w:abstractNum w:abstractNumId="25" w15:restartNumberingAfterBreak="0">
    <w:nsid w:val="59D042D7"/>
    <w:multiLevelType w:val="multilevel"/>
    <w:tmpl w:val="18F4A5AC"/>
    <w:numStyleLink w:val="FoFCoLOP"/>
  </w:abstractNum>
  <w:abstractNum w:abstractNumId="26" w15:restartNumberingAfterBreak="0">
    <w:nsid w:val="5A9E2171"/>
    <w:multiLevelType w:val="multilevel"/>
    <w:tmpl w:val="4D6CA8F0"/>
    <w:lvl w:ilvl="0">
      <w:start w:val="1"/>
      <w:numFmt w:val="decimal"/>
      <w:lvlText w:val="%1."/>
      <w:lvlJc w:val="left"/>
      <w:pPr>
        <w:ind w:left="360" w:hanging="360"/>
      </w:pPr>
      <w:rPr>
        <w:rFonts w:ascii="Arial" w:hAnsi="Arial" w:hint="default"/>
        <w:b/>
        <w:bCs/>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ind w:left="144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792"/>
        </w:tabs>
        <w:ind w:left="1440" w:hanging="720"/>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3.%2.%1.%4."/>
      <w:lvlJc w:val="left"/>
      <w:pPr>
        <w:ind w:left="1440" w:hanging="720"/>
      </w:pPr>
      <w:rPr>
        <w:rFonts w:ascii="Arial" w:hAnsi="Arial" w:hint="default"/>
        <w:b/>
        <w:i w:val="0"/>
        <w:caps w:val="0"/>
        <w:strike w:val="0"/>
        <w:dstrike w:val="0"/>
        <w:vanish w:val="0"/>
        <w:kern w:val="0"/>
        <w:sz w:val="26"/>
        <w:vertAlign w:val="baseline"/>
        <w14:cntxtAlts w14: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10F3C24"/>
    <w:multiLevelType w:val="hybridMultilevel"/>
    <w:tmpl w:val="0388B1AC"/>
    <w:lvl w:ilvl="0" w:tplc="8DC0801A">
      <w:start w:val="1"/>
      <w:numFmt w:val="decimal"/>
      <w:lvlText w:val="%1."/>
      <w:lvlJc w:val="left"/>
      <w:pPr>
        <w:ind w:left="1170" w:hanging="360"/>
      </w:pPr>
      <w:rPr>
        <w:rFonts w:hint="default"/>
        <w:b w:val="0"/>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8DC0801A">
      <w:start w:val="1"/>
      <w:numFmt w:val="decimal"/>
      <w:lvlText w:val="%4."/>
      <w:lvlJc w:val="left"/>
      <w:pPr>
        <w:ind w:left="3330" w:hanging="360"/>
      </w:pPr>
      <w:rPr>
        <w:rFonts w:hint="default"/>
        <w:b w:val="0"/>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61A25780"/>
    <w:multiLevelType w:val="multilevel"/>
    <w:tmpl w:val="3C526EDE"/>
    <w:lvl w:ilvl="0">
      <w:start w:val="1"/>
      <w:numFmt w:val="decimal"/>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lvlText w:val="%1.%2.%3.%4.%5."/>
      <w:lvlJc w:val="left"/>
      <w:pPr>
        <w:tabs>
          <w:tab w:val="num" w:pos="2880"/>
        </w:tabs>
        <w:ind w:left="2880" w:hanging="1440"/>
      </w:pPr>
      <w:rPr>
        <w:rFonts w:ascii="Arial" w:hAnsi="Arial" w:hint="default"/>
        <w:b/>
        <w:i w:val="0"/>
        <w:sz w:val="26"/>
      </w:rPr>
    </w:lvl>
    <w:lvl w:ilvl="5">
      <w:start w:val="1"/>
      <w:numFmt w:val="decimal"/>
      <w:lvlText w:val="%1.%2.%3.%4.%5.%6."/>
      <w:lvlJc w:val="left"/>
      <w:pPr>
        <w:tabs>
          <w:tab w:val="num" w:pos="3528"/>
        </w:tabs>
        <w:ind w:left="3528" w:hanging="1728"/>
      </w:pPr>
      <w:rPr>
        <w:rFonts w:ascii="Arial" w:hAnsi="Arial" w:hint="default"/>
        <w:b/>
        <w:i w:val="0"/>
        <w:sz w:val="26"/>
      </w:rPr>
    </w:lvl>
    <w:lvl w:ilvl="6">
      <w:start w:val="1"/>
      <w:numFmt w:val="decimal"/>
      <w:lvlText w:val="%7."/>
      <w:lvlJc w:val="left"/>
      <w:pPr>
        <w:tabs>
          <w:tab w:val="num" w:pos="1080"/>
        </w:tabs>
        <w:ind w:left="1080" w:hanging="360"/>
      </w:pPr>
      <w:rPr>
        <w:rFonts w:ascii="Book Antiqua" w:hAnsi="Book Antiqua" w:hint="default"/>
        <w:b w:val="0"/>
        <w:i w:val="0"/>
        <w:sz w:val="26"/>
      </w:rPr>
    </w:lvl>
    <w:lvl w:ilvl="7">
      <w:start w:val="1"/>
      <w:numFmt w:val="lowerLetter"/>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29" w15:restartNumberingAfterBreak="0">
    <w:nsid w:val="646D7B7C"/>
    <w:multiLevelType w:val="hybridMultilevel"/>
    <w:tmpl w:val="087AA4A4"/>
    <w:lvl w:ilvl="0" w:tplc="D7DCC2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79039A5"/>
    <w:multiLevelType w:val="multilevel"/>
    <w:tmpl w:val="4D94A83A"/>
    <w:lvl w:ilvl="0">
      <w:start w:val="1"/>
      <w:numFmt w:val="decimal"/>
      <w:lvlText w:val="%1."/>
      <w:lvlJc w:val="left"/>
      <w:pPr>
        <w:ind w:left="720" w:hanging="360"/>
      </w:pPr>
      <w:rPr>
        <w:rFonts w:eastAsiaTheme="minorHAnsi" w:cstheme="minorHAnsi" w:hint="default"/>
        <w:color w:val="0563C1" w:themeColor="hyperlink"/>
        <w:u w:val="single"/>
      </w:rPr>
    </w:lvl>
    <w:lvl w:ilvl="1">
      <w:start w:val="1"/>
      <w:numFmt w:val="decimal"/>
      <w:isLgl/>
      <w:lvlText w:val="%1.%2."/>
      <w:lvlJc w:val="left"/>
      <w:pPr>
        <w:ind w:left="1080" w:hanging="720"/>
      </w:pPr>
      <w:rPr>
        <w:rFonts w:eastAsiaTheme="minorHAnsi" w:cstheme="minorHAnsi" w:hint="default"/>
        <w:color w:val="0563C1" w:themeColor="hyperlink"/>
        <w:u w:val="single"/>
      </w:rPr>
    </w:lvl>
    <w:lvl w:ilvl="2">
      <w:start w:val="1"/>
      <w:numFmt w:val="decimal"/>
      <w:isLgl/>
      <w:lvlText w:val="%1.%2.%3."/>
      <w:lvlJc w:val="left"/>
      <w:pPr>
        <w:ind w:left="1080" w:hanging="720"/>
      </w:pPr>
      <w:rPr>
        <w:rFonts w:eastAsiaTheme="minorHAnsi" w:cstheme="minorHAnsi" w:hint="default"/>
        <w:color w:val="0563C1" w:themeColor="hyperlink"/>
        <w:u w:val="single"/>
      </w:rPr>
    </w:lvl>
    <w:lvl w:ilvl="3">
      <w:start w:val="1"/>
      <w:numFmt w:val="decimal"/>
      <w:isLgl/>
      <w:lvlText w:val="%1.%2.%3.%4."/>
      <w:lvlJc w:val="left"/>
      <w:pPr>
        <w:ind w:left="1440" w:hanging="1080"/>
      </w:pPr>
      <w:rPr>
        <w:rFonts w:eastAsiaTheme="minorHAnsi" w:cstheme="minorHAnsi" w:hint="default"/>
        <w:color w:val="0563C1" w:themeColor="hyperlink"/>
        <w:u w:val="single"/>
      </w:rPr>
    </w:lvl>
    <w:lvl w:ilvl="4">
      <w:start w:val="1"/>
      <w:numFmt w:val="decimal"/>
      <w:isLgl/>
      <w:lvlText w:val="%1.%2.%3.%4.%5."/>
      <w:lvlJc w:val="left"/>
      <w:pPr>
        <w:ind w:left="1800" w:hanging="1440"/>
      </w:pPr>
      <w:rPr>
        <w:rFonts w:eastAsiaTheme="minorHAnsi" w:cstheme="minorHAnsi" w:hint="default"/>
        <w:color w:val="0563C1" w:themeColor="hyperlink"/>
        <w:u w:val="single"/>
      </w:rPr>
    </w:lvl>
    <w:lvl w:ilvl="5">
      <w:start w:val="1"/>
      <w:numFmt w:val="decimal"/>
      <w:isLgl/>
      <w:lvlText w:val="%1.%2.%3.%4.%5.%6."/>
      <w:lvlJc w:val="left"/>
      <w:pPr>
        <w:ind w:left="1800" w:hanging="1440"/>
      </w:pPr>
      <w:rPr>
        <w:rFonts w:eastAsiaTheme="minorHAnsi" w:cstheme="minorHAnsi" w:hint="default"/>
        <w:color w:val="0563C1" w:themeColor="hyperlink"/>
        <w:u w:val="single"/>
      </w:rPr>
    </w:lvl>
    <w:lvl w:ilvl="6">
      <w:start w:val="1"/>
      <w:numFmt w:val="decimal"/>
      <w:isLgl/>
      <w:lvlText w:val="%1.%2.%3.%4.%5.%6.%7."/>
      <w:lvlJc w:val="left"/>
      <w:pPr>
        <w:ind w:left="2160" w:hanging="1800"/>
      </w:pPr>
      <w:rPr>
        <w:rFonts w:eastAsiaTheme="minorHAnsi" w:cstheme="minorHAnsi" w:hint="default"/>
        <w:color w:val="0563C1" w:themeColor="hyperlink"/>
        <w:u w:val="single"/>
      </w:rPr>
    </w:lvl>
    <w:lvl w:ilvl="7">
      <w:start w:val="1"/>
      <w:numFmt w:val="decimal"/>
      <w:isLgl/>
      <w:lvlText w:val="%1.%2.%3.%4.%5.%6.%7.%8."/>
      <w:lvlJc w:val="left"/>
      <w:pPr>
        <w:ind w:left="2160" w:hanging="1800"/>
      </w:pPr>
      <w:rPr>
        <w:rFonts w:eastAsiaTheme="minorHAnsi" w:cstheme="minorHAnsi" w:hint="default"/>
        <w:color w:val="0563C1" w:themeColor="hyperlink"/>
        <w:u w:val="single"/>
      </w:rPr>
    </w:lvl>
    <w:lvl w:ilvl="8">
      <w:start w:val="1"/>
      <w:numFmt w:val="decimal"/>
      <w:isLgl/>
      <w:lvlText w:val="%1.%2.%3.%4.%5.%6.%7.%8.%9."/>
      <w:lvlJc w:val="left"/>
      <w:pPr>
        <w:ind w:left="2520" w:hanging="2160"/>
      </w:pPr>
      <w:rPr>
        <w:rFonts w:eastAsiaTheme="minorHAnsi" w:cstheme="minorHAnsi" w:hint="default"/>
        <w:color w:val="0563C1" w:themeColor="hyperlink"/>
        <w:u w:val="single"/>
      </w:rPr>
    </w:lvl>
  </w:abstractNum>
  <w:abstractNum w:abstractNumId="31" w15:restartNumberingAfterBreak="0">
    <w:nsid w:val="6E366510"/>
    <w:multiLevelType w:val="multilevel"/>
    <w:tmpl w:val="BD4C7B80"/>
    <w:lvl w:ilvl="0">
      <w:start w:val="1"/>
      <w:numFmt w:val="decimal"/>
      <w:lvlText w:val="%1."/>
      <w:lvlJc w:val="left"/>
      <w:pPr>
        <w:ind w:left="360" w:hanging="36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ind w:left="144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792"/>
        </w:tabs>
        <w:ind w:left="1440" w:hanging="720"/>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3.%2.%1.%4."/>
      <w:lvlJc w:val="left"/>
      <w:pPr>
        <w:ind w:left="1440" w:hanging="720"/>
      </w:pPr>
      <w:rPr>
        <w:rFonts w:ascii="Arial" w:hAnsi="Arial" w:hint="default"/>
        <w:b/>
        <w:i w:val="0"/>
        <w:caps w:val="0"/>
        <w:strike w:val="0"/>
        <w:dstrike w:val="0"/>
        <w:vanish w:val="0"/>
        <w:kern w:val="0"/>
        <w:sz w:val="26"/>
        <w:vertAlign w:val="baseline"/>
        <w14:cntxtAlts w14: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FDF7E1C"/>
    <w:multiLevelType w:val="hybridMultilevel"/>
    <w:tmpl w:val="2F5AD6F8"/>
    <w:lvl w:ilvl="0" w:tplc="721C31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24F081C"/>
    <w:multiLevelType w:val="hybridMultilevel"/>
    <w:tmpl w:val="5F8627CA"/>
    <w:lvl w:ilvl="0" w:tplc="8AF0B962">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4" w15:restartNumberingAfterBreak="0">
    <w:nsid w:val="73C87DF4"/>
    <w:multiLevelType w:val="hybridMultilevel"/>
    <w:tmpl w:val="F30238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9A0AFE"/>
    <w:multiLevelType w:val="hybridMultilevel"/>
    <w:tmpl w:val="18F4A5AC"/>
    <w:numStyleLink w:val="FoFCoLOP"/>
  </w:abstractNum>
  <w:abstractNum w:abstractNumId="36" w15:restartNumberingAfterBreak="0">
    <w:nsid w:val="7B1C30FD"/>
    <w:multiLevelType w:val="singleLevel"/>
    <w:tmpl w:val="2FB6A734"/>
    <w:lvl w:ilvl="0">
      <w:start w:val="1"/>
      <w:numFmt w:val="decimal"/>
      <w:lvlText w:val="%1."/>
      <w:legacy w:legacy="1" w:legacySpace="144" w:legacyIndent="0"/>
      <w:lvlJc w:val="left"/>
    </w:lvl>
  </w:abstractNum>
  <w:abstractNum w:abstractNumId="37" w15:restartNumberingAfterBreak="0">
    <w:nsid w:val="7C2B5C05"/>
    <w:multiLevelType w:val="hybridMultilevel"/>
    <w:tmpl w:val="E0D0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25"/>
  </w:num>
  <w:num w:numId="4">
    <w:abstractNumId w:val="7"/>
  </w:num>
  <w:num w:numId="5">
    <w:abstractNumId w:val="35"/>
  </w:num>
  <w:num w:numId="6">
    <w:abstractNumId w:val="19"/>
  </w:num>
  <w:num w:numId="7">
    <w:abstractNumId w:val="13"/>
  </w:num>
  <w:num w:numId="8">
    <w:abstractNumId w:val="32"/>
  </w:num>
  <w:num w:numId="9">
    <w:abstractNumId w:val="0"/>
  </w:num>
  <w:num w:numId="10">
    <w:abstractNumId w:val="19"/>
  </w:num>
  <w:num w:numId="11">
    <w:abstractNumId w:val="19"/>
    <w:lvlOverride w:ilvl="0">
      <w:lvl w:ilvl="0">
        <w:start w:val="1"/>
        <w:numFmt w:val="decimal"/>
        <w:pStyle w:val="Heading1"/>
        <w:lvlText w:val="%1."/>
        <w:lvlJc w:val="left"/>
        <w:pPr>
          <w:ind w:left="360" w:hanging="360"/>
        </w:pPr>
        <w:rPr>
          <w:rFonts w:ascii="Arial" w:hAnsi="Arial" w:cs="Times New Roman" w:hint="default"/>
          <w:b/>
          <w:i w:val="0"/>
          <w:caps w:val="0"/>
          <w:strike w:val="0"/>
          <w:dstrike w:val="0"/>
          <w:vanish w:val="0"/>
          <w:webHidden w:val="0"/>
          <w:color w:val="auto"/>
          <w:kern w:val="0"/>
          <w:position w:val="0"/>
          <w:sz w:val="26"/>
          <w:u w:val="none"/>
          <w:effect w:val="none"/>
          <w:vertAlign w:val="baseline"/>
          <w:specVanish w:val="0"/>
          <w14:ligatures w14:val="none"/>
          <w14:numSpacing w14:val="default"/>
          <w14:cntxtAlts w14:val="0"/>
        </w:rPr>
      </w:lvl>
    </w:lvlOverride>
    <w:lvlOverride w:ilvl="1">
      <w:lvl w:ilvl="1">
        <w:start w:val="1"/>
        <w:numFmt w:val="decimal"/>
        <w:pStyle w:val="Heading2"/>
        <w:lvlText w:val="%1.%2."/>
        <w:lvlJc w:val="left"/>
        <w:pPr>
          <w:tabs>
            <w:tab w:val="num" w:pos="720"/>
          </w:tabs>
          <w:ind w:left="1368" w:hanging="648"/>
        </w:pPr>
        <w:rPr>
          <w:rFonts w:ascii="Arial" w:hAnsi="Arial" w:cs="Times New Roman" w:hint="default"/>
          <w:b/>
          <w:i w:val="0"/>
          <w:caps w:val="0"/>
          <w:strike w:val="0"/>
          <w:dstrike w:val="0"/>
          <w:vanish w:val="0"/>
          <w:webHidden w:val="0"/>
          <w:color w:val="auto"/>
          <w:kern w:val="0"/>
          <w:sz w:val="26"/>
          <w:u w:val="none"/>
          <w:effect w:val="none"/>
          <w:vertAlign w:val="baseline"/>
          <w:specVanish w:val="0"/>
          <w14:cntxtAlts w14:val="0"/>
        </w:rPr>
      </w:lvl>
    </w:lvlOverride>
    <w:lvlOverride w:ilvl="2">
      <w:lvl w:ilvl="2">
        <w:start w:val="1"/>
        <w:numFmt w:val="decimal"/>
        <w:pStyle w:val="Heading3"/>
        <w:lvlText w:val="%1.%2.%3."/>
        <w:lvlJc w:val="left"/>
        <w:pPr>
          <w:tabs>
            <w:tab w:val="num" w:pos="1440"/>
          </w:tabs>
          <w:ind w:left="2304" w:hanging="864"/>
        </w:pPr>
        <w:rPr>
          <w:rFonts w:ascii="Arial" w:hAnsi="Arial" w:cs="Times New Roman" w:hint="default"/>
          <w:b/>
          <w:i w:val="0"/>
          <w:caps w:val="0"/>
          <w:strike w:val="0"/>
          <w:dstrike w:val="0"/>
          <w:vanish w:val="0"/>
          <w:webHidden w:val="0"/>
          <w:color w:val="auto"/>
          <w:kern w:val="0"/>
          <w:sz w:val="26"/>
          <w:u w:val="none"/>
          <w:effect w:val="none"/>
          <w:vertAlign w:val="baseline"/>
          <w:specVanish w:val="0"/>
          <w14:cntxtAlts w14:val="0"/>
        </w:rPr>
      </w:lvl>
    </w:lvlOverride>
    <w:lvlOverride w:ilvl="3">
      <w:lvl w:ilvl="3">
        <w:start w:val="1"/>
        <w:numFmt w:val="decimal"/>
        <w:pStyle w:val="Heading4"/>
        <w:lvlText w:val="%1.%2.%3.%4."/>
        <w:lvlJc w:val="left"/>
        <w:pPr>
          <w:tabs>
            <w:tab w:val="num" w:pos="2160"/>
          </w:tabs>
          <w:ind w:left="3240" w:hanging="1080"/>
        </w:pPr>
        <w:rPr>
          <w:rFonts w:ascii="Arial" w:hAnsi="Arial" w:cs="Times New Roman" w:hint="default"/>
          <w:b/>
          <w:i w:val="0"/>
          <w:caps w:val="0"/>
          <w:strike w:val="0"/>
          <w:dstrike w:val="0"/>
          <w:vanish w:val="0"/>
          <w:webHidden w:val="0"/>
          <w:kern w:val="0"/>
          <w:sz w:val="26"/>
          <w:u w:val="none"/>
          <w:effect w:val="none"/>
          <w:vertAlign w:val="baseline"/>
          <w:specVanish w:val="0"/>
          <w14:cntxtAlts w14:val="0"/>
        </w:rPr>
      </w:lvl>
    </w:lvlOverride>
    <w:lvlOverride w:ilvl="4">
      <w:lvl w:ilvl="4">
        <w:start w:val="1"/>
        <w:numFmt w:val="decimal"/>
        <w:pStyle w:val="Heading5"/>
        <w:lvlText w:val="%1.%2.%3.%4.%5."/>
        <w:lvlJc w:val="left"/>
        <w:pPr>
          <w:tabs>
            <w:tab w:val="num" w:pos="2880"/>
          </w:tabs>
          <w:ind w:left="4176" w:hanging="1296"/>
        </w:pPr>
        <w:rPr>
          <w:rFonts w:ascii="Arial" w:hAnsi="Arial" w:cs="Times New Roman" w:hint="default"/>
          <w:b/>
          <w:i w:val="0"/>
          <w:sz w:val="26"/>
        </w:rPr>
      </w:lvl>
    </w:lvlOverride>
    <w:lvlOverride w:ilvl="5">
      <w:lvl w:ilvl="5">
        <w:start w:val="1"/>
        <w:numFmt w:val="decimal"/>
        <w:pStyle w:val="Heading6"/>
        <w:lvlText w:val="%1.%2.%3.%4.%5.%6."/>
        <w:lvlJc w:val="left"/>
        <w:pPr>
          <w:tabs>
            <w:tab w:val="num" w:pos="3600"/>
          </w:tabs>
          <w:ind w:left="5112" w:hanging="1512"/>
        </w:pPr>
        <w:rPr>
          <w:rFonts w:ascii="Arial" w:hAnsi="Arial" w:cs="Times New Roman" w:hint="default"/>
          <w:b/>
          <w:i w:val="0"/>
          <w:sz w:val="26"/>
        </w:rPr>
      </w:lvl>
    </w:lvlOverride>
    <w:lvlOverride w:ilvl="6">
      <w:lvl w:ilvl="6">
        <w:start w:val="1"/>
        <w:numFmt w:val="decimal"/>
        <w:lvlText w:val="%1.%2.%3.%4.%5.%6.%7."/>
        <w:lvlJc w:val="left"/>
        <w:pPr>
          <w:tabs>
            <w:tab w:val="num" w:pos="4320"/>
          </w:tabs>
          <w:ind w:left="5760" w:hanging="1440"/>
        </w:pPr>
        <w:rPr>
          <w:rFonts w:ascii="Arial" w:hAnsi="Arial" w:cs="Times New Roman" w:hint="default"/>
          <w:b/>
          <w:i w:val="0"/>
          <w:sz w:val="26"/>
        </w:rPr>
      </w:lvl>
    </w:lvlOverride>
    <w:lvlOverride w:ilvl="7">
      <w:lvl w:ilvl="7">
        <w:start w:val="1"/>
        <w:numFmt w:val="decimal"/>
        <w:pStyle w:val="ListAlpha"/>
        <w:lvlText w:val="%8."/>
        <w:lvlJc w:val="left"/>
        <w:pPr>
          <w:ind w:left="1080" w:hanging="360"/>
        </w:pPr>
        <w:rPr>
          <w:rFonts w:ascii="Book Antiqua" w:hAnsi="Book Antiqua" w:hint="default"/>
          <w:sz w:val="26"/>
        </w:rPr>
      </w:lvl>
    </w:lvlOverride>
    <w:lvlOverride w:ilvl="8">
      <w:lvl w:ilvl="8">
        <w:start w:val="1"/>
        <w:numFmt w:val="decimal"/>
        <w:lvlText w:val=""/>
        <w:lvlJc w:val="left"/>
        <w:pPr>
          <w:ind w:left="3240" w:hanging="360"/>
        </w:pPr>
      </w:lvl>
    </w:lvlOverride>
  </w:num>
  <w:num w:numId="12">
    <w:abstractNumId w:val="26"/>
  </w:num>
  <w:num w:numId="13">
    <w:abstractNumId w:val="19"/>
  </w:num>
  <w:num w:numId="14">
    <w:abstractNumId w:val="15"/>
  </w:num>
  <w:num w:numId="15">
    <w:abstractNumId w:val="10"/>
  </w:num>
  <w:num w:numId="16">
    <w:abstractNumId w:val="27"/>
  </w:num>
  <w:num w:numId="17">
    <w:abstractNumId w:val="2"/>
  </w:num>
  <w:num w:numId="18">
    <w:abstractNumId w:val="20"/>
  </w:num>
  <w:num w:numId="19">
    <w:abstractNumId w:val="1"/>
  </w:num>
  <w:num w:numId="20">
    <w:abstractNumId w:val="19"/>
    <w:lvlOverride w:ilvl="0">
      <w:lvl w:ilvl="0">
        <w:start w:val="1"/>
        <w:numFmt w:val="decimal"/>
        <w:pStyle w:val="Heading1"/>
        <w:lvlText w:val="%1."/>
        <w:lvlJc w:val="left"/>
        <w:pPr>
          <w:ind w:left="360" w:hanging="36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Override>
    <w:lvlOverride w:ilvl="1">
      <w:lvl w:ilvl="1">
        <w:start w:val="1"/>
        <w:numFmt w:val="decimal"/>
        <w:pStyle w:val="Heading2"/>
        <w:lvlText w:val="%1.%2."/>
        <w:lvlJc w:val="left"/>
        <w:pPr>
          <w:tabs>
            <w:tab w:val="num" w:pos="4500"/>
          </w:tabs>
          <w:ind w:left="5148" w:hanging="648"/>
        </w:pPr>
        <w:rPr>
          <w:rFonts w:ascii="Arial" w:hAnsi="Arial" w:hint="default"/>
          <w:b/>
          <w:i w:val="0"/>
          <w:caps w:val="0"/>
          <w:strike w:val="0"/>
          <w:dstrike w:val="0"/>
          <w:vanish w:val="0"/>
          <w:color w:val="auto"/>
          <w:kern w:val="0"/>
          <w:sz w:val="26"/>
          <w:u w:val="none"/>
          <w:vertAlign w:val="baseline"/>
          <w14:cntxtAlts w14:val="0"/>
        </w:rPr>
      </w:lvl>
    </w:lvlOverride>
    <w:lvlOverride w:ilvl="2">
      <w:lvl w:ilvl="2">
        <w:start w:val="1"/>
        <w:numFmt w:val="decimal"/>
        <w:pStyle w:val="Heading3"/>
        <w:lvlText w:val="%1.%2.%3."/>
        <w:lvlJc w:val="left"/>
        <w:pPr>
          <w:tabs>
            <w:tab w:val="num" w:pos="1440"/>
          </w:tabs>
          <w:ind w:left="2304" w:hanging="864"/>
        </w:pPr>
        <w:rPr>
          <w:rFonts w:ascii="Arial" w:hAnsi="Arial" w:hint="default"/>
          <w:b/>
          <w:i w:val="0"/>
          <w:caps w:val="0"/>
          <w:strike w:val="0"/>
          <w:dstrike w:val="0"/>
          <w:vanish w:val="0"/>
          <w:color w:val="auto"/>
          <w:kern w:val="0"/>
          <w:sz w:val="26"/>
          <w:u w:val="none"/>
          <w:vertAlign w:val="baseline"/>
          <w14:cntxtAlts w14:val="0"/>
        </w:rPr>
      </w:lvl>
    </w:lvlOverride>
    <w:lvlOverride w:ilvl="3">
      <w:lvl w:ilvl="3">
        <w:start w:val="1"/>
        <w:numFmt w:val="decimal"/>
        <w:pStyle w:val="Heading4"/>
        <w:lvlText w:val="%1.%2.%3.%4."/>
        <w:lvlJc w:val="left"/>
        <w:pPr>
          <w:tabs>
            <w:tab w:val="num" w:pos="2160"/>
          </w:tabs>
          <w:ind w:left="3240" w:hanging="1080"/>
        </w:pPr>
        <w:rPr>
          <w:rFonts w:ascii="Arial" w:hAnsi="Arial" w:hint="default"/>
          <w:b/>
          <w:i w:val="0"/>
          <w:caps w:val="0"/>
          <w:strike w:val="0"/>
          <w:dstrike w:val="0"/>
          <w:vanish w:val="0"/>
          <w:kern w:val="0"/>
          <w:sz w:val="26"/>
          <w:vertAlign w:val="baseline"/>
          <w14:cntxtAlts w14:val="0"/>
        </w:rPr>
      </w:lvl>
    </w:lvlOverride>
    <w:lvlOverride w:ilvl="4">
      <w:lvl w:ilvl="4">
        <w:start w:val="1"/>
        <w:numFmt w:val="decimal"/>
        <w:pStyle w:val="Heading5"/>
        <w:lvlText w:val="%1.%2.%3.%4.%5."/>
        <w:lvlJc w:val="left"/>
        <w:pPr>
          <w:tabs>
            <w:tab w:val="num" w:pos="2880"/>
          </w:tabs>
          <w:ind w:left="4176" w:hanging="1296"/>
        </w:pPr>
        <w:rPr>
          <w:rFonts w:ascii="Arial" w:hAnsi="Arial" w:hint="default"/>
          <w:b/>
          <w:i w:val="0"/>
          <w:sz w:val="26"/>
        </w:rPr>
      </w:lvl>
    </w:lvlOverride>
    <w:lvlOverride w:ilvl="5">
      <w:lvl w:ilvl="5">
        <w:start w:val="1"/>
        <w:numFmt w:val="decimal"/>
        <w:pStyle w:val="Heading6"/>
        <w:lvlText w:val="%1.%2.%3.%4.%5.%6."/>
        <w:lvlJc w:val="left"/>
        <w:pPr>
          <w:tabs>
            <w:tab w:val="num" w:pos="3600"/>
          </w:tabs>
          <w:ind w:left="5112" w:hanging="1512"/>
        </w:pPr>
        <w:rPr>
          <w:rFonts w:ascii="Arial" w:hAnsi="Arial" w:hint="default"/>
          <w:b/>
          <w:i w:val="0"/>
          <w:sz w:val="26"/>
        </w:rPr>
      </w:lvl>
    </w:lvlOverride>
    <w:lvlOverride w:ilvl="6">
      <w:lvl w:ilvl="6">
        <w:start w:val="1"/>
        <w:numFmt w:val="decimal"/>
        <w:lvlText w:val="%1.%2.%3.%4.%5.%6.%7."/>
        <w:lvlJc w:val="left"/>
        <w:pPr>
          <w:tabs>
            <w:tab w:val="num" w:pos="4320"/>
          </w:tabs>
          <w:ind w:left="5760" w:hanging="1440"/>
        </w:pPr>
        <w:rPr>
          <w:rFonts w:ascii="Arial" w:hAnsi="Arial" w:hint="default"/>
          <w:b/>
          <w:i w:val="0"/>
          <w:sz w:val="26"/>
        </w:rPr>
      </w:lvl>
    </w:lvlOverride>
    <w:lvlOverride w:ilvl="7">
      <w:lvl w:ilvl="7">
        <w:start w:val="1"/>
        <w:numFmt w:val="lowerLetter"/>
        <w:pStyle w:val="ListAlpha"/>
        <w:lvlText w:val="%8."/>
        <w:lvlJc w:val="left"/>
        <w:pPr>
          <w:ind w:left="1080" w:hanging="360"/>
        </w:pPr>
        <w:rPr>
          <w:rFonts w:ascii="Book Antiqua" w:hAnsi="Book Antiqua" w:hint="default"/>
          <w:sz w:val="26"/>
        </w:rPr>
      </w:lvl>
    </w:lvlOverride>
    <w:lvlOverride w:ilvl="8">
      <w:lvl w:ilvl="8">
        <w:start w:val="1"/>
        <w:numFmt w:val="none"/>
        <w:lvlText w:val=""/>
        <w:lvlJc w:val="left"/>
        <w:pPr>
          <w:ind w:left="3240" w:hanging="360"/>
        </w:pPr>
        <w:rPr>
          <w:rFonts w:hint="default"/>
        </w:rPr>
      </w:lvl>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 w:ilvl="0">
        <w:start w:val="1"/>
        <w:numFmt w:val="decimal"/>
        <w:pStyle w:val="Heading1"/>
        <w:lvlText w:val="%1."/>
        <w:lvlJc w:val="left"/>
        <w:pPr>
          <w:ind w:left="360" w:hanging="36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Override>
    <w:lvlOverride w:ilvl="1">
      <w:startOverride w:val="1"/>
      <w:lvl w:ilvl="1">
        <w:start w:val="1"/>
        <w:numFmt w:val="decimal"/>
        <w:pStyle w:val="Heading2"/>
        <w:lvlText w:val="%1.%2."/>
        <w:lvlJc w:val="left"/>
        <w:pPr>
          <w:tabs>
            <w:tab w:val="num" w:pos="720"/>
          </w:tabs>
          <w:ind w:left="1368" w:hanging="648"/>
        </w:pPr>
        <w:rPr>
          <w:rFonts w:ascii="Arial" w:hAnsi="Arial" w:hint="default"/>
          <w:b/>
          <w:i w:val="0"/>
          <w:caps w:val="0"/>
          <w:strike w:val="0"/>
          <w:dstrike w:val="0"/>
          <w:vanish w:val="0"/>
          <w:color w:val="auto"/>
          <w:kern w:val="0"/>
          <w:sz w:val="26"/>
          <w:u w:val="none"/>
          <w:vertAlign w:val="baseline"/>
          <w14:cntxtAlts w14:val="0"/>
        </w:rPr>
      </w:lvl>
    </w:lvlOverride>
    <w:lvlOverride w:ilvl="2">
      <w:startOverride w:val="1"/>
      <w:lvl w:ilvl="2">
        <w:start w:val="1"/>
        <w:numFmt w:val="decimal"/>
        <w:pStyle w:val="Heading3"/>
        <w:lvlText w:val="%1.%2.%3."/>
        <w:lvlJc w:val="left"/>
        <w:pPr>
          <w:tabs>
            <w:tab w:val="num" w:pos="1440"/>
          </w:tabs>
          <w:ind w:left="2304" w:hanging="864"/>
        </w:pPr>
        <w:rPr>
          <w:rFonts w:ascii="Arial" w:hAnsi="Arial" w:hint="default"/>
          <w:b/>
          <w:i w:val="0"/>
          <w:caps w:val="0"/>
          <w:strike w:val="0"/>
          <w:dstrike w:val="0"/>
          <w:vanish w:val="0"/>
          <w:color w:val="auto"/>
          <w:kern w:val="0"/>
          <w:sz w:val="26"/>
          <w:u w:val="none"/>
          <w:vertAlign w:val="baseline"/>
          <w14:cntxtAlts w14:val="0"/>
        </w:rPr>
      </w:lvl>
    </w:lvlOverride>
    <w:lvlOverride w:ilvl="3">
      <w:startOverride w:val="1"/>
      <w:lvl w:ilvl="3">
        <w:start w:val="1"/>
        <w:numFmt w:val="decimal"/>
        <w:pStyle w:val="Heading4"/>
        <w:lvlText w:val="%1.%2.%3.%4."/>
        <w:lvlJc w:val="left"/>
        <w:pPr>
          <w:tabs>
            <w:tab w:val="num" w:pos="2160"/>
          </w:tabs>
          <w:ind w:left="3240" w:hanging="1080"/>
        </w:pPr>
        <w:rPr>
          <w:rFonts w:ascii="Arial" w:hAnsi="Arial" w:hint="default"/>
          <w:b/>
          <w:i w:val="0"/>
          <w:caps w:val="0"/>
          <w:strike w:val="0"/>
          <w:dstrike w:val="0"/>
          <w:vanish w:val="0"/>
          <w:kern w:val="0"/>
          <w:sz w:val="26"/>
          <w:vertAlign w:val="baseline"/>
          <w14:cntxtAlts w14:val="0"/>
        </w:rPr>
      </w:lvl>
    </w:lvlOverride>
    <w:lvlOverride w:ilvl="4">
      <w:startOverride w:val="1"/>
      <w:lvl w:ilvl="4">
        <w:start w:val="1"/>
        <w:numFmt w:val="decimal"/>
        <w:pStyle w:val="Heading5"/>
        <w:lvlText w:val="%1.%2.%3.%4.%5."/>
        <w:lvlJc w:val="left"/>
        <w:pPr>
          <w:tabs>
            <w:tab w:val="num" w:pos="2880"/>
          </w:tabs>
          <w:ind w:left="4176" w:hanging="1296"/>
        </w:pPr>
        <w:rPr>
          <w:rFonts w:ascii="Arial" w:hAnsi="Arial" w:hint="default"/>
          <w:b/>
          <w:i w:val="0"/>
          <w:sz w:val="26"/>
        </w:rPr>
      </w:lvl>
    </w:lvlOverride>
    <w:lvlOverride w:ilvl="5">
      <w:startOverride w:val="1"/>
      <w:lvl w:ilvl="5">
        <w:start w:val="1"/>
        <w:numFmt w:val="decimal"/>
        <w:pStyle w:val="Heading6"/>
        <w:lvlText w:val="%1.%2.%3.%4.%5.%6."/>
        <w:lvlJc w:val="left"/>
        <w:pPr>
          <w:tabs>
            <w:tab w:val="num" w:pos="3600"/>
          </w:tabs>
          <w:ind w:left="5112" w:hanging="1512"/>
        </w:pPr>
        <w:rPr>
          <w:rFonts w:ascii="Arial" w:hAnsi="Arial" w:hint="default"/>
          <w:b/>
          <w:i w:val="0"/>
          <w:sz w:val="26"/>
        </w:rPr>
      </w:lvl>
    </w:lvlOverride>
    <w:lvlOverride w:ilvl="6">
      <w:startOverride w:val="1"/>
      <w:lvl w:ilvl="6">
        <w:start w:val="1"/>
        <w:numFmt w:val="decimal"/>
        <w:lvlText w:val="%1.%2.%3.%4.%5.%6.%7."/>
        <w:lvlJc w:val="left"/>
        <w:pPr>
          <w:tabs>
            <w:tab w:val="num" w:pos="4320"/>
          </w:tabs>
          <w:ind w:left="5760" w:hanging="1440"/>
        </w:pPr>
        <w:rPr>
          <w:rFonts w:ascii="Arial" w:hAnsi="Arial" w:hint="default"/>
          <w:b/>
          <w:i w:val="0"/>
          <w:sz w:val="26"/>
        </w:rPr>
      </w:lvl>
    </w:lvlOverride>
    <w:lvlOverride w:ilvl="7">
      <w:startOverride w:val="1"/>
      <w:lvl w:ilvl="7">
        <w:start w:val="1"/>
        <w:numFmt w:val="lowerLetter"/>
        <w:pStyle w:val="ListAlpha"/>
        <w:lvlText w:val="%8."/>
        <w:lvlJc w:val="left"/>
        <w:pPr>
          <w:ind w:left="1080" w:hanging="360"/>
        </w:pPr>
        <w:rPr>
          <w:rFonts w:ascii="Book Antiqua" w:hAnsi="Book Antiqua" w:hint="default"/>
          <w:sz w:val="26"/>
        </w:rPr>
      </w:lvl>
    </w:lvlOverride>
    <w:lvlOverride w:ilvl="8">
      <w:startOverride w:val="1"/>
      <w:lvl w:ilvl="8">
        <w:start w:val="1"/>
        <w:numFmt w:val="none"/>
        <w:lvlText w:val=""/>
        <w:lvlJc w:val="left"/>
        <w:pPr>
          <w:ind w:left="3240" w:hanging="360"/>
        </w:pPr>
        <w:rPr>
          <w:rFonts w:hint="default"/>
        </w:rPr>
      </w:lvl>
    </w:lvlOverride>
  </w:num>
  <w:num w:numId="23">
    <w:abstractNumId w:val="12"/>
  </w:num>
  <w:num w:numId="24">
    <w:abstractNumId w:val="9"/>
  </w:num>
  <w:num w:numId="25">
    <w:abstractNumId w:val="37"/>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1"/>
  </w:num>
  <w:num w:numId="29">
    <w:abstractNumId w:val="28"/>
  </w:num>
  <w:num w:numId="30">
    <w:abstractNumId w:val="17"/>
  </w:num>
  <w:num w:numId="31">
    <w:abstractNumId w:val="31"/>
  </w:num>
  <w:num w:numId="32">
    <w:abstractNumId w:val="29"/>
  </w:num>
  <w:num w:numId="33">
    <w:abstractNumId w:val="3"/>
  </w:num>
  <w:num w:numId="34">
    <w:abstractNumId w:val="21"/>
  </w:num>
  <w:num w:numId="35">
    <w:abstractNumId w:val="30"/>
  </w:num>
  <w:num w:numId="36">
    <w:abstractNumId w:val="8"/>
  </w:num>
  <w:num w:numId="37">
    <w:abstractNumId w:val="6"/>
  </w:num>
  <w:num w:numId="38">
    <w:abstractNumId w:val="16"/>
  </w:num>
  <w:num w:numId="39">
    <w:abstractNumId w:val="23"/>
  </w:num>
  <w:num w:numId="40">
    <w:abstractNumId w:val="24"/>
  </w:num>
  <w:num w:numId="41">
    <w:abstractNumId w:val="18"/>
  </w:num>
  <w:num w:numId="42">
    <w:abstractNumId w:val="22"/>
  </w:num>
  <w:num w:numId="43">
    <w:abstractNumId w:val="4"/>
  </w:num>
  <w:num w:numId="44">
    <w:abstractNumId w:val="36"/>
  </w:num>
  <w:num w:numId="45">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EC1"/>
    <w:rsid w:val="000005A5"/>
    <w:rsid w:val="00000702"/>
    <w:rsid w:val="00000F6A"/>
    <w:rsid w:val="000017EB"/>
    <w:rsid w:val="00003297"/>
    <w:rsid w:val="00003FAF"/>
    <w:rsid w:val="00004351"/>
    <w:rsid w:val="000047A7"/>
    <w:rsid w:val="00006818"/>
    <w:rsid w:val="0001046E"/>
    <w:rsid w:val="000105A3"/>
    <w:rsid w:val="00010B32"/>
    <w:rsid w:val="00010DCF"/>
    <w:rsid w:val="000127E1"/>
    <w:rsid w:val="000135CB"/>
    <w:rsid w:val="00013A36"/>
    <w:rsid w:val="0001405F"/>
    <w:rsid w:val="000143E1"/>
    <w:rsid w:val="00016CEE"/>
    <w:rsid w:val="00016E97"/>
    <w:rsid w:val="00017423"/>
    <w:rsid w:val="00020A28"/>
    <w:rsid w:val="00020C90"/>
    <w:rsid w:val="00020FD5"/>
    <w:rsid w:val="00023DE0"/>
    <w:rsid w:val="00025295"/>
    <w:rsid w:val="0002634A"/>
    <w:rsid w:val="0002663B"/>
    <w:rsid w:val="00026B41"/>
    <w:rsid w:val="00026ECD"/>
    <w:rsid w:val="00027501"/>
    <w:rsid w:val="000304F4"/>
    <w:rsid w:val="000314A6"/>
    <w:rsid w:val="00031564"/>
    <w:rsid w:val="000329B9"/>
    <w:rsid w:val="000332E7"/>
    <w:rsid w:val="0003345F"/>
    <w:rsid w:val="000337AD"/>
    <w:rsid w:val="000355CE"/>
    <w:rsid w:val="00035E46"/>
    <w:rsid w:val="00036B82"/>
    <w:rsid w:val="00036E87"/>
    <w:rsid w:val="0003740C"/>
    <w:rsid w:val="00037660"/>
    <w:rsid w:val="00037886"/>
    <w:rsid w:val="00041304"/>
    <w:rsid w:val="000416B8"/>
    <w:rsid w:val="0004208A"/>
    <w:rsid w:val="000429D7"/>
    <w:rsid w:val="00042B22"/>
    <w:rsid w:val="000438D1"/>
    <w:rsid w:val="0004597B"/>
    <w:rsid w:val="00045EC7"/>
    <w:rsid w:val="00046162"/>
    <w:rsid w:val="00046DBF"/>
    <w:rsid w:val="00046EE9"/>
    <w:rsid w:val="00047D35"/>
    <w:rsid w:val="00050F00"/>
    <w:rsid w:val="000513F0"/>
    <w:rsid w:val="00051425"/>
    <w:rsid w:val="000514DB"/>
    <w:rsid w:val="000515A3"/>
    <w:rsid w:val="000518EE"/>
    <w:rsid w:val="000527EE"/>
    <w:rsid w:val="000532F1"/>
    <w:rsid w:val="00054C2E"/>
    <w:rsid w:val="00054D5F"/>
    <w:rsid w:val="00054EB4"/>
    <w:rsid w:val="00055D0C"/>
    <w:rsid w:val="000571E6"/>
    <w:rsid w:val="0005773F"/>
    <w:rsid w:val="000579E9"/>
    <w:rsid w:val="000607FD"/>
    <w:rsid w:val="0006084D"/>
    <w:rsid w:val="00060B92"/>
    <w:rsid w:val="00061385"/>
    <w:rsid w:val="00061387"/>
    <w:rsid w:val="000616E3"/>
    <w:rsid w:val="00062DC4"/>
    <w:rsid w:val="000632B3"/>
    <w:rsid w:val="000637B8"/>
    <w:rsid w:val="00063C17"/>
    <w:rsid w:val="00064018"/>
    <w:rsid w:val="00064803"/>
    <w:rsid w:val="00064D27"/>
    <w:rsid w:val="00064FC9"/>
    <w:rsid w:val="0006565A"/>
    <w:rsid w:val="0006582C"/>
    <w:rsid w:val="00065CBE"/>
    <w:rsid w:val="00065DD8"/>
    <w:rsid w:val="000663DD"/>
    <w:rsid w:val="0006697B"/>
    <w:rsid w:val="0007080A"/>
    <w:rsid w:val="0007115A"/>
    <w:rsid w:val="00072014"/>
    <w:rsid w:val="0007501F"/>
    <w:rsid w:val="00075D0A"/>
    <w:rsid w:val="00076254"/>
    <w:rsid w:val="000770E6"/>
    <w:rsid w:val="00077803"/>
    <w:rsid w:val="00077A6A"/>
    <w:rsid w:val="00077B83"/>
    <w:rsid w:val="00077D5A"/>
    <w:rsid w:val="000806D6"/>
    <w:rsid w:val="00080C01"/>
    <w:rsid w:val="00080F14"/>
    <w:rsid w:val="0008178D"/>
    <w:rsid w:val="00081EC0"/>
    <w:rsid w:val="00082076"/>
    <w:rsid w:val="00083208"/>
    <w:rsid w:val="00084709"/>
    <w:rsid w:val="000849E7"/>
    <w:rsid w:val="00086212"/>
    <w:rsid w:val="00086E56"/>
    <w:rsid w:val="00091A10"/>
    <w:rsid w:val="00091D46"/>
    <w:rsid w:val="0009200C"/>
    <w:rsid w:val="000949E0"/>
    <w:rsid w:val="00095F83"/>
    <w:rsid w:val="0009604F"/>
    <w:rsid w:val="000973C8"/>
    <w:rsid w:val="00097A37"/>
    <w:rsid w:val="000A00F9"/>
    <w:rsid w:val="000A02C8"/>
    <w:rsid w:val="000A043D"/>
    <w:rsid w:val="000A0C66"/>
    <w:rsid w:val="000A2524"/>
    <w:rsid w:val="000A2AA9"/>
    <w:rsid w:val="000A3A5A"/>
    <w:rsid w:val="000A3C96"/>
    <w:rsid w:val="000A43E3"/>
    <w:rsid w:val="000A53E5"/>
    <w:rsid w:val="000A56F2"/>
    <w:rsid w:val="000A633E"/>
    <w:rsid w:val="000A699C"/>
    <w:rsid w:val="000A6BBE"/>
    <w:rsid w:val="000A6E05"/>
    <w:rsid w:val="000A7CCF"/>
    <w:rsid w:val="000B0078"/>
    <w:rsid w:val="000B069F"/>
    <w:rsid w:val="000B12FA"/>
    <w:rsid w:val="000B18C0"/>
    <w:rsid w:val="000B1901"/>
    <w:rsid w:val="000B31A5"/>
    <w:rsid w:val="000B4BB4"/>
    <w:rsid w:val="000B5A69"/>
    <w:rsid w:val="000B75F4"/>
    <w:rsid w:val="000B7C6A"/>
    <w:rsid w:val="000C08BF"/>
    <w:rsid w:val="000C100D"/>
    <w:rsid w:val="000C1347"/>
    <w:rsid w:val="000C1501"/>
    <w:rsid w:val="000C1DFA"/>
    <w:rsid w:val="000C1FF5"/>
    <w:rsid w:val="000C2860"/>
    <w:rsid w:val="000C396F"/>
    <w:rsid w:val="000C3B9A"/>
    <w:rsid w:val="000C3DFF"/>
    <w:rsid w:val="000C4BB9"/>
    <w:rsid w:val="000C4E02"/>
    <w:rsid w:val="000C5A00"/>
    <w:rsid w:val="000C5F84"/>
    <w:rsid w:val="000C6506"/>
    <w:rsid w:val="000C6872"/>
    <w:rsid w:val="000C6D96"/>
    <w:rsid w:val="000C6EDA"/>
    <w:rsid w:val="000C7294"/>
    <w:rsid w:val="000C7538"/>
    <w:rsid w:val="000C7B14"/>
    <w:rsid w:val="000D1853"/>
    <w:rsid w:val="000D1B2C"/>
    <w:rsid w:val="000D1BC4"/>
    <w:rsid w:val="000D25A8"/>
    <w:rsid w:val="000D2B6A"/>
    <w:rsid w:val="000D31CA"/>
    <w:rsid w:val="000D45F9"/>
    <w:rsid w:val="000D4B15"/>
    <w:rsid w:val="000D5289"/>
    <w:rsid w:val="000D6411"/>
    <w:rsid w:val="000D6947"/>
    <w:rsid w:val="000D743A"/>
    <w:rsid w:val="000D7E20"/>
    <w:rsid w:val="000E03E2"/>
    <w:rsid w:val="000E10B3"/>
    <w:rsid w:val="000E133E"/>
    <w:rsid w:val="000E1F32"/>
    <w:rsid w:val="000E270F"/>
    <w:rsid w:val="000E2D29"/>
    <w:rsid w:val="000E330C"/>
    <w:rsid w:val="000E3E22"/>
    <w:rsid w:val="000E4A3B"/>
    <w:rsid w:val="000E4C53"/>
    <w:rsid w:val="000E4C91"/>
    <w:rsid w:val="000E4ED8"/>
    <w:rsid w:val="000E59C1"/>
    <w:rsid w:val="000E6A35"/>
    <w:rsid w:val="000E6D1F"/>
    <w:rsid w:val="000E7138"/>
    <w:rsid w:val="000E77A2"/>
    <w:rsid w:val="000E781E"/>
    <w:rsid w:val="000F024A"/>
    <w:rsid w:val="000F09CE"/>
    <w:rsid w:val="000F0FC4"/>
    <w:rsid w:val="000F190E"/>
    <w:rsid w:val="000F2B5B"/>
    <w:rsid w:val="000F3841"/>
    <w:rsid w:val="000F45C3"/>
    <w:rsid w:val="000F4993"/>
    <w:rsid w:val="000F49F2"/>
    <w:rsid w:val="000F536E"/>
    <w:rsid w:val="000F6F83"/>
    <w:rsid w:val="000F7E9C"/>
    <w:rsid w:val="00100B96"/>
    <w:rsid w:val="0010179F"/>
    <w:rsid w:val="00102559"/>
    <w:rsid w:val="00103717"/>
    <w:rsid w:val="001059D6"/>
    <w:rsid w:val="0010679C"/>
    <w:rsid w:val="00106E92"/>
    <w:rsid w:val="00112261"/>
    <w:rsid w:val="0011262F"/>
    <w:rsid w:val="00112E91"/>
    <w:rsid w:val="001133C8"/>
    <w:rsid w:val="00114545"/>
    <w:rsid w:val="0011455D"/>
    <w:rsid w:val="00116361"/>
    <w:rsid w:val="00116DC4"/>
    <w:rsid w:val="00116E0C"/>
    <w:rsid w:val="00117A63"/>
    <w:rsid w:val="001204EA"/>
    <w:rsid w:val="00121089"/>
    <w:rsid w:val="001215FE"/>
    <w:rsid w:val="001217F1"/>
    <w:rsid w:val="001224C0"/>
    <w:rsid w:val="00122DB6"/>
    <w:rsid w:val="00123213"/>
    <w:rsid w:val="001232BB"/>
    <w:rsid w:val="001242C1"/>
    <w:rsid w:val="00125EA0"/>
    <w:rsid w:val="001269A3"/>
    <w:rsid w:val="001277D6"/>
    <w:rsid w:val="001304E5"/>
    <w:rsid w:val="001316C5"/>
    <w:rsid w:val="00132300"/>
    <w:rsid w:val="00132B30"/>
    <w:rsid w:val="00134EC1"/>
    <w:rsid w:val="0013531D"/>
    <w:rsid w:val="0013581C"/>
    <w:rsid w:val="0013601A"/>
    <w:rsid w:val="00136A14"/>
    <w:rsid w:val="00136F35"/>
    <w:rsid w:val="0013763B"/>
    <w:rsid w:val="00140D04"/>
    <w:rsid w:val="00140E0A"/>
    <w:rsid w:val="001411F5"/>
    <w:rsid w:val="001413C5"/>
    <w:rsid w:val="00145398"/>
    <w:rsid w:val="00145881"/>
    <w:rsid w:val="00145BB0"/>
    <w:rsid w:val="0014651A"/>
    <w:rsid w:val="00146872"/>
    <w:rsid w:val="00152319"/>
    <w:rsid w:val="001526A0"/>
    <w:rsid w:val="001533AE"/>
    <w:rsid w:val="001537FE"/>
    <w:rsid w:val="0015425E"/>
    <w:rsid w:val="001542EB"/>
    <w:rsid w:val="00154A38"/>
    <w:rsid w:val="00156B9A"/>
    <w:rsid w:val="00156F23"/>
    <w:rsid w:val="00157284"/>
    <w:rsid w:val="00157366"/>
    <w:rsid w:val="001573A7"/>
    <w:rsid w:val="0015769A"/>
    <w:rsid w:val="00160064"/>
    <w:rsid w:val="00160C50"/>
    <w:rsid w:val="00160EEC"/>
    <w:rsid w:val="001614D3"/>
    <w:rsid w:val="00163FCA"/>
    <w:rsid w:val="0016444E"/>
    <w:rsid w:val="001645D0"/>
    <w:rsid w:val="00164723"/>
    <w:rsid w:val="001655DF"/>
    <w:rsid w:val="0016674E"/>
    <w:rsid w:val="00166820"/>
    <w:rsid w:val="00167449"/>
    <w:rsid w:val="00167E91"/>
    <w:rsid w:val="0017241B"/>
    <w:rsid w:val="00173597"/>
    <w:rsid w:val="00174C4F"/>
    <w:rsid w:val="00175611"/>
    <w:rsid w:val="001758CD"/>
    <w:rsid w:val="00175CE4"/>
    <w:rsid w:val="00175D01"/>
    <w:rsid w:val="00175E2F"/>
    <w:rsid w:val="001761FA"/>
    <w:rsid w:val="00176FDA"/>
    <w:rsid w:val="00177C67"/>
    <w:rsid w:val="00177EEF"/>
    <w:rsid w:val="00180212"/>
    <w:rsid w:val="00180307"/>
    <w:rsid w:val="00180BE8"/>
    <w:rsid w:val="00181339"/>
    <w:rsid w:val="0018159D"/>
    <w:rsid w:val="00181E20"/>
    <w:rsid w:val="00183313"/>
    <w:rsid w:val="0018433D"/>
    <w:rsid w:val="001844C6"/>
    <w:rsid w:val="0018579F"/>
    <w:rsid w:val="001866B1"/>
    <w:rsid w:val="0018723A"/>
    <w:rsid w:val="00187CA8"/>
    <w:rsid w:val="00191792"/>
    <w:rsid w:val="0019179D"/>
    <w:rsid w:val="001918A9"/>
    <w:rsid w:val="00192042"/>
    <w:rsid w:val="00192F12"/>
    <w:rsid w:val="00194DA4"/>
    <w:rsid w:val="00194EC6"/>
    <w:rsid w:val="00195F2E"/>
    <w:rsid w:val="001960F5"/>
    <w:rsid w:val="001962C9"/>
    <w:rsid w:val="001969B7"/>
    <w:rsid w:val="00197661"/>
    <w:rsid w:val="001A10BC"/>
    <w:rsid w:val="001A2093"/>
    <w:rsid w:val="001A24C6"/>
    <w:rsid w:val="001A2718"/>
    <w:rsid w:val="001A3596"/>
    <w:rsid w:val="001A4D43"/>
    <w:rsid w:val="001A57A9"/>
    <w:rsid w:val="001A6802"/>
    <w:rsid w:val="001A77A8"/>
    <w:rsid w:val="001B01B4"/>
    <w:rsid w:val="001B0789"/>
    <w:rsid w:val="001B16A3"/>
    <w:rsid w:val="001B2A92"/>
    <w:rsid w:val="001B2F0E"/>
    <w:rsid w:val="001B2F5D"/>
    <w:rsid w:val="001B3D13"/>
    <w:rsid w:val="001B3D87"/>
    <w:rsid w:val="001B3EE9"/>
    <w:rsid w:val="001B4E52"/>
    <w:rsid w:val="001B5A1A"/>
    <w:rsid w:val="001B6076"/>
    <w:rsid w:val="001B650F"/>
    <w:rsid w:val="001B6B7D"/>
    <w:rsid w:val="001B7758"/>
    <w:rsid w:val="001C0370"/>
    <w:rsid w:val="001C0C9A"/>
    <w:rsid w:val="001C21AF"/>
    <w:rsid w:val="001C27B7"/>
    <w:rsid w:val="001C351D"/>
    <w:rsid w:val="001C363F"/>
    <w:rsid w:val="001C45C8"/>
    <w:rsid w:val="001C4B92"/>
    <w:rsid w:val="001C5646"/>
    <w:rsid w:val="001C6336"/>
    <w:rsid w:val="001D074D"/>
    <w:rsid w:val="001D1399"/>
    <w:rsid w:val="001D1AE4"/>
    <w:rsid w:val="001D1BA9"/>
    <w:rsid w:val="001D3610"/>
    <w:rsid w:val="001D43C8"/>
    <w:rsid w:val="001D4602"/>
    <w:rsid w:val="001D4D83"/>
    <w:rsid w:val="001D62F7"/>
    <w:rsid w:val="001D735C"/>
    <w:rsid w:val="001D7EA1"/>
    <w:rsid w:val="001E0232"/>
    <w:rsid w:val="001E08BC"/>
    <w:rsid w:val="001E1E20"/>
    <w:rsid w:val="001E2710"/>
    <w:rsid w:val="001E271B"/>
    <w:rsid w:val="001E2A62"/>
    <w:rsid w:val="001E36B9"/>
    <w:rsid w:val="001E4DD5"/>
    <w:rsid w:val="001E6A56"/>
    <w:rsid w:val="001E6F56"/>
    <w:rsid w:val="001E7056"/>
    <w:rsid w:val="001F06A6"/>
    <w:rsid w:val="001F082A"/>
    <w:rsid w:val="001F0FCE"/>
    <w:rsid w:val="001F1715"/>
    <w:rsid w:val="001F18B2"/>
    <w:rsid w:val="001F2819"/>
    <w:rsid w:val="001F3D41"/>
    <w:rsid w:val="001F5646"/>
    <w:rsid w:val="001F5B0E"/>
    <w:rsid w:val="001F5DE1"/>
    <w:rsid w:val="001F76CD"/>
    <w:rsid w:val="002021CA"/>
    <w:rsid w:val="00203634"/>
    <w:rsid w:val="0020406D"/>
    <w:rsid w:val="002043EC"/>
    <w:rsid w:val="00204A7F"/>
    <w:rsid w:val="00204F8A"/>
    <w:rsid w:val="00205004"/>
    <w:rsid w:val="00205995"/>
    <w:rsid w:val="00205C12"/>
    <w:rsid w:val="00205D06"/>
    <w:rsid w:val="002065FF"/>
    <w:rsid w:val="0020683E"/>
    <w:rsid w:val="00206FBE"/>
    <w:rsid w:val="0020733E"/>
    <w:rsid w:val="00212403"/>
    <w:rsid w:val="00212FF2"/>
    <w:rsid w:val="00213E02"/>
    <w:rsid w:val="0021465A"/>
    <w:rsid w:val="00214E18"/>
    <w:rsid w:val="002151E5"/>
    <w:rsid w:val="00215459"/>
    <w:rsid w:val="00215824"/>
    <w:rsid w:val="00215A73"/>
    <w:rsid w:val="00215FD6"/>
    <w:rsid w:val="002166C9"/>
    <w:rsid w:val="002170B2"/>
    <w:rsid w:val="002215C5"/>
    <w:rsid w:val="00221F62"/>
    <w:rsid w:val="00222DD8"/>
    <w:rsid w:val="00224D8E"/>
    <w:rsid w:val="00225583"/>
    <w:rsid w:val="00225A04"/>
    <w:rsid w:val="002266F0"/>
    <w:rsid w:val="00230275"/>
    <w:rsid w:val="0023142C"/>
    <w:rsid w:val="00231539"/>
    <w:rsid w:val="00233B17"/>
    <w:rsid w:val="00233E18"/>
    <w:rsid w:val="002341E2"/>
    <w:rsid w:val="00234838"/>
    <w:rsid w:val="00235905"/>
    <w:rsid w:val="002372F4"/>
    <w:rsid w:val="00237B03"/>
    <w:rsid w:val="002402D5"/>
    <w:rsid w:val="00240D83"/>
    <w:rsid w:val="00241F81"/>
    <w:rsid w:val="00242F8B"/>
    <w:rsid w:val="002430AB"/>
    <w:rsid w:val="0024328F"/>
    <w:rsid w:val="00243DC0"/>
    <w:rsid w:val="0024597E"/>
    <w:rsid w:val="00245AB2"/>
    <w:rsid w:val="00245DCF"/>
    <w:rsid w:val="00246589"/>
    <w:rsid w:val="00246A38"/>
    <w:rsid w:val="00247477"/>
    <w:rsid w:val="002474E8"/>
    <w:rsid w:val="00250959"/>
    <w:rsid w:val="002530E1"/>
    <w:rsid w:val="002531F1"/>
    <w:rsid w:val="002542DF"/>
    <w:rsid w:val="00255418"/>
    <w:rsid w:val="002554B1"/>
    <w:rsid w:val="00257330"/>
    <w:rsid w:val="00260861"/>
    <w:rsid w:val="00261E6B"/>
    <w:rsid w:val="002623CD"/>
    <w:rsid w:val="00262B3D"/>
    <w:rsid w:val="002631EF"/>
    <w:rsid w:val="00263548"/>
    <w:rsid w:val="00264F80"/>
    <w:rsid w:val="002659A3"/>
    <w:rsid w:val="00265C8F"/>
    <w:rsid w:val="00266271"/>
    <w:rsid w:val="00266CF3"/>
    <w:rsid w:val="00267447"/>
    <w:rsid w:val="00267B35"/>
    <w:rsid w:val="002703D3"/>
    <w:rsid w:val="00270440"/>
    <w:rsid w:val="002705C3"/>
    <w:rsid w:val="00271270"/>
    <w:rsid w:val="0027138D"/>
    <w:rsid w:val="0027176B"/>
    <w:rsid w:val="00272032"/>
    <w:rsid w:val="0027274B"/>
    <w:rsid w:val="002729E4"/>
    <w:rsid w:val="00272D56"/>
    <w:rsid w:val="00274A77"/>
    <w:rsid w:val="00275CD9"/>
    <w:rsid w:val="00276991"/>
    <w:rsid w:val="00276D4D"/>
    <w:rsid w:val="002770BA"/>
    <w:rsid w:val="0027755C"/>
    <w:rsid w:val="0028061E"/>
    <w:rsid w:val="002817B1"/>
    <w:rsid w:val="00281B76"/>
    <w:rsid w:val="002837AC"/>
    <w:rsid w:val="00284B0B"/>
    <w:rsid w:val="00286A84"/>
    <w:rsid w:val="0029199A"/>
    <w:rsid w:val="00292243"/>
    <w:rsid w:val="00292CEF"/>
    <w:rsid w:val="00292D62"/>
    <w:rsid w:val="0029331D"/>
    <w:rsid w:val="002939EF"/>
    <w:rsid w:val="00293DEE"/>
    <w:rsid w:val="00293E34"/>
    <w:rsid w:val="00294D68"/>
    <w:rsid w:val="002959EE"/>
    <w:rsid w:val="0029611A"/>
    <w:rsid w:val="002961C0"/>
    <w:rsid w:val="00297305"/>
    <w:rsid w:val="00297D26"/>
    <w:rsid w:val="002A0B5D"/>
    <w:rsid w:val="002A0D92"/>
    <w:rsid w:val="002A1F8F"/>
    <w:rsid w:val="002A22AA"/>
    <w:rsid w:val="002A7B89"/>
    <w:rsid w:val="002B0508"/>
    <w:rsid w:val="002B0DD7"/>
    <w:rsid w:val="002B2348"/>
    <w:rsid w:val="002B3DE2"/>
    <w:rsid w:val="002B3E5F"/>
    <w:rsid w:val="002B40F6"/>
    <w:rsid w:val="002B43B8"/>
    <w:rsid w:val="002B4A30"/>
    <w:rsid w:val="002B4B4C"/>
    <w:rsid w:val="002B549F"/>
    <w:rsid w:val="002B59C2"/>
    <w:rsid w:val="002B5A63"/>
    <w:rsid w:val="002B5EEE"/>
    <w:rsid w:val="002B6395"/>
    <w:rsid w:val="002B6AE0"/>
    <w:rsid w:val="002B72F3"/>
    <w:rsid w:val="002B7C37"/>
    <w:rsid w:val="002B7DA9"/>
    <w:rsid w:val="002C237C"/>
    <w:rsid w:val="002C39D7"/>
    <w:rsid w:val="002C458A"/>
    <w:rsid w:val="002C730F"/>
    <w:rsid w:val="002C763B"/>
    <w:rsid w:val="002C7FE9"/>
    <w:rsid w:val="002D019D"/>
    <w:rsid w:val="002D04FD"/>
    <w:rsid w:val="002D069D"/>
    <w:rsid w:val="002D0F0F"/>
    <w:rsid w:val="002D2191"/>
    <w:rsid w:val="002D4089"/>
    <w:rsid w:val="002D4EFD"/>
    <w:rsid w:val="002D7922"/>
    <w:rsid w:val="002D796C"/>
    <w:rsid w:val="002D7BD5"/>
    <w:rsid w:val="002E03F9"/>
    <w:rsid w:val="002E0AFA"/>
    <w:rsid w:val="002E237A"/>
    <w:rsid w:val="002E2A6B"/>
    <w:rsid w:val="002E4242"/>
    <w:rsid w:val="002E4697"/>
    <w:rsid w:val="002E6037"/>
    <w:rsid w:val="002F04F8"/>
    <w:rsid w:val="002F07EB"/>
    <w:rsid w:val="002F1C54"/>
    <w:rsid w:val="002F1C5F"/>
    <w:rsid w:val="002F1FD5"/>
    <w:rsid w:val="002F2877"/>
    <w:rsid w:val="002F3C4A"/>
    <w:rsid w:val="002F4D26"/>
    <w:rsid w:val="002F61EB"/>
    <w:rsid w:val="002F6404"/>
    <w:rsid w:val="002F6D77"/>
    <w:rsid w:val="002F6E20"/>
    <w:rsid w:val="002F7626"/>
    <w:rsid w:val="002F7A7A"/>
    <w:rsid w:val="002F7CFC"/>
    <w:rsid w:val="003016EA"/>
    <w:rsid w:val="00301940"/>
    <w:rsid w:val="00301956"/>
    <w:rsid w:val="00301965"/>
    <w:rsid w:val="003039A5"/>
    <w:rsid w:val="00304D72"/>
    <w:rsid w:val="003052C9"/>
    <w:rsid w:val="003055B9"/>
    <w:rsid w:val="003066E2"/>
    <w:rsid w:val="003102FA"/>
    <w:rsid w:val="00310D64"/>
    <w:rsid w:val="0031111A"/>
    <w:rsid w:val="00311B99"/>
    <w:rsid w:val="00311C6F"/>
    <w:rsid w:val="0031260F"/>
    <w:rsid w:val="003154C3"/>
    <w:rsid w:val="00316071"/>
    <w:rsid w:val="003162D4"/>
    <w:rsid w:val="0032003D"/>
    <w:rsid w:val="00320EC1"/>
    <w:rsid w:val="00321F9F"/>
    <w:rsid w:val="003228A7"/>
    <w:rsid w:val="00322F08"/>
    <w:rsid w:val="0032785C"/>
    <w:rsid w:val="00327872"/>
    <w:rsid w:val="0033030E"/>
    <w:rsid w:val="00331176"/>
    <w:rsid w:val="0033136A"/>
    <w:rsid w:val="003313D2"/>
    <w:rsid w:val="003313DA"/>
    <w:rsid w:val="003318B3"/>
    <w:rsid w:val="00331DA4"/>
    <w:rsid w:val="00331F7C"/>
    <w:rsid w:val="00332127"/>
    <w:rsid w:val="003327AF"/>
    <w:rsid w:val="00332E7D"/>
    <w:rsid w:val="00334872"/>
    <w:rsid w:val="00334DFD"/>
    <w:rsid w:val="0033513D"/>
    <w:rsid w:val="0033559D"/>
    <w:rsid w:val="00335614"/>
    <w:rsid w:val="00335A3E"/>
    <w:rsid w:val="00335D5F"/>
    <w:rsid w:val="003362F8"/>
    <w:rsid w:val="003363AD"/>
    <w:rsid w:val="00336B04"/>
    <w:rsid w:val="00340331"/>
    <w:rsid w:val="00340E07"/>
    <w:rsid w:val="003412FC"/>
    <w:rsid w:val="00341B04"/>
    <w:rsid w:val="0034257C"/>
    <w:rsid w:val="003429BD"/>
    <w:rsid w:val="00342AE4"/>
    <w:rsid w:val="00342B95"/>
    <w:rsid w:val="00343E5C"/>
    <w:rsid w:val="003441F2"/>
    <w:rsid w:val="00345345"/>
    <w:rsid w:val="00345C8B"/>
    <w:rsid w:val="00345D60"/>
    <w:rsid w:val="003464F3"/>
    <w:rsid w:val="0035034C"/>
    <w:rsid w:val="00350A15"/>
    <w:rsid w:val="00350D64"/>
    <w:rsid w:val="00350E9F"/>
    <w:rsid w:val="00354181"/>
    <w:rsid w:val="00354700"/>
    <w:rsid w:val="00354CE4"/>
    <w:rsid w:val="003552AB"/>
    <w:rsid w:val="00355669"/>
    <w:rsid w:val="00356C15"/>
    <w:rsid w:val="00357031"/>
    <w:rsid w:val="0036017B"/>
    <w:rsid w:val="00361668"/>
    <w:rsid w:val="003623BE"/>
    <w:rsid w:val="00362755"/>
    <w:rsid w:val="00363168"/>
    <w:rsid w:val="00364ECB"/>
    <w:rsid w:val="00365220"/>
    <w:rsid w:val="00366522"/>
    <w:rsid w:val="003674B7"/>
    <w:rsid w:val="00370FF7"/>
    <w:rsid w:val="00371582"/>
    <w:rsid w:val="003726B1"/>
    <w:rsid w:val="00372709"/>
    <w:rsid w:val="00372FF0"/>
    <w:rsid w:val="00373479"/>
    <w:rsid w:val="00373B93"/>
    <w:rsid w:val="00373FC5"/>
    <w:rsid w:val="0037580A"/>
    <w:rsid w:val="0037697C"/>
    <w:rsid w:val="00377212"/>
    <w:rsid w:val="00381218"/>
    <w:rsid w:val="00381306"/>
    <w:rsid w:val="00381400"/>
    <w:rsid w:val="003818FC"/>
    <w:rsid w:val="00381EBD"/>
    <w:rsid w:val="00382645"/>
    <w:rsid w:val="003834C9"/>
    <w:rsid w:val="003839A4"/>
    <w:rsid w:val="00383E8D"/>
    <w:rsid w:val="00384446"/>
    <w:rsid w:val="00384BFE"/>
    <w:rsid w:val="00385755"/>
    <w:rsid w:val="0038651D"/>
    <w:rsid w:val="00386895"/>
    <w:rsid w:val="00387879"/>
    <w:rsid w:val="0038794E"/>
    <w:rsid w:val="00390533"/>
    <w:rsid w:val="00390C8E"/>
    <w:rsid w:val="00391075"/>
    <w:rsid w:val="00391180"/>
    <w:rsid w:val="003914C6"/>
    <w:rsid w:val="00391899"/>
    <w:rsid w:val="00391B2D"/>
    <w:rsid w:val="003920BA"/>
    <w:rsid w:val="003928A7"/>
    <w:rsid w:val="00393A0B"/>
    <w:rsid w:val="003941FE"/>
    <w:rsid w:val="00395058"/>
    <w:rsid w:val="00395675"/>
    <w:rsid w:val="00395B34"/>
    <w:rsid w:val="00395E72"/>
    <w:rsid w:val="00395F36"/>
    <w:rsid w:val="00397029"/>
    <w:rsid w:val="003970B8"/>
    <w:rsid w:val="0039752C"/>
    <w:rsid w:val="003976BE"/>
    <w:rsid w:val="00397EB2"/>
    <w:rsid w:val="003A0228"/>
    <w:rsid w:val="003A0743"/>
    <w:rsid w:val="003A178C"/>
    <w:rsid w:val="003A1949"/>
    <w:rsid w:val="003A27B0"/>
    <w:rsid w:val="003A2DF1"/>
    <w:rsid w:val="003A3305"/>
    <w:rsid w:val="003A38F0"/>
    <w:rsid w:val="003A3CFE"/>
    <w:rsid w:val="003A4E5D"/>
    <w:rsid w:val="003A79B5"/>
    <w:rsid w:val="003A7ED4"/>
    <w:rsid w:val="003B1629"/>
    <w:rsid w:val="003B3006"/>
    <w:rsid w:val="003B301F"/>
    <w:rsid w:val="003B3725"/>
    <w:rsid w:val="003B42B3"/>
    <w:rsid w:val="003B4F0A"/>
    <w:rsid w:val="003B566D"/>
    <w:rsid w:val="003B6696"/>
    <w:rsid w:val="003B737E"/>
    <w:rsid w:val="003B76D7"/>
    <w:rsid w:val="003B7983"/>
    <w:rsid w:val="003B7C36"/>
    <w:rsid w:val="003C0DB6"/>
    <w:rsid w:val="003C2684"/>
    <w:rsid w:val="003C27F4"/>
    <w:rsid w:val="003C354C"/>
    <w:rsid w:val="003C4FAC"/>
    <w:rsid w:val="003C5E1F"/>
    <w:rsid w:val="003C5F69"/>
    <w:rsid w:val="003C5FD1"/>
    <w:rsid w:val="003C65D1"/>
    <w:rsid w:val="003C6A8C"/>
    <w:rsid w:val="003C76E2"/>
    <w:rsid w:val="003D0BF5"/>
    <w:rsid w:val="003D350B"/>
    <w:rsid w:val="003D3EC4"/>
    <w:rsid w:val="003D43A0"/>
    <w:rsid w:val="003D5812"/>
    <w:rsid w:val="003D58F6"/>
    <w:rsid w:val="003D5D1E"/>
    <w:rsid w:val="003D677A"/>
    <w:rsid w:val="003D7618"/>
    <w:rsid w:val="003E28E6"/>
    <w:rsid w:val="003E2ED9"/>
    <w:rsid w:val="003E33EC"/>
    <w:rsid w:val="003E52FD"/>
    <w:rsid w:val="003E60EB"/>
    <w:rsid w:val="003E68E0"/>
    <w:rsid w:val="003E69B1"/>
    <w:rsid w:val="003E6A7E"/>
    <w:rsid w:val="003E78A6"/>
    <w:rsid w:val="003E7AD9"/>
    <w:rsid w:val="003F09EC"/>
    <w:rsid w:val="003F291E"/>
    <w:rsid w:val="003F2B4D"/>
    <w:rsid w:val="003F3364"/>
    <w:rsid w:val="003F3423"/>
    <w:rsid w:val="003F3F5B"/>
    <w:rsid w:val="003F4329"/>
    <w:rsid w:val="003F4498"/>
    <w:rsid w:val="003F59F4"/>
    <w:rsid w:val="003F6017"/>
    <w:rsid w:val="003F6B31"/>
    <w:rsid w:val="003F767B"/>
    <w:rsid w:val="00401095"/>
    <w:rsid w:val="00401486"/>
    <w:rsid w:val="004014CC"/>
    <w:rsid w:val="00402893"/>
    <w:rsid w:val="004037F1"/>
    <w:rsid w:val="0040416A"/>
    <w:rsid w:val="00404253"/>
    <w:rsid w:val="00405F58"/>
    <w:rsid w:val="00405F9D"/>
    <w:rsid w:val="004070AE"/>
    <w:rsid w:val="00410AB3"/>
    <w:rsid w:val="004113BE"/>
    <w:rsid w:val="00412534"/>
    <w:rsid w:val="00412C83"/>
    <w:rsid w:val="00412F65"/>
    <w:rsid w:val="004147C5"/>
    <w:rsid w:val="004157B6"/>
    <w:rsid w:val="00416100"/>
    <w:rsid w:val="00416145"/>
    <w:rsid w:val="00416BEB"/>
    <w:rsid w:val="00417466"/>
    <w:rsid w:val="00417885"/>
    <w:rsid w:val="0042123A"/>
    <w:rsid w:val="00421A25"/>
    <w:rsid w:val="00421E42"/>
    <w:rsid w:val="00423522"/>
    <w:rsid w:val="004248D5"/>
    <w:rsid w:val="00424AB5"/>
    <w:rsid w:val="0042568B"/>
    <w:rsid w:val="00425926"/>
    <w:rsid w:val="00426014"/>
    <w:rsid w:val="004268F4"/>
    <w:rsid w:val="004270B9"/>
    <w:rsid w:val="00430232"/>
    <w:rsid w:val="00432980"/>
    <w:rsid w:val="00432FAD"/>
    <w:rsid w:val="004357A2"/>
    <w:rsid w:val="00435E6C"/>
    <w:rsid w:val="0043765F"/>
    <w:rsid w:val="00437D43"/>
    <w:rsid w:val="00440FB8"/>
    <w:rsid w:val="00443508"/>
    <w:rsid w:val="004436BD"/>
    <w:rsid w:val="00443ADE"/>
    <w:rsid w:val="00444A3A"/>
    <w:rsid w:val="00444AC1"/>
    <w:rsid w:val="00445450"/>
    <w:rsid w:val="004459E0"/>
    <w:rsid w:val="0044705E"/>
    <w:rsid w:val="004471AA"/>
    <w:rsid w:val="004473E2"/>
    <w:rsid w:val="00450187"/>
    <w:rsid w:val="00450461"/>
    <w:rsid w:val="00450BDA"/>
    <w:rsid w:val="00450E4B"/>
    <w:rsid w:val="00451387"/>
    <w:rsid w:val="00451839"/>
    <w:rsid w:val="00451A6F"/>
    <w:rsid w:val="004539F7"/>
    <w:rsid w:val="004546F0"/>
    <w:rsid w:val="00454876"/>
    <w:rsid w:val="004555B0"/>
    <w:rsid w:val="00456290"/>
    <w:rsid w:val="0045701E"/>
    <w:rsid w:val="00457703"/>
    <w:rsid w:val="0045782A"/>
    <w:rsid w:val="00460515"/>
    <w:rsid w:val="00460B7D"/>
    <w:rsid w:val="004616BB"/>
    <w:rsid w:val="004619DE"/>
    <w:rsid w:val="00461FD0"/>
    <w:rsid w:val="00462A5D"/>
    <w:rsid w:val="00464283"/>
    <w:rsid w:val="00464DD6"/>
    <w:rsid w:val="0046597C"/>
    <w:rsid w:val="004671A5"/>
    <w:rsid w:val="00467986"/>
    <w:rsid w:val="00467A8E"/>
    <w:rsid w:val="00470269"/>
    <w:rsid w:val="0047034B"/>
    <w:rsid w:val="0047105D"/>
    <w:rsid w:val="0047160A"/>
    <w:rsid w:val="00471AB0"/>
    <w:rsid w:val="00472152"/>
    <w:rsid w:val="00472194"/>
    <w:rsid w:val="00472AF0"/>
    <w:rsid w:val="0047372B"/>
    <w:rsid w:val="004759F5"/>
    <w:rsid w:val="00475A3D"/>
    <w:rsid w:val="00475A69"/>
    <w:rsid w:val="0047690A"/>
    <w:rsid w:val="00476F8D"/>
    <w:rsid w:val="00480597"/>
    <w:rsid w:val="00480671"/>
    <w:rsid w:val="00480CB0"/>
    <w:rsid w:val="0048183A"/>
    <w:rsid w:val="00483005"/>
    <w:rsid w:val="00483565"/>
    <w:rsid w:val="004836E1"/>
    <w:rsid w:val="004838CC"/>
    <w:rsid w:val="00483CE2"/>
    <w:rsid w:val="00484920"/>
    <w:rsid w:val="00486B3B"/>
    <w:rsid w:val="0048700C"/>
    <w:rsid w:val="0048712A"/>
    <w:rsid w:val="00487473"/>
    <w:rsid w:val="00490CA4"/>
    <w:rsid w:val="00491684"/>
    <w:rsid w:val="0049186E"/>
    <w:rsid w:val="00491D70"/>
    <w:rsid w:val="00493790"/>
    <w:rsid w:val="004937E1"/>
    <w:rsid w:val="00494713"/>
    <w:rsid w:val="004954A6"/>
    <w:rsid w:val="004957B6"/>
    <w:rsid w:val="00495F07"/>
    <w:rsid w:val="00496BA6"/>
    <w:rsid w:val="00496FF7"/>
    <w:rsid w:val="00497D34"/>
    <w:rsid w:val="004A0549"/>
    <w:rsid w:val="004A15C2"/>
    <w:rsid w:val="004A2240"/>
    <w:rsid w:val="004A2B6D"/>
    <w:rsid w:val="004A2D64"/>
    <w:rsid w:val="004A3542"/>
    <w:rsid w:val="004A3C19"/>
    <w:rsid w:val="004A3E13"/>
    <w:rsid w:val="004A3E3D"/>
    <w:rsid w:val="004A3FF7"/>
    <w:rsid w:val="004A4BAE"/>
    <w:rsid w:val="004A6CCB"/>
    <w:rsid w:val="004A6D6C"/>
    <w:rsid w:val="004A6E4A"/>
    <w:rsid w:val="004A6E50"/>
    <w:rsid w:val="004A7A8A"/>
    <w:rsid w:val="004A7BE8"/>
    <w:rsid w:val="004B2273"/>
    <w:rsid w:val="004B23F7"/>
    <w:rsid w:val="004B305A"/>
    <w:rsid w:val="004B31C3"/>
    <w:rsid w:val="004B34EA"/>
    <w:rsid w:val="004B3E16"/>
    <w:rsid w:val="004B46D0"/>
    <w:rsid w:val="004B4B28"/>
    <w:rsid w:val="004B5494"/>
    <w:rsid w:val="004B5577"/>
    <w:rsid w:val="004B5667"/>
    <w:rsid w:val="004B6176"/>
    <w:rsid w:val="004C1B16"/>
    <w:rsid w:val="004C3129"/>
    <w:rsid w:val="004C38CE"/>
    <w:rsid w:val="004C38D3"/>
    <w:rsid w:val="004C59FF"/>
    <w:rsid w:val="004C7A67"/>
    <w:rsid w:val="004C7D3A"/>
    <w:rsid w:val="004D0FD5"/>
    <w:rsid w:val="004D38AF"/>
    <w:rsid w:val="004D4312"/>
    <w:rsid w:val="004D4D1F"/>
    <w:rsid w:val="004D501A"/>
    <w:rsid w:val="004D531F"/>
    <w:rsid w:val="004D5DEC"/>
    <w:rsid w:val="004D7474"/>
    <w:rsid w:val="004D7FF0"/>
    <w:rsid w:val="004E1DD5"/>
    <w:rsid w:val="004E34B5"/>
    <w:rsid w:val="004E4183"/>
    <w:rsid w:val="004E4A7A"/>
    <w:rsid w:val="004E589E"/>
    <w:rsid w:val="004E59B9"/>
    <w:rsid w:val="004E715B"/>
    <w:rsid w:val="004F024E"/>
    <w:rsid w:val="004F09A7"/>
    <w:rsid w:val="004F0B38"/>
    <w:rsid w:val="004F0E35"/>
    <w:rsid w:val="004F1916"/>
    <w:rsid w:val="004F1C76"/>
    <w:rsid w:val="004F2766"/>
    <w:rsid w:val="004F29FB"/>
    <w:rsid w:val="004F5402"/>
    <w:rsid w:val="004F59B9"/>
    <w:rsid w:val="004F5C5A"/>
    <w:rsid w:val="004F6379"/>
    <w:rsid w:val="004F652F"/>
    <w:rsid w:val="004F6D14"/>
    <w:rsid w:val="004F6D86"/>
    <w:rsid w:val="004F729F"/>
    <w:rsid w:val="00500B9A"/>
    <w:rsid w:val="00500BCB"/>
    <w:rsid w:val="005018A8"/>
    <w:rsid w:val="00501BBD"/>
    <w:rsid w:val="005021E8"/>
    <w:rsid w:val="005036B6"/>
    <w:rsid w:val="00503CCD"/>
    <w:rsid w:val="005042DE"/>
    <w:rsid w:val="00505028"/>
    <w:rsid w:val="0050519B"/>
    <w:rsid w:val="00505768"/>
    <w:rsid w:val="00505A39"/>
    <w:rsid w:val="005064BE"/>
    <w:rsid w:val="00506DFC"/>
    <w:rsid w:val="00506E52"/>
    <w:rsid w:val="005107BF"/>
    <w:rsid w:val="0051175F"/>
    <w:rsid w:val="00512198"/>
    <w:rsid w:val="005125E0"/>
    <w:rsid w:val="0051276E"/>
    <w:rsid w:val="005129F4"/>
    <w:rsid w:val="00513405"/>
    <w:rsid w:val="005142FD"/>
    <w:rsid w:val="00514572"/>
    <w:rsid w:val="00514787"/>
    <w:rsid w:val="00514D5E"/>
    <w:rsid w:val="0051553B"/>
    <w:rsid w:val="0051586D"/>
    <w:rsid w:val="0051625A"/>
    <w:rsid w:val="00516336"/>
    <w:rsid w:val="00516726"/>
    <w:rsid w:val="00516736"/>
    <w:rsid w:val="00516A2C"/>
    <w:rsid w:val="00520B84"/>
    <w:rsid w:val="0052106B"/>
    <w:rsid w:val="00521C55"/>
    <w:rsid w:val="00522460"/>
    <w:rsid w:val="00522A67"/>
    <w:rsid w:val="0052330B"/>
    <w:rsid w:val="005234F3"/>
    <w:rsid w:val="005240BF"/>
    <w:rsid w:val="00524651"/>
    <w:rsid w:val="0052574A"/>
    <w:rsid w:val="00526E15"/>
    <w:rsid w:val="00530F01"/>
    <w:rsid w:val="00531F11"/>
    <w:rsid w:val="00532465"/>
    <w:rsid w:val="00533501"/>
    <w:rsid w:val="00533552"/>
    <w:rsid w:val="005335EA"/>
    <w:rsid w:val="00533FAC"/>
    <w:rsid w:val="005341B9"/>
    <w:rsid w:val="005363FF"/>
    <w:rsid w:val="0053645A"/>
    <w:rsid w:val="00537108"/>
    <w:rsid w:val="00537904"/>
    <w:rsid w:val="00540B56"/>
    <w:rsid w:val="00540E8F"/>
    <w:rsid w:val="00540EA2"/>
    <w:rsid w:val="0054109D"/>
    <w:rsid w:val="00541A97"/>
    <w:rsid w:val="005422C1"/>
    <w:rsid w:val="005422E0"/>
    <w:rsid w:val="0054237D"/>
    <w:rsid w:val="00542D3F"/>
    <w:rsid w:val="00543F35"/>
    <w:rsid w:val="005445F1"/>
    <w:rsid w:val="005457F4"/>
    <w:rsid w:val="005503C5"/>
    <w:rsid w:val="00552164"/>
    <w:rsid w:val="005521C0"/>
    <w:rsid w:val="005522AE"/>
    <w:rsid w:val="00553526"/>
    <w:rsid w:val="00553C5F"/>
    <w:rsid w:val="00555423"/>
    <w:rsid w:val="00555A21"/>
    <w:rsid w:val="00555CDB"/>
    <w:rsid w:val="00557476"/>
    <w:rsid w:val="0056126D"/>
    <w:rsid w:val="005622F1"/>
    <w:rsid w:val="005629F7"/>
    <w:rsid w:val="0056387E"/>
    <w:rsid w:val="00563F43"/>
    <w:rsid w:val="00565641"/>
    <w:rsid w:val="00567323"/>
    <w:rsid w:val="00567B00"/>
    <w:rsid w:val="00567CF4"/>
    <w:rsid w:val="00567D8B"/>
    <w:rsid w:val="00570A13"/>
    <w:rsid w:val="00570CDE"/>
    <w:rsid w:val="005710A4"/>
    <w:rsid w:val="00572081"/>
    <w:rsid w:val="00572677"/>
    <w:rsid w:val="00573C7F"/>
    <w:rsid w:val="00573C92"/>
    <w:rsid w:val="005744C8"/>
    <w:rsid w:val="00574C21"/>
    <w:rsid w:val="005760CB"/>
    <w:rsid w:val="00577AD2"/>
    <w:rsid w:val="00577B69"/>
    <w:rsid w:val="0058006D"/>
    <w:rsid w:val="00583B3B"/>
    <w:rsid w:val="00584704"/>
    <w:rsid w:val="005847B6"/>
    <w:rsid w:val="00585390"/>
    <w:rsid w:val="0058574C"/>
    <w:rsid w:val="0058695E"/>
    <w:rsid w:val="005871FE"/>
    <w:rsid w:val="005917BF"/>
    <w:rsid w:val="00591B23"/>
    <w:rsid w:val="00592245"/>
    <w:rsid w:val="0059299D"/>
    <w:rsid w:val="00592D75"/>
    <w:rsid w:val="005930F5"/>
    <w:rsid w:val="005939A5"/>
    <w:rsid w:val="00594D27"/>
    <w:rsid w:val="00594E5E"/>
    <w:rsid w:val="00596553"/>
    <w:rsid w:val="005A148C"/>
    <w:rsid w:val="005A17D6"/>
    <w:rsid w:val="005A3CAA"/>
    <w:rsid w:val="005A3D79"/>
    <w:rsid w:val="005A5DC2"/>
    <w:rsid w:val="005A6CE2"/>
    <w:rsid w:val="005A6F00"/>
    <w:rsid w:val="005A7539"/>
    <w:rsid w:val="005B06BE"/>
    <w:rsid w:val="005B0CC0"/>
    <w:rsid w:val="005B1475"/>
    <w:rsid w:val="005B2332"/>
    <w:rsid w:val="005B3073"/>
    <w:rsid w:val="005B37C6"/>
    <w:rsid w:val="005B3B0E"/>
    <w:rsid w:val="005B3DA8"/>
    <w:rsid w:val="005B433D"/>
    <w:rsid w:val="005B4A81"/>
    <w:rsid w:val="005B5060"/>
    <w:rsid w:val="005B57E2"/>
    <w:rsid w:val="005B6130"/>
    <w:rsid w:val="005B639E"/>
    <w:rsid w:val="005B7451"/>
    <w:rsid w:val="005C0986"/>
    <w:rsid w:val="005C30D7"/>
    <w:rsid w:val="005C3FD2"/>
    <w:rsid w:val="005C4FB0"/>
    <w:rsid w:val="005C5597"/>
    <w:rsid w:val="005C75EE"/>
    <w:rsid w:val="005C7988"/>
    <w:rsid w:val="005D051F"/>
    <w:rsid w:val="005D1ACD"/>
    <w:rsid w:val="005D1CE5"/>
    <w:rsid w:val="005D436D"/>
    <w:rsid w:val="005D4683"/>
    <w:rsid w:val="005D5A08"/>
    <w:rsid w:val="005D6305"/>
    <w:rsid w:val="005D6497"/>
    <w:rsid w:val="005D6523"/>
    <w:rsid w:val="005D6C54"/>
    <w:rsid w:val="005D736A"/>
    <w:rsid w:val="005E00B7"/>
    <w:rsid w:val="005E0215"/>
    <w:rsid w:val="005E0893"/>
    <w:rsid w:val="005E47BB"/>
    <w:rsid w:val="005E4FF1"/>
    <w:rsid w:val="005E5E19"/>
    <w:rsid w:val="005E6640"/>
    <w:rsid w:val="005E723C"/>
    <w:rsid w:val="005E74A1"/>
    <w:rsid w:val="005E7D02"/>
    <w:rsid w:val="005F05CC"/>
    <w:rsid w:val="005F080D"/>
    <w:rsid w:val="005F196F"/>
    <w:rsid w:val="005F19C1"/>
    <w:rsid w:val="005F1BD2"/>
    <w:rsid w:val="005F204F"/>
    <w:rsid w:val="005F377B"/>
    <w:rsid w:val="005F4433"/>
    <w:rsid w:val="005F487E"/>
    <w:rsid w:val="005F6C26"/>
    <w:rsid w:val="005F7410"/>
    <w:rsid w:val="006011DA"/>
    <w:rsid w:val="00601466"/>
    <w:rsid w:val="0060190E"/>
    <w:rsid w:val="00601B4D"/>
    <w:rsid w:val="00601BC6"/>
    <w:rsid w:val="00603132"/>
    <w:rsid w:val="0060463A"/>
    <w:rsid w:val="0060515D"/>
    <w:rsid w:val="006057BC"/>
    <w:rsid w:val="0061029D"/>
    <w:rsid w:val="006107F3"/>
    <w:rsid w:val="00611F3D"/>
    <w:rsid w:val="006124C8"/>
    <w:rsid w:val="00613194"/>
    <w:rsid w:val="0061409E"/>
    <w:rsid w:val="00614211"/>
    <w:rsid w:val="006165E9"/>
    <w:rsid w:val="0061682A"/>
    <w:rsid w:val="00616B23"/>
    <w:rsid w:val="00617023"/>
    <w:rsid w:val="00617582"/>
    <w:rsid w:val="0061775E"/>
    <w:rsid w:val="006227FB"/>
    <w:rsid w:val="00623F42"/>
    <w:rsid w:val="00625B57"/>
    <w:rsid w:val="00626FED"/>
    <w:rsid w:val="0062721E"/>
    <w:rsid w:val="00630CF6"/>
    <w:rsid w:val="00631030"/>
    <w:rsid w:val="00631C95"/>
    <w:rsid w:val="00631F21"/>
    <w:rsid w:val="00632207"/>
    <w:rsid w:val="006338C8"/>
    <w:rsid w:val="0063491C"/>
    <w:rsid w:val="00634FE7"/>
    <w:rsid w:val="00635704"/>
    <w:rsid w:val="00636FD3"/>
    <w:rsid w:val="006374BE"/>
    <w:rsid w:val="0063771A"/>
    <w:rsid w:val="00641CEA"/>
    <w:rsid w:val="00642823"/>
    <w:rsid w:val="00642DBA"/>
    <w:rsid w:val="006438C2"/>
    <w:rsid w:val="0064440A"/>
    <w:rsid w:val="006446E1"/>
    <w:rsid w:val="00644FCD"/>
    <w:rsid w:val="00645316"/>
    <w:rsid w:val="0064626B"/>
    <w:rsid w:val="00646F21"/>
    <w:rsid w:val="00646F7F"/>
    <w:rsid w:val="006471F5"/>
    <w:rsid w:val="00647680"/>
    <w:rsid w:val="006476DC"/>
    <w:rsid w:val="00647E8C"/>
    <w:rsid w:val="00650243"/>
    <w:rsid w:val="00650290"/>
    <w:rsid w:val="00650335"/>
    <w:rsid w:val="00650465"/>
    <w:rsid w:val="006508F3"/>
    <w:rsid w:val="00651939"/>
    <w:rsid w:val="00652B20"/>
    <w:rsid w:val="00652F7C"/>
    <w:rsid w:val="00652FFF"/>
    <w:rsid w:val="006532EF"/>
    <w:rsid w:val="006541FE"/>
    <w:rsid w:val="00654656"/>
    <w:rsid w:val="00654A99"/>
    <w:rsid w:val="00654F57"/>
    <w:rsid w:val="006576CE"/>
    <w:rsid w:val="00657F7D"/>
    <w:rsid w:val="00657FB9"/>
    <w:rsid w:val="006600B3"/>
    <w:rsid w:val="00660260"/>
    <w:rsid w:val="00660F01"/>
    <w:rsid w:val="00661197"/>
    <w:rsid w:val="0066399F"/>
    <w:rsid w:val="00665131"/>
    <w:rsid w:val="00665A24"/>
    <w:rsid w:val="00667333"/>
    <w:rsid w:val="006675D3"/>
    <w:rsid w:val="00670A9C"/>
    <w:rsid w:val="006715A9"/>
    <w:rsid w:val="00673B2C"/>
    <w:rsid w:val="0067640E"/>
    <w:rsid w:val="00676E73"/>
    <w:rsid w:val="00681178"/>
    <w:rsid w:val="00683797"/>
    <w:rsid w:val="00683C9A"/>
    <w:rsid w:val="00684079"/>
    <w:rsid w:val="00684E88"/>
    <w:rsid w:val="00685751"/>
    <w:rsid w:val="006873DC"/>
    <w:rsid w:val="0069146C"/>
    <w:rsid w:val="00691549"/>
    <w:rsid w:val="00691DAA"/>
    <w:rsid w:val="0069225F"/>
    <w:rsid w:val="0069239A"/>
    <w:rsid w:val="006928AF"/>
    <w:rsid w:val="00693984"/>
    <w:rsid w:val="00694029"/>
    <w:rsid w:val="006968DD"/>
    <w:rsid w:val="00697336"/>
    <w:rsid w:val="006A0133"/>
    <w:rsid w:val="006A191D"/>
    <w:rsid w:val="006A1E2A"/>
    <w:rsid w:val="006A1F3E"/>
    <w:rsid w:val="006A248E"/>
    <w:rsid w:val="006A2A36"/>
    <w:rsid w:val="006A4218"/>
    <w:rsid w:val="006A551E"/>
    <w:rsid w:val="006A6E37"/>
    <w:rsid w:val="006A7FAC"/>
    <w:rsid w:val="006B0551"/>
    <w:rsid w:val="006B0E09"/>
    <w:rsid w:val="006B12B3"/>
    <w:rsid w:val="006B30C3"/>
    <w:rsid w:val="006B3133"/>
    <w:rsid w:val="006B3B56"/>
    <w:rsid w:val="006B4226"/>
    <w:rsid w:val="006B4632"/>
    <w:rsid w:val="006B5874"/>
    <w:rsid w:val="006B69CC"/>
    <w:rsid w:val="006B753C"/>
    <w:rsid w:val="006B7806"/>
    <w:rsid w:val="006C063F"/>
    <w:rsid w:val="006C1229"/>
    <w:rsid w:val="006C1253"/>
    <w:rsid w:val="006C1303"/>
    <w:rsid w:val="006C1A41"/>
    <w:rsid w:val="006C316B"/>
    <w:rsid w:val="006C32E7"/>
    <w:rsid w:val="006C39BD"/>
    <w:rsid w:val="006C703F"/>
    <w:rsid w:val="006C7491"/>
    <w:rsid w:val="006D0A94"/>
    <w:rsid w:val="006D0BC1"/>
    <w:rsid w:val="006D1061"/>
    <w:rsid w:val="006D1720"/>
    <w:rsid w:val="006D2243"/>
    <w:rsid w:val="006D2935"/>
    <w:rsid w:val="006D4084"/>
    <w:rsid w:val="006D439B"/>
    <w:rsid w:val="006D689E"/>
    <w:rsid w:val="006E042D"/>
    <w:rsid w:val="006E1CB6"/>
    <w:rsid w:val="006E24A6"/>
    <w:rsid w:val="006E260C"/>
    <w:rsid w:val="006E26C0"/>
    <w:rsid w:val="006E348A"/>
    <w:rsid w:val="006E3622"/>
    <w:rsid w:val="006E3C49"/>
    <w:rsid w:val="006E41DF"/>
    <w:rsid w:val="006E4434"/>
    <w:rsid w:val="006E5231"/>
    <w:rsid w:val="006E596B"/>
    <w:rsid w:val="006E5E28"/>
    <w:rsid w:val="006E6574"/>
    <w:rsid w:val="006E66B5"/>
    <w:rsid w:val="006F0042"/>
    <w:rsid w:val="006F0A2C"/>
    <w:rsid w:val="006F2456"/>
    <w:rsid w:val="006F3CEC"/>
    <w:rsid w:val="006F6525"/>
    <w:rsid w:val="006F6C0A"/>
    <w:rsid w:val="006F6CE7"/>
    <w:rsid w:val="006F6F19"/>
    <w:rsid w:val="006F7F8E"/>
    <w:rsid w:val="00700060"/>
    <w:rsid w:val="00700A97"/>
    <w:rsid w:val="00703CBB"/>
    <w:rsid w:val="00703DB2"/>
    <w:rsid w:val="00704132"/>
    <w:rsid w:val="00704424"/>
    <w:rsid w:val="00704475"/>
    <w:rsid w:val="0070541E"/>
    <w:rsid w:val="007058D4"/>
    <w:rsid w:val="00710BCE"/>
    <w:rsid w:val="00711ACA"/>
    <w:rsid w:val="00714CF2"/>
    <w:rsid w:val="007156B9"/>
    <w:rsid w:val="007157FE"/>
    <w:rsid w:val="007162D7"/>
    <w:rsid w:val="00716BB2"/>
    <w:rsid w:val="00717CC6"/>
    <w:rsid w:val="00720784"/>
    <w:rsid w:val="00720817"/>
    <w:rsid w:val="00721C3E"/>
    <w:rsid w:val="00721F95"/>
    <w:rsid w:val="007220ED"/>
    <w:rsid w:val="00722850"/>
    <w:rsid w:val="007228F5"/>
    <w:rsid w:val="00722919"/>
    <w:rsid w:val="00725308"/>
    <w:rsid w:val="007254F7"/>
    <w:rsid w:val="00725D44"/>
    <w:rsid w:val="007272BF"/>
    <w:rsid w:val="0073013C"/>
    <w:rsid w:val="00730D84"/>
    <w:rsid w:val="00730E65"/>
    <w:rsid w:val="007311C0"/>
    <w:rsid w:val="00732758"/>
    <w:rsid w:val="0073353F"/>
    <w:rsid w:val="00734544"/>
    <w:rsid w:val="00734EC5"/>
    <w:rsid w:val="007363AA"/>
    <w:rsid w:val="00736517"/>
    <w:rsid w:val="007405BF"/>
    <w:rsid w:val="0074297B"/>
    <w:rsid w:val="00742E45"/>
    <w:rsid w:val="00743B8C"/>
    <w:rsid w:val="0074404A"/>
    <w:rsid w:val="007447AF"/>
    <w:rsid w:val="00744AED"/>
    <w:rsid w:val="00745702"/>
    <w:rsid w:val="00746C75"/>
    <w:rsid w:val="00747185"/>
    <w:rsid w:val="00747361"/>
    <w:rsid w:val="00750816"/>
    <w:rsid w:val="0075252F"/>
    <w:rsid w:val="00752ECA"/>
    <w:rsid w:val="00753199"/>
    <w:rsid w:val="007531DF"/>
    <w:rsid w:val="00753E73"/>
    <w:rsid w:val="0075537D"/>
    <w:rsid w:val="00755949"/>
    <w:rsid w:val="00756747"/>
    <w:rsid w:val="007616AD"/>
    <w:rsid w:val="00762054"/>
    <w:rsid w:val="00762C4B"/>
    <w:rsid w:val="00763810"/>
    <w:rsid w:val="00763BD2"/>
    <w:rsid w:val="00763CB8"/>
    <w:rsid w:val="00763DA8"/>
    <w:rsid w:val="00764364"/>
    <w:rsid w:val="00764E54"/>
    <w:rsid w:val="007657C1"/>
    <w:rsid w:val="00767A14"/>
    <w:rsid w:val="00767DB9"/>
    <w:rsid w:val="00770110"/>
    <w:rsid w:val="007706B8"/>
    <w:rsid w:val="00771B8A"/>
    <w:rsid w:val="00771D01"/>
    <w:rsid w:val="0077255F"/>
    <w:rsid w:val="007741CA"/>
    <w:rsid w:val="0077492D"/>
    <w:rsid w:val="00774DDD"/>
    <w:rsid w:val="0077609A"/>
    <w:rsid w:val="00776164"/>
    <w:rsid w:val="007768B4"/>
    <w:rsid w:val="007769D4"/>
    <w:rsid w:val="00777A85"/>
    <w:rsid w:val="007812B2"/>
    <w:rsid w:val="0078166F"/>
    <w:rsid w:val="007819E9"/>
    <w:rsid w:val="00781FD1"/>
    <w:rsid w:val="007828C3"/>
    <w:rsid w:val="00782A7F"/>
    <w:rsid w:val="00782FED"/>
    <w:rsid w:val="00783EB5"/>
    <w:rsid w:val="00784C37"/>
    <w:rsid w:val="007853EA"/>
    <w:rsid w:val="00785890"/>
    <w:rsid w:val="00786B08"/>
    <w:rsid w:val="007874C4"/>
    <w:rsid w:val="00787EA9"/>
    <w:rsid w:val="00787FA3"/>
    <w:rsid w:val="007902BF"/>
    <w:rsid w:val="007912B0"/>
    <w:rsid w:val="007927BD"/>
    <w:rsid w:val="0079419D"/>
    <w:rsid w:val="00794564"/>
    <w:rsid w:val="00794831"/>
    <w:rsid w:val="00795DEA"/>
    <w:rsid w:val="007961E5"/>
    <w:rsid w:val="00796381"/>
    <w:rsid w:val="00797374"/>
    <w:rsid w:val="007A18E7"/>
    <w:rsid w:val="007A2A31"/>
    <w:rsid w:val="007A3CE0"/>
    <w:rsid w:val="007A406D"/>
    <w:rsid w:val="007A41BA"/>
    <w:rsid w:val="007A4560"/>
    <w:rsid w:val="007A4995"/>
    <w:rsid w:val="007A4F59"/>
    <w:rsid w:val="007A53E0"/>
    <w:rsid w:val="007A6106"/>
    <w:rsid w:val="007A62B0"/>
    <w:rsid w:val="007A6654"/>
    <w:rsid w:val="007A72AF"/>
    <w:rsid w:val="007B326A"/>
    <w:rsid w:val="007B37D8"/>
    <w:rsid w:val="007B5065"/>
    <w:rsid w:val="007B6114"/>
    <w:rsid w:val="007B6422"/>
    <w:rsid w:val="007B6719"/>
    <w:rsid w:val="007B6A21"/>
    <w:rsid w:val="007C0244"/>
    <w:rsid w:val="007C05D7"/>
    <w:rsid w:val="007C0667"/>
    <w:rsid w:val="007C0711"/>
    <w:rsid w:val="007C093F"/>
    <w:rsid w:val="007C1CA7"/>
    <w:rsid w:val="007C2FC6"/>
    <w:rsid w:val="007C316F"/>
    <w:rsid w:val="007C3227"/>
    <w:rsid w:val="007C337B"/>
    <w:rsid w:val="007C33E3"/>
    <w:rsid w:val="007C3FA4"/>
    <w:rsid w:val="007C4602"/>
    <w:rsid w:val="007C5A0C"/>
    <w:rsid w:val="007C5AF5"/>
    <w:rsid w:val="007D05D0"/>
    <w:rsid w:val="007D06F3"/>
    <w:rsid w:val="007D0B21"/>
    <w:rsid w:val="007D114B"/>
    <w:rsid w:val="007D1E55"/>
    <w:rsid w:val="007D2052"/>
    <w:rsid w:val="007D3405"/>
    <w:rsid w:val="007D39DC"/>
    <w:rsid w:val="007D42EA"/>
    <w:rsid w:val="007D4432"/>
    <w:rsid w:val="007D5922"/>
    <w:rsid w:val="007D5D33"/>
    <w:rsid w:val="007D6221"/>
    <w:rsid w:val="007D63DC"/>
    <w:rsid w:val="007D6460"/>
    <w:rsid w:val="007D6E34"/>
    <w:rsid w:val="007E05D2"/>
    <w:rsid w:val="007E0FEE"/>
    <w:rsid w:val="007E253D"/>
    <w:rsid w:val="007E2674"/>
    <w:rsid w:val="007E32F6"/>
    <w:rsid w:val="007E44A8"/>
    <w:rsid w:val="007E49AC"/>
    <w:rsid w:val="007E4FCA"/>
    <w:rsid w:val="007E53C6"/>
    <w:rsid w:val="007E5D3B"/>
    <w:rsid w:val="007E6753"/>
    <w:rsid w:val="007E6869"/>
    <w:rsid w:val="007E709E"/>
    <w:rsid w:val="007F0A8D"/>
    <w:rsid w:val="007F0DE7"/>
    <w:rsid w:val="007F1176"/>
    <w:rsid w:val="007F176F"/>
    <w:rsid w:val="007F2017"/>
    <w:rsid w:val="007F2248"/>
    <w:rsid w:val="007F228A"/>
    <w:rsid w:val="007F30E7"/>
    <w:rsid w:val="007F346C"/>
    <w:rsid w:val="007F4AB0"/>
    <w:rsid w:val="007F5BDE"/>
    <w:rsid w:val="007F68FA"/>
    <w:rsid w:val="007F78C6"/>
    <w:rsid w:val="00801265"/>
    <w:rsid w:val="00801B74"/>
    <w:rsid w:val="00802533"/>
    <w:rsid w:val="00802735"/>
    <w:rsid w:val="00802738"/>
    <w:rsid w:val="008037E8"/>
    <w:rsid w:val="00804152"/>
    <w:rsid w:val="008042B1"/>
    <w:rsid w:val="00805617"/>
    <w:rsid w:val="00805A36"/>
    <w:rsid w:val="00805A6E"/>
    <w:rsid w:val="00806A55"/>
    <w:rsid w:val="008073ED"/>
    <w:rsid w:val="00814393"/>
    <w:rsid w:val="0081486C"/>
    <w:rsid w:val="008162B1"/>
    <w:rsid w:val="008164A0"/>
    <w:rsid w:val="008173E9"/>
    <w:rsid w:val="00820E01"/>
    <w:rsid w:val="008212D9"/>
    <w:rsid w:val="0082151A"/>
    <w:rsid w:val="00823385"/>
    <w:rsid w:val="008240B5"/>
    <w:rsid w:val="00824378"/>
    <w:rsid w:val="00825F89"/>
    <w:rsid w:val="008265A4"/>
    <w:rsid w:val="00826AE9"/>
    <w:rsid w:val="008279CB"/>
    <w:rsid w:val="00827C32"/>
    <w:rsid w:val="00827E87"/>
    <w:rsid w:val="00830386"/>
    <w:rsid w:val="00830787"/>
    <w:rsid w:val="00830B82"/>
    <w:rsid w:val="00831756"/>
    <w:rsid w:val="008331BD"/>
    <w:rsid w:val="00833625"/>
    <w:rsid w:val="008339BB"/>
    <w:rsid w:val="00833ED2"/>
    <w:rsid w:val="008341E6"/>
    <w:rsid w:val="008350B7"/>
    <w:rsid w:val="00836298"/>
    <w:rsid w:val="00837418"/>
    <w:rsid w:val="0084034D"/>
    <w:rsid w:val="0084041D"/>
    <w:rsid w:val="00840C54"/>
    <w:rsid w:val="008417D8"/>
    <w:rsid w:val="00841CA7"/>
    <w:rsid w:val="00843782"/>
    <w:rsid w:val="00844991"/>
    <w:rsid w:val="00844F5A"/>
    <w:rsid w:val="008450B2"/>
    <w:rsid w:val="00845C81"/>
    <w:rsid w:val="008467DF"/>
    <w:rsid w:val="008473FF"/>
    <w:rsid w:val="00847593"/>
    <w:rsid w:val="00850332"/>
    <w:rsid w:val="00852481"/>
    <w:rsid w:val="00853022"/>
    <w:rsid w:val="008548F9"/>
    <w:rsid w:val="00854E21"/>
    <w:rsid w:val="00857767"/>
    <w:rsid w:val="008579CA"/>
    <w:rsid w:val="00857BB2"/>
    <w:rsid w:val="00857D97"/>
    <w:rsid w:val="00857E3E"/>
    <w:rsid w:val="0086419A"/>
    <w:rsid w:val="008641E2"/>
    <w:rsid w:val="008653FF"/>
    <w:rsid w:val="0086543C"/>
    <w:rsid w:val="00865DFA"/>
    <w:rsid w:val="00866224"/>
    <w:rsid w:val="0086634B"/>
    <w:rsid w:val="0086680C"/>
    <w:rsid w:val="00866E8E"/>
    <w:rsid w:val="00866EB0"/>
    <w:rsid w:val="0087023B"/>
    <w:rsid w:val="00870462"/>
    <w:rsid w:val="00870A60"/>
    <w:rsid w:val="00871304"/>
    <w:rsid w:val="00872AFE"/>
    <w:rsid w:val="00873D0B"/>
    <w:rsid w:val="0087481E"/>
    <w:rsid w:val="008756BC"/>
    <w:rsid w:val="00875973"/>
    <w:rsid w:val="00875E5C"/>
    <w:rsid w:val="00875FE4"/>
    <w:rsid w:val="008770D4"/>
    <w:rsid w:val="00877599"/>
    <w:rsid w:val="00877B57"/>
    <w:rsid w:val="00880379"/>
    <w:rsid w:val="00880AFC"/>
    <w:rsid w:val="0088105D"/>
    <w:rsid w:val="00882A0C"/>
    <w:rsid w:val="008864E9"/>
    <w:rsid w:val="00886815"/>
    <w:rsid w:val="00886B96"/>
    <w:rsid w:val="0088779B"/>
    <w:rsid w:val="00890531"/>
    <w:rsid w:val="008917B5"/>
    <w:rsid w:val="00891EE8"/>
    <w:rsid w:val="008922EA"/>
    <w:rsid w:val="008938F7"/>
    <w:rsid w:val="00893DF0"/>
    <w:rsid w:val="0089441B"/>
    <w:rsid w:val="008954D1"/>
    <w:rsid w:val="00895775"/>
    <w:rsid w:val="00895CB2"/>
    <w:rsid w:val="00896E52"/>
    <w:rsid w:val="008A0B6E"/>
    <w:rsid w:val="008A106E"/>
    <w:rsid w:val="008A179F"/>
    <w:rsid w:val="008A2160"/>
    <w:rsid w:val="008A228F"/>
    <w:rsid w:val="008A2421"/>
    <w:rsid w:val="008A2FE8"/>
    <w:rsid w:val="008A334A"/>
    <w:rsid w:val="008A45E1"/>
    <w:rsid w:val="008A5E1B"/>
    <w:rsid w:val="008A659E"/>
    <w:rsid w:val="008A65BB"/>
    <w:rsid w:val="008A66B0"/>
    <w:rsid w:val="008A683C"/>
    <w:rsid w:val="008A69F6"/>
    <w:rsid w:val="008A6D4F"/>
    <w:rsid w:val="008B0864"/>
    <w:rsid w:val="008B094D"/>
    <w:rsid w:val="008B0C0F"/>
    <w:rsid w:val="008B2654"/>
    <w:rsid w:val="008B26FC"/>
    <w:rsid w:val="008B2A1A"/>
    <w:rsid w:val="008B2BD9"/>
    <w:rsid w:val="008B35D7"/>
    <w:rsid w:val="008B3944"/>
    <w:rsid w:val="008B3A02"/>
    <w:rsid w:val="008B3DAA"/>
    <w:rsid w:val="008B4333"/>
    <w:rsid w:val="008B4637"/>
    <w:rsid w:val="008B55C0"/>
    <w:rsid w:val="008B5F90"/>
    <w:rsid w:val="008B65E2"/>
    <w:rsid w:val="008B69D7"/>
    <w:rsid w:val="008B7883"/>
    <w:rsid w:val="008C0794"/>
    <w:rsid w:val="008C09C5"/>
    <w:rsid w:val="008C0A63"/>
    <w:rsid w:val="008C1099"/>
    <w:rsid w:val="008C1145"/>
    <w:rsid w:val="008C2494"/>
    <w:rsid w:val="008C26BB"/>
    <w:rsid w:val="008C63CE"/>
    <w:rsid w:val="008C7413"/>
    <w:rsid w:val="008D16B7"/>
    <w:rsid w:val="008D2C5F"/>
    <w:rsid w:val="008D304C"/>
    <w:rsid w:val="008D37FC"/>
    <w:rsid w:val="008D3EFE"/>
    <w:rsid w:val="008D4562"/>
    <w:rsid w:val="008D4831"/>
    <w:rsid w:val="008D5330"/>
    <w:rsid w:val="008D545F"/>
    <w:rsid w:val="008D61C8"/>
    <w:rsid w:val="008D6419"/>
    <w:rsid w:val="008D65D0"/>
    <w:rsid w:val="008D6CD1"/>
    <w:rsid w:val="008D7B66"/>
    <w:rsid w:val="008E11C0"/>
    <w:rsid w:val="008E1C87"/>
    <w:rsid w:val="008E1EF2"/>
    <w:rsid w:val="008E2448"/>
    <w:rsid w:val="008E247F"/>
    <w:rsid w:val="008E24D0"/>
    <w:rsid w:val="008E6AE6"/>
    <w:rsid w:val="008F0116"/>
    <w:rsid w:val="008F0C1C"/>
    <w:rsid w:val="008F143D"/>
    <w:rsid w:val="008F15EE"/>
    <w:rsid w:val="008F1F03"/>
    <w:rsid w:val="008F240A"/>
    <w:rsid w:val="008F2F52"/>
    <w:rsid w:val="008F3A6C"/>
    <w:rsid w:val="008F3EA9"/>
    <w:rsid w:val="008F48EE"/>
    <w:rsid w:val="008F4E24"/>
    <w:rsid w:val="008F654E"/>
    <w:rsid w:val="008F6CE8"/>
    <w:rsid w:val="008F7D18"/>
    <w:rsid w:val="008F7D4F"/>
    <w:rsid w:val="009009FC"/>
    <w:rsid w:val="0090155F"/>
    <w:rsid w:val="00901FBE"/>
    <w:rsid w:val="009047D9"/>
    <w:rsid w:val="00904E6B"/>
    <w:rsid w:val="00904EEC"/>
    <w:rsid w:val="00904F2F"/>
    <w:rsid w:val="00905002"/>
    <w:rsid w:val="009054C6"/>
    <w:rsid w:val="009057A3"/>
    <w:rsid w:val="00910542"/>
    <w:rsid w:val="00910FFD"/>
    <w:rsid w:val="00912724"/>
    <w:rsid w:val="009144E2"/>
    <w:rsid w:val="009149B6"/>
    <w:rsid w:val="00915E1F"/>
    <w:rsid w:val="00917F75"/>
    <w:rsid w:val="00920135"/>
    <w:rsid w:val="00921A56"/>
    <w:rsid w:val="00921D75"/>
    <w:rsid w:val="009232D0"/>
    <w:rsid w:val="0092343F"/>
    <w:rsid w:val="009234D2"/>
    <w:rsid w:val="00923517"/>
    <w:rsid w:val="0092359E"/>
    <w:rsid w:val="00925442"/>
    <w:rsid w:val="00925AB0"/>
    <w:rsid w:val="00925EF7"/>
    <w:rsid w:val="009267CB"/>
    <w:rsid w:val="00926A37"/>
    <w:rsid w:val="00930577"/>
    <w:rsid w:val="009314AC"/>
    <w:rsid w:val="00932865"/>
    <w:rsid w:val="00932B16"/>
    <w:rsid w:val="0093346F"/>
    <w:rsid w:val="00933A86"/>
    <w:rsid w:val="00933B0C"/>
    <w:rsid w:val="009345CE"/>
    <w:rsid w:val="009351F5"/>
    <w:rsid w:val="00935472"/>
    <w:rsid w:val="009368B9"/>
    <w:rsid w:val="00936FAF"/>
    <w:rsid w:val="009373C3"/>
    <w:rsid w:val="00937C77"/>
    <w:rsid w:val="00937D94"/>
    <w:rsid w:val="0094059F"/>
    <w:rsid w:val="009406E4"/>
    <w:rsid w:val="00940DEA"/>
    <w:rsid w:val="00940DF6"/>
    <w:rsid w:val="00941720"/>
    <w:rsid w:val="0094227D"/>
    <w:rsid w:val="00942B4D"/>
    <w:rsid w:val="00942C5F"/>
    <w:rsid w:val="00943A8D"/>
    <w:rsid w:val="00945920"/>
    <w:rsid w:val="009461E7"/>
    <w:rsid w:val="0094679D"/>
    <w:rsid w:val="00947BC6"/>
    <w:rsid w:val="009501D1"/>
    <w:rsid w:val="009505A8"/>
    <w:rsid w:val="00950756"/>
    <w:rsid w:val="00950991"/>
    <w:rsid w:val="00950FCB"/>
    <w:rsid w:val="00951196"/>
    <w:rsid w:val="00951C0B"/>
    <w:rsid w:val="009525A7"/>
    <w:rsid w:val="009529B5"/>
    <w:rsid w:val="009531C4"/>
    <w:rsid w:val="00953879"/>
    <w:rsid w:val="009543A3"/>
    <w:rsid w:val="00954401"/>
    <w:rsid w:val="00954900"/>
    <w:rsid w:val="00954E9B"/>
    <w:rsid w:val="00955EBC"/>
    <w:rsid w:val="0095682B"/>
    <w:rsid w:val="0096180D"/>
    <w:rsid w:val="00961AD4"/>
    <w:rsid w:val="00963CF8"/>
    <w:rsid w:val="00963DA5"/>
    <w:rsid w:val="00963EAF"/>
    <w:rsid w:val="00967574"/>
    <w:rsid w:val="0097008D"/>
    <w:rsid w:val="009705C8"/>
    <w:rsid w:val="009711DC"/>
    <w:rsid w:val="00971569"/>
    <w:rsid w:val="009715DE"/>
    <w:rsid w:val="00972F02"/>
    <w:rsid w:val="00972F23"/>
    <w:rsid w:val="00973870"/>
    <w:rsid w:val="00973D4C"/>
    <w:rsid w:val="00975DE5"/>
    <w:rsid w:val="009762CD"/>
    <w:rsid w:val="0098100A"/>
    <w:rsid w:val="009812F9"/>
    <w:rsid w:val="0098138E"/>
    <w:rsid w:val="00981E50"/>
    <w:rsid w:val="009822A0"/>
    <w:rsid w:val="009827C2"/>
    <w:rsid w:val="00982E14"/>
    <w:rsid w:val="00984A2E"/>
    <w:rsid w:val="00985518"/>
    <w:rsid w:val="0098655A"/>
    <w:rsid w:val="00986E31"/>
    <w:rsid w:val="0098714F"/>
    <w:rsid w:val="00987BA2"/>
    <w:rsid w:val="00990FDF"/>
    <w:rsid w:val="0099108B"/>
    <w:rsid w:val="00991F59"/>
    <w:rsid w:val="00992389"/>
    <w:rsid w:val="00992598"/>
    <w:rsid w:val="009936EB"/>
    <w:rsid w:val="00993B5C"/>
    <w:rsid w:val="00994247"/>
    <w:rsid w:val="00994798"/>
    <w:rsid w:val="009948EB"/>
    <w:rsid w:val="00995B88"/>
    <w:rsid w:val="00996289"/>
    <w:rsid w:val="00996A7B"/>
    <w:rsid w:val="00996EF7"/>
    <w:rsid w:val="00997451"/>
    <w:rsid w:val="00997456"/>
    <w:rsid w:val="009A03CA"/>
    <w:rsid w:val="009A23B0"/>
    <w:rsid w:val="009A2591"/>
    <w:rsid w:val="009A2E90"/>
    <w:rsid w:val="009A36C6"/>
    <w:rsid w:val="009A371E"/>
    <w:rsid w:val="009A421D"/>
    <w:rsid w:val="009A5670"/>
    <w:rsid w:val="009A6505"/>
    <w:rsid w:val="009A6A93"/>
    <w:rsid w:val="009A6C62"/>
    <w:rsid w:val="009A7AFE"/>
    <w:rsid w:val="009B1041"/>
    <w:rsid w:val="009B2AB7"/>
    <w:rsid w:val="009B35F1"/>
    <w:rsid w:val="009B4A81"/>
    <w:rsid w:val="009B4CD8"/>
    <w:rsid w:val="009B6C3E"/>
    <w:rsid w:val="009B7E89"/>
    <w:rsid w:val="009C0037"/>
    <w:rsid w:val="009C1EFC"/>
    <w:rsid w:val="009C1F59"/>
    <w:rsid w:val="009C21D1"/>
    <w:rsid w:val="009C246A"/>
    <w:rsid w:val="009C24E0"/>
    <w:rsid w:val="009C3227"/>
    <w:rsid w:val="009C3311"/>
    <w:rsid w:val="009C33D1"/>
    <w:rsid w:val="009C4BFB"/>
    <w:rsid w:val="009C4C5D"/>
    <w:rsid w:val="009C7222"/>
    <w:rsid w:val="009C7F86"/>
    <w:rsid w:val="009D058E"/>
    <w:rsid w:val="009D1A5A"/>
    <w:rsid w:val="009D1EB1"/>
    <w:rsid w:val="009D21CD"/>
    <w:rsid w:val="009D3714"/>
    <w:rsid w:val="009D580D"/>
    <w:rsid w:val="009D5E65"/>
    <w:rsid w:val="009D66A2"/>
    <w:rsid w:val="009D7B62"/>
    <w:rsid w:val="009E0E33"/>
    <w:rsid w:val="009E17D2"/>
    <w:rsid w:val="009E1F5A"/>
    <w:rsid w:val="009E26E8"/>
    <w:rsid w:val="009E2854"/>
    <w:rsid w:val="009E2BBD"/>
    <w:rsid w:val="009E3D27"/>
    <w:rsid w:val="009E45DF"/>
    <w:rsid w:val="009E49FD"/>
    <w:rsid w:val="009E4CC1"/>
    <w:rsid w:val="009E6458"/>
    <w:rsid w:val="009E6AAC"/>
    <w:rsid w:val="009E7C7F"/>
    <w:rsid w:val="009F0457"/>
    <w:rsid w:val="009F0644"/>
    <w:rsid w:val="009F0980"/>
    <w:rsid w:val="009F18F7"/>
    <w:rsid w:val="009F1F74"/>
    <w:rsid w:val="009F38B4"/>
    <w:rsid w:val="009F3D58"/>
    <w:rsid w:val="009F3E4A"/>
    <w:rsid w:val="009F5637"/>
    <w:rsid w:val="009F5C54"/>
    <w:rsid w:val="009F5D55"/>
    <w:rsid w:val="009F63A0"/>
    <w:rsid w:val="009F674E"/>
    <w:rsid w:val="009F6902"/>
    <w:rsid w:val="009F7012"/>
    <w:rsid w:val="009F7EF0"/>
    <w:rsid w:val="00A0036F"/>
    <w:rsid w:val="00A019FA"/>
    <w:rsid w:val="00A01A6C"/>
    <w:rsid w:val="00A01ED4"/>
    <w:rsid w:val="00A04F63"/>
    <w:rsid w:val="00A056F6"/>
    <w:rsid w:val="00A06B6B"/>
    <w:rsid w:val="00A102D7"/>
    <w:rsid w:val="00A1192C"/>
    <w:rsid w:val="00A11E9B"/>
    <w:rsid w:val="00A120D8"/>
    <w:rsid w:val="00A12A79"/>
    <w:rsid w:val="00A12B70"/>
    <w:rsid w:val="00A1466E"/>
    <w:rsid w:val="00A14854"/>
    <w:rsid w:val="00A14C05"/>
    <w:rsid w:val="00A163BC"/>
    <w:rsid w:val="00A1676D"/>
    <w:rsid w:val="00A1694C"/>
    <w:rsid w:val="00A16F15"/>
    <w:rsid w:val="00A17304"/>
    <w:rsid w:val="00A17CE0"/>
    <w:rsid w:val="00A20329"/>
    <w:rsid w:val="00A21E2C"/>
    <w:rsid w:val="00A22039"/>
    <w:rsid w:val="00A2219F"/>
    <w:rsid w:val="00A2370D"/>
    <w:rsid w:val="00A23CD9"/>
    <w:rsid w:val="00A23D05"/>
    <w:rsid w:val="00A24303"/>
    <w:rsid w:val="00A249E5"/>
    <w:rsid w:val="00A24D20"/>
    <w:rsid w:val="00A256E1"/>
    <w:rsid w:val="00A257E9"/>
    <w:rsid w:val="00A25B71"/>
    <w:rsid w:val="00A26EDD"/>
    <w:rsid w:val="00A27220"/>
    <w:rsid w:val="00A27470"/>
    <w:rsid w:val="00A31B83"/>
    <w:rsid w:val="00A3349F"/>
    <w:rsid w:val="00A337E1"/>
    <w:rsid w:val="00A33C3E"/>
    <w:rsid w:val="00A34056"/>
    <w:rsid w:val="00A34766"/>
    <w:rsid w:val="00A34E3C"/>
    <w:rsid w:val="00A35523"/>
    <w:rsid w:val="00A36167"/>
    <w:rsid w:val="00A36CEC"/>
    <w:rsid w:val="00A373E2"/>
    <w:rsid w:val="00A40706"/>
    <w:rsid w:val="00A407D4"/>
    <w:rsid w:val="00A42306"/>
    <w:rsid w:val="00A43D2F"/>
    <w:rsid w:val="00A43E9B"/>
    <w:rsid w:val="00A4428E"/>
    <w:rsid w:val="00A4442B"/>
    <w:rsid w:val="00A453A3"/>
    <w:rsid w:val="00A45885"/>
    <w:rsid w:val="00A47529"/>
    <w:rsid w:val="00A47C4C"/>
    <w:rsid w:val="00A47ED7"/>
    <w:rsid w:val="00A511BA"/>
    <w:rsid w:val="00A515D8"/>
    <w:rsid w:val="00A51B5D"/>
    <w:rsid w:val="00A51D4F"/>
    <w:rsid w:val="00A51DA5"/>
    <w:rsid w:val="00A522D7"/>
    <w:rsid w:val="00A524CF"/>
    <w:rsid w:val="00A52539"/>
    <w:rsid w:val="00A527F7"/>
    <w:rsid w:val="00A52BD2"/>
    <w:rsid w:val="00A53497"/>
    <w:rsid w:val="00A536DC"/>
    <w:rsid w:val="00A54A41"/>
    <w:rsid w:val="00A54BE5"/>
    <w:rsid w:val="00A5569B"/>
    <w:rsid w:val="00A559DF"/>
    <w:rsid w:val="00A55ACD"/>
    <w:rsid w:val="00A55E69"/>
    <w:rsid w:val="00A56590"/>
    <w:rsid w:val="00A56823"/>
    <w:rsid w:val="00A60B03"/>
    <w:rsid w:val="00A60BDC"/>
    <w:rsid w:val="00A60F88"/>
    <w:rsid w:val="00A617F5"/>
    <w:rsid w:val="00A62E67"/>
    <w:rsid w:val="00A63C72"/>
    <w:rsid w:val="00A640EC"/>
    <w:rsid w:val="00A640EE"/>
    <w:rsid w:val="00A64204"/>
    <w:rsid w:val="00A64550"/>
    <w:rsid w:val="00A648C6"/>
    <w:rsid w:val="00A66BC4"/>
    <w:rsid w:val="00A70B1F"/>
    <w:rsid w:val="00A71E80"/>
    <w:rsid w:val="00A72739"/>
    <w:rsid w:val="00A72AB7"/>
    <w:rsid w:val="00A72D62"/>
    <w:rsid w:val="00A73C75"/>
    <w:rsid w:val="00A7414A"/>
    <w:rsid w:val="00A750B7"/>
    <w:rsid w:val="00A7683E"/>
    <w:rsid w:val="00A76CA1"/>
    <w:rsid w:val="00A8100A"/>
    <w:rsid w:val="00A8270E"/>
    <w:rsid w:val="00A82DAA"/>
    <w:rsid w:val="00A83452"/>
    <w:rsid w:val="00A848BC"/>
    <w:rsid w:val="00A84DBD"/>
    <w:rsid w:val="00A8552F"/>
    <w:rsid w:val="00A86131"/>
    <w:rsid w:val="00A866AE"/>
    <w:rsid w:val="00A91A43"/>
    <w:rsid w:val="00A92E87"/>
    <w:rsid w:val="00A9373B"/>
    <w:rsid w:val="00A93B98"/>
    <w:rsid w:val="00A94782"/>
    <w:rsid w:val="00A94879"/>
    <w:rsid w:val="00A94CBB"/>
    <w:rsid w:val="00A94EF3"/>
    <w:rsid w:val="00A95286"/>
    <w:rsid w:val="00A95A38"/>
    <w:rsid w:val="00A95CAA"/>
    <w:rsid w:val="00A95D63"/>
    <w:rsid w:val="00A96326"/>
    <w:rsid w:val="00A9673E"/>
    <w:rsid w:val="00AA16E1"/>
    <w:rsid w:val="00AA212B"/>
    <w:rsid w:val="00AA4EC6"/>
    <w:rsid w:val="00AA5064"/>
    <w:rsid w:val="00AA75F8"/>
    <w:rsid w:val="00AA7C41"/>
    <w:rsid w:val="00AB01DA"/>
    <w:rsid w:val="00AB227A"/>
    <w:rsid w:val="00AB24F2"/>
    <w:rsid w:val="00AB28E7"/>
    <w:rsid w:val="00AB347E"/>
    <w:rsid w:val="00AB3C99"/>
    <w:rsid w:val="00AB4278"/>
    <w:rsid w:val="00AB4DB6"/>
    <w:rsid w:val="00AB5893"/>
    <w:rsid w:val="00AB63C5"/>
    <w:rsid w:val="00AB64BF"/>
    <w:rsid w:val="00AB7E1B"/>
    <w:rsid w:val="00AC2064"/>
    <w:rsid w:val="00AC2AD8"/>
    <w:rsid w:val="00AC3791"/>
    <w:rsid w:val="00AC4EF5"/>
    <w:rsid w:val="00AC5813"/>
    <w:rsid w:val="00AC6134"/>
    <w:rsid w:val="00AC6208"/>
    <w:rsid w:val="00AC637C"/>
    <w:rsid w:val="00AC6BC6"/>
    <w:rsid w:val="00AC6C34"/>
    <w:rsid w:val="00AC7963"/>
    <w:rsid w:val="00AC7B30"/>
    <w:rsid w:val="00AC7B64"/>
    <w:rsid w:val="00AD0006"/>
    <w:rsid w:val="00AD0301"/>
    <w:rsid w:val="00AD0CBD"/>
    <w:rsid w:val="00AD3082"/>
    <w:rsid w:val="00AD40C5"/>
    <w:rsid w:val="00AD4E35"/>
    <w:rsid w:val="00AD5704"/>
    <w:rsid w:val="00AD5B4E"/>
    <w:rsid w:val="00AD70DF"/>
    <w:rsid w:val="00AE0145"/>
    <w:rsid w:val="00AE0215"/>
    <w:rsid w:val="00AE0C47"/>
    <w:rsid w:val="00AE0E4B"/>
    <w:rsid w:val="00AE1037"/>
    <w:rsid w:val="00AE2635"/>
    <w:rsid w:val="00AE2911"/>
    <w:rsid w:val="00AE2AD9"/>
    <w:rsid w:val="00AE4529"/>
    <w:rsid w:val="00AE52D8"/>
    <w:rsid w:val="00AE6096"/>
    <w:rsid w:val="00AE6975"/>
    <w:rsid w:val="00AE69E1"/>
    <w:rsid w:val="00AE7400"/>
    <w:rsid w:val="00AF044D"/>
    <w:rsid w:val="00AF055D"/>
    <w:rsid w:val="00AF0A3C"/>
    <w:rsid w:val="00AF0AE6"/>
    <w:rsid w:val="00AF13AA"/>
    <w:rsid w:val="00AF31BF"/>
    <w:rsid w:val="00AF37D6"/>
    <w:rsid w:val="00AF4015"/>
    <w:rsid w:val="00AF4F07"/>
    <w:rsid w:val="00AF5F89"/>
    <w:rsid w:val="00AF6F8E"/>
    <w:rsid w:val="00AF7991"/>
    <w:rsid w:val="00B01EF3"/>
    <w:rsid w:val="00B01F7E"/>
    <w:rsid w:val="00B022C6"/>
    <w:rsid w:val="00B02AB6"/>
    <w:rsid w:val="00B02B25"/>
    <w:rsid w:val="00B02E74"/>
    <w:rsid w:val="00B052DF"/>
    <w:rsid w:val="00B071D9"/>
    <w:rsid w:val="00B07E6B"/>
    <w:rsid w:val="00B07E72"/>
    <w:rsid w:val="00B1032C"/>
    <w:rsid w:val="00B109B4"/>
    <w:rsid w:val="00B138C2"/>
    <w:rsid w:val="00B139BC"/>
    <w:rsid w:val="00B13D9F"/>
    <w:rsid w:val="00B14260"/>
    <w:rsid w:val="00B14404"/>
    <w:rsid w:val="00B17665"/>
    <w:rsid w:val="00B17F69"/>
    <w:rsid w:val="00B201D0"/>
    <w:rsid w:val="00B20335"/>
    <w:rsid w:val="00B22EFF"/>
    <w:rsid w:val="00B23E82"/>
    <w:rsid w:val="00B25A35"/>
    <w:rsid w:val="00B3087D"/>
    <w:rsid w:val="00B308A5"/>
    <w:rsid w:val="00B30F77"/>
    <w:rsid w:val="00B3156F"/>
    <w:rsid w:val="00B330F0"/>
    <w:rsid w:val="00B334B1"/>
    <w:rsid w:val="00B33A46"/>
    <w:rsid w:val="00B34238"/>
    <w:rsid w:val="00B34794"/>
    <w:rsid w:val="00B361FF"/>
    <w:rsid w:val="00B372B4"/>
    <w:rsid w:val="00B40B74"/>
    <w:rsid w:val="00B4104B"/>
    <w:rsid w:val="00B41BD7"/>
    <w:rsid w:val="00B42433"/>
    <w:rsid w:val="00B432AD"/>
    <w:rsid w:val="00B4503B"/>
    <w:rsid w:val="00B45E8E"/>
    <w:rsid w:val="00B46C06"/>
    <w:rsid w:val="00B5048A"/>
    <w:rsid w:val="00B51908"/>
    <w:rsid w:val="00B51A34"/>
    <w:rsid w:val="00B52E79"/>
    <w:rsid w:val="00B53513"/>
    <w:rsid w:val="00B5373B"/>
    <w:rsid w:val="00B537AE"/>
    <w:rsid w:val="00B53D36"/>
    <w:rsid w:val="00B53D89"/>
    <w:rsid w:val="00B53EA6"/>
    <w:rsid w:val="00B54B20"/>
    <w:rsid w:val="00B55161"/>
    <w:rsid w:val="00B55308"/>
    <w:rsid w:val="00B56200"/>
    <w:rsid w:val="00B56855"/>
    <w:rsid w:val="00B57709"/>
    <w:rsid w:val="00B57827"/>
    <w:rsid w:val="00B60421"/>
    <w:rsid w:val="00B60899"/>
    <w:rsid w:val="00B636BF"/>
    <w:rsid w:val="00B64F41"/>
    <w:rsid w:val="00B65F82"/>
    <w:rsid w:val="00B67291"/>
    <w:rsid w:val="00B706D7"/>
    <w:rsid w:val="00B717FD"/>
    <w:rsid w:val="00B723DB"/>
    <w:rsid w:val="00B7388A"/>
    <w:rsid w:val="00B761A7"/>
    <w:rsid w:val="00B767BF"/>
    <w:rsid w:val="00B76AFE"/>
    <w:rsid w:val="00B77745"/>
    <w:rsid w:val="00B801F1"/>
    <w:rsid w:val="00B80461"/>
    <w:rsid w:val="00B8046A"/>
    <w:rsid w:val="00B80FBC"/>
    <w:rsid w:val="00B816CF"/>
    <w:rsid w:val="00B8177C"/>
    <w:rsid w:val="00B82598"/>
    <w:rsid w:val="00B83259"/>
    <w:rsid w:val="00B83BBD"/>
    <w:rsid w:val="00B83CA4"/>
    <w:rsid w:val="00B84A47"/>
    <w:rsid w:val="00B85008"/>
    <w:rsid w:val="00B8591A"/>
    <w:rsid w:val="00B85CCC"/>
    <w:rsid w:val="00B86A16"/>
    <w:rsid w:val="00B86CF2"/>
    <w:rsid w:val="00B86ED4"/>
    <w:rsid w:val="00B87727"/>
    <w:rsid w:val="00B877D3"/>
    <w:rsid w:val="00B87B36"/>
    <w:rsid w:val="00B87DD0"/>
    <w:rsid w:val="00B87DF0"/>
    <w:rsid w:val="00B9022B"/>
    <w:rsid w:val="00B9052C"/>
    <w:rsid w:val="00B9188F"/>
    <w:rsid w:val="00B9237A"/>
    <w:rsid w:val="00B9329C"/>
    <w:rsid w:val="00B95942"/>
    <w:rsid w:val="00B97173"/>
    <w:rsid w:val="00BA05C9"/>
    <w:rsid w:val="00BA1601"/>
    <w:rsid w:val="00BA18B9"/>
    <w:rsid w:val="00BA1F05"/>
    <w:rsid w:val="00BA2776"/>
    <w:rsid w:val="00BA523F"/>
    <w:rsid w:val="00BA53A3"/>
    <w:rsid w:val="00BA5413"/>
    <w:rsid w:val="00BA55DE"/>
    <w:rsid w:val="00BA596E"/>
    <w:rsid w:val="00BA6022"/>
    <w:rsid w:val="00BA6465"/>
    <w:rsid w:val="00BA6661"/>
    <w:rsid w:val="00BA7B20"/>
    <w:rsid w:val="00BA7B38"/>
    <w:rsid w:val="00BB0243"/>
    <w:rsid w:val="00BB2ACC"/>
    <w:rsid w:val="00BB2E13"/>
    <w:rsid w:val="00BB339B"/>
    <w:rsid w:val="00BB34C7"/>
    <w:rsid w:val="00BB3F03"/>
    <w:rsid w:val="00BB3FAE"/>
    <w:rsid w:val="00BB4E16"/>
    <w:rsid w:val="00BB66E2"/>
    <w:rsid w:val="00BB6E1E"/>
    <w:rsid w:val="00BB7140"/>
    <w:rsid w:val="00BB796C"/>
    <w:rsid w:val="00BC0188"/>
    <w:rsid w:val="00BC0617"/>
    <w:rsid w:val="00BC14EC"/>
    <w:rsid w:val="00BC1FCA"/>
    <w:rsid w:val="00BC24C1"/>
    <w:rsid w:val="00BC31D0"/>
    <w:rsid w:val="00BC36CC"/>
    <w:rsid w:val="00BC3B2C"/>
    <w:rsid w:val="00BC3D07"/>
    <w:rsid w:val="00BC3F3F"/>
    <w:rsid w:val="00BC40AA"/>
    <w:rsid w:val="00BC434E"/>
    <w:rsid w:val="00BC49E3"/>
    <w:rsid w:val="00BC64C3"/>
    <w:rsid w:val="00BC6755"/>
    <w:rsid w:val="00BC7F34"/>
    <w:rsid w:val="00BD2192"/>
    <w:rsid w:val="00BD2B3B"/>
    <w:rsid w:val="00BD36FC"/>
    <w:rsid w:val="00BD3B4B"/>
    <w:rsid w:val="00BD3DF7"/>
    <w:rsid w:val="00BD45B7"/>
    <w:rsid w:val="00BD576C"/>
    <w:rsid w:val="00BD5D03"/>
    <w:rsid w:val="00BD6B89"/>
    <w:rsid w:val="00BE1130"/>
    <w:rsid w:val="00BE1824"/>
    <w:rsid w:val="00BE355D"/>
    <w:rsid w:val="00BE3889"/>
    <w:rsid w:val="00BE40E5"/>
    <w:rsid w:val="00BE478E"/>
    <w:rsid w:val="00BE4DBF"/>
    <w:rsid w:val="00BE6547"/>
    <w:rsid w:val="00BE70EE"/>
    <w:rsid w:val="00BE71A8"/>
    <w:rsid w:val="00BE7D83"/>
    <w:rsid w:val="00BF07EF"/>
    <w:rsid w:val="00BF1985"/>
    <w:rsid w:val="00BF1B08"/>
    <w:rsid w:val="00BF259F"/>
    <w:rsid w:val="00BF264A"/>
    <w:rsid w:val="00BF2B46"/>
    <w:rsid w:val="00BF3373"/>
    <w:rsid w:val="00BF3DDF"/>
    <w:rsid w:val="00BF42D0"/>
    <w:rsid w:val="00BF61B4"/>
    <w:rsid w:val="00BF73E2"/>
    <w:rsid w:val="00C0076A"/>
    <w:rsid w:val="00C013C6"/>
    <w:rsid w:val="00C01B73"/>
    <w:rsid w:val="00C02B0B"/>
    <w:rsid w:val="00C02F55"/>
    <w:rsid w:val="00C0332F"/>
    <w:rsid w:val="00C037A3"/>
    <w:rsid w:val="00C05364"/>
    <w:rsid w:val="00C05B76"/>
    <w:rsid w:val="00C0732E"/>
    <w:rsid w:val="00C10051"/>
    <w:rsid w:val="00C1063B"/>
    <w:rsid w:val="00C10B06"/>
    <w:rsid w:val="00C10B5F"/>
    <w:rsid w:val="00C12B16"/>
    <w:rsid w:val="00C1307C"/>
    <w:rsid w:val="00C14B18"/>
    <w:rsid w:val="00C151F8"/>
    <w:rsid w:val="00C16D5B"/>
    <w:rsid w:val="00C170AB"/>
    <w:rsid w:val="00C178CF"/>
    <w:rsid w:val="00C20388"/>
    <w:rsid w:val="00C20A76"/>
    <w:rsid w:val="00C2299B"/>
    <w:rsid w:val="00C22F89"/>
    <w:rsid w:val="00C24846"/>
    <w:rsid w:val="00C259C9"/>
    <w:rsid w:val="00C25AE5"/>
    <w:rsid w:val="00C25DF7"/>
    <w:rsid w:val="00C26161"/>
    <w:rsid w:val="00C270A0"/>
    <w:rsid w:val="00C273B3"/>
    <w:rsid w:val="00C278BF"/>
    <w:rsid w:val="00C27C67"/>
    <w:rsid w:val="00C3157E"/>
    <w:rsid w:val="00C32B68"/>
    <w:rsid w:val="00C331B5"/>
    <w:rsid w:val="00C343F6"/>
    <w:rsid w:val="00C34EBB"/>
    <w:rsid w:val="00C35867"/>
    <w:rsid w:val="00C37628"/>
    <w:rsid w:val="00C377B6"/>
    <w:rsid w:val="00C40704"/>
    <w:rsid w:val="00C42166"/>
    <w:rsid w:val="00C42D95"/>
    <w:rsid w:val="00C42DB9"/>
    <w:rsid w:val="00C43267"/>
    <w:rsid w:val="00C43F70"/>
    <w:rsid w:val="00C4415B"/>
    <w:rsid w:val="00C44746"/>
    <w:rsid w:val="00C44882"/>
    <w:rsid w:val="00C44FB2"/>
    <w:rsid w:val="00C45905"/>
    <w:rsid w:val="00C464AA"/>
    <w:rsid w:val="00C464F7"/>
    <w:rsid w:val="00C46989"/>
    <w:rsid w:val="00C476E1"/>
    <w:rsid w:val="00C50D3E"/>
    <w:rsid w:val="00C51DEF"/>
    <w:rsid w:val="00C526D2"/>
    <w:rsid w:val="00C52F62"/>
    <w:rsid w:val="00C53C32"/>
    <w:rsid w:val="00C53EA3"/>
    <w:rsid w:val="00C544EF"/>
    <w:rsid w:val="00C56C00"/>
    <w:rsid w:val="00C56D6D"/>
    <w:rsid w:val="00C56DDB"/>
    <w:rsid w:val="00C57430"/>
    <w:rsid w:val="00C57CC1"/>
    <w:rsid w:val="00C57F31"/>
    <w:rsid w:val="00C60192"/>
    <w:rsid w:val="00C60672"/>
    <w:rsid w:val="00C60AC3"/>
    <w:rsid w:val="00C63028"/>
    <w:rsid w:val="00C63480"/>
    <w:rsid w:val="00C6383C"/>
    <w:rsid w:val="00C65988"/>
    <w:rsid w:val="00C66349"/>
    <w:rsid w:val="00C720C5"/>
    <w:rsid w:val="00C72130"/>
    <w:rsid w:val="00C729B7"/>
    <w:rsid w:val="00C72B1D"/>
    <w:rsid w:val="00C74965"/>
    <w:rsid w:val="00C7511B"/>
    <w:rsid w:val="00C770DB"/>
    <w:rsid w:val="00C7777E"/>
    <w:rsid w:val="00C808D9"/>
    <w:rsid w:val="00C83779"/>
    <w:rsid w:val="00C83851"/>
    <w:rsid w:val="00C85649"/>
    <w:rsid w:val="00C85C24"/>
    <w:rsid w:val="00C86049"/>
    <w:rsid w:val="00C86335"/>
    <w:rsid w:val="00C863FB"/>
    <w:rsid w:val="00C90666"/>
    <w:rsid w:val="00C913A1"/>
    <w:rsid w:val="00C9157D"/>
    <w:rsid w:val="00C939A1"/>
    <w:rsid w:val="00C9522A"/>
    <w:rsid w:val="00C95FB7"/>
    <w:rsid w:val="00C965A3"/>
    <w:rsid w:val="00C97882"/>
    <w:rsid w:val="00C97AB2"/>
    <w:rsid w:val="00C97C2F"/>
    <w:rsid w:val="00CA1601"/>
    <w:rsid w:val="00CA21E6"/>
    <w:rsid w:val="00CA2F55"/>
    <w:rsid w:val="00CA48A7"/>
    <w:rsid w:val="00CA58B1"/>
    <w:rsid w:val="00CA6577"/>
    <w:rsid w:val="00CA6764"/>
    <w:rsid w:val="00CA7E7F"/>
    <w:rsid w:val="00CB0516"/>
    <w:rsid w:val="00CB0AEA"/>
    <w:rsid w:val="00CB1872"/>
    <w:rsid w:val="00CB1CCC"/>
    <w:rsid w:val="00CB4017"/>
    <w:rsid w:val="00CB441C"/>
    <w:rsid w:val="00CB4971"/>
    <w:rsid w:val="00CB4B83"/>
    <w:rsid w:val="00CB4DDB"/>
    <w:rsid w:val="00CB4ECE"/>
    <w:rsid w:val="00CB641F"/>
    <w:rsid w:val="00CB693E"/>
    <w:rsid w:val="00CB6BE3"/>
    <w:rsid w:val="00CB7C17"/>
    <w:rsid w:val="00CC1A2F"/>
    <w:rsid w:val="00CC407C"/>
    <w:rsid w:val="00CC40CD"/>
    <w:rsid w:val="00CC4273"/>
    <w:rsid w:val="00CC4B21"/>
    <w:rsid w:val="00CC50A4"/>
    <w:rsid w:val="00CC52AB"/>
    <w:rsid w:val="00CC5573"/>
    <w:rsid w:val="00CC6A99"/>
    <w:rsid w:val="00CC6CF0"/>
    <w:rsid w:val="00CC7621"/>
    <w:rsid w:val="00CC7B13"/>
    <w:rsid w:val="00CC7D63"/>
    <w:rsid w:val="00CD0124"/>
    <w:rsid w:val="00CD047C"/>
    <w:rsid w:val="00CD088C"/>
    <w:rsid w:val="00CD0C46"/>
    <w:rsid w:val="00CD128D"/>
    <w:rsid w:val="00CD1402"/>
    <w:rsid w:val="00CD1928"/>
    <w:rsid w:val="00CD23F9"/>
    <w:rsid w:val="00CD3AE2"/>
    <w:rsid w:val="00CD4935"/>
    <w:rsid w:val="00CD4948"/>
    <w:rsid w:val="00CD5B58"/>
    <w:rsid w:val="00CD6870"/>
    <w:rsid w:val="00CD7D29"/>
    <w:rsid w:val="00CE1F95"/>
    <w:rsid w:val="00CE393A"/>
    <w:rsid w:val="00CE5257"/>
    <w:rsid w:val="00CE5AA8"/>
    <w:rsid w:val="00CE6AC5"/>
    <w:rsid w:val="00CE73FA"/>
    <w:rsid w:val="00CF0089"/>
    <w:rsid w:val="00CF02E0"/>
    <w:rsid w:val="00CF126F"/>
    <w:rsid w:val="00CF13AF"/>
    <w:rsid w:val="00CF1826"/>
    <w:rsid w:val="00CF1984"/>
    <w:rsid w:val="00CF2DBD"/>
    <w:rsid w:val="00CF3290"/>
    <w:rsid w:val="00CF50ED"/>
    <w:rsid w:val="00CF5E14"/>
    <w:rsid w:val="00CF6500"/>
    <w:rsid w:val="00CF692F"/>
    <w:rsid w:val="00CF70BB"/>
    <w:rsid w:val="00CF7E88"/>
    <w:rsid w:val="00D00389"/>
    <w:rsid w:val="00D00442"/>
    <w:rsid w:val="00D00AA3"/>
    <w:rsid w:val="00D011EC"/>
    <w:rsid w:val="00D016C8"/>
    <w:rsid w:val="00D01716"/>
    <w:rsid w:val="00D0344E"/>
    <w:rsid w:val="00D04251"/>
    <w:rsid w:val="00D04D3E"/>
    <w:rsid w:val="00D04D75"/>
    <w:rsid w:val="00D04FBB"/>
    <w:rsid w:val="00D05094"/>
    <w:rsid w:val="00D069C2"/>
    <w:rsid w:val="00D06AE9"/>
    <w:rsid w:val="00D06F17"/>
    <w:rsid w:val="00D07079"/>
    <w:rsid w:val="00D07F73"/>
    <w:rsid w:val="00D106E9"/>
    <w:rsid w:val="00D1087C"/>
    <w:rsid w:val="00D1151A"/>
    <w:rsid w:val="00D11939"/>
    <w:rsid w:val="00D13C71"/>
    <w:rsid w:val="00D1411D"/>
    <w:rsid w:val="00D144C2"/>
    <w:rsid w:val="00D149A9"/>
    <w:rsid w:val="00D15DAB"/>
    <w:rsid w:val="00D16DD8"/>
    <w:rsid w:val="00D177E1"/>
    <w:rsid w:val="00D17ED5"/>
    <w:rsid w:val="00D2041C"/>
    <w:rsid w:val="00D2079E"/>
    <w:rsid w:val="00D219B0"/>
    <w:rsid w:val="00D228D6"/>
    <w:rsid w:val="00D22950"/>
    <w:rsid w:val="00D23336"/>
    <w:rsid w:val="00D24E09"/>
    <w:rsid w:val="00D24FCE"/>
    <w:rsid w:val="00D25ADE"/>
    <w:rsid w:val="00D2729B"/>
    <w:rsid w:val="00D272AA"/>
    <w:rsid w:val="00D27A5C"/>
    <w:rsid w:val="00D304C3"/>
    <w:rsid w:val="00D30D77"/>
    <w:rsid w:val="00D30F46"/>
    <w:rsid w:val="00D3130E"/>
    <w:rsid w:val="00D3138E"/>
    <w:rsid w:val="00D32D71"/>
    <w:rsid w:val="00D33910"/>
    <w:rsid w:val="00D33CB3"/>
    <w:rsid w:val="00D356B8"/>
    <w:rsid w:val="00D35B89"/>
    <w:rsid w:val="00D36B9A"/>
    <w:rsid w:val="00D36E05"/>
    <w:rsid w:val="00D3749B"/>
    <w:rsid w:val="00D377E1"/>
    <w:rsid w:val="00D40466"/>
    <w:rsid w:val="00D4100A"/>
    <w:rsid w:val="00D41A5C"/>
    <w:rsid w:val="00D42D9D"/>
    <w:rsid w:val="00D43297"/>
    <w:rsid w:val="00D43D2C"/>
    <w:rsid w:val="00D44DB6"/>
    <w:rsid w:val="00D45792"/>
    <w:rsid w:val="00D46100"/>
    <w:rsid w:val="00D46E90"/>
    <w:rsid w:val="00D50119"/>
    <w:rsid w:val="00D50343"/>
    <w:rsid w:val="00D509EA"/>
    <w:rsid w:val="00D50E6F"/>
    <w:rsid w:val="00D51A93"/>
    <w:rsid w:val="00D51D42"/>
    <w:rsid w:val="00D51EB9"/>
    <w:rsid w:val="00D52000"/>
    <w:rsid w:val="00D53682"/>
    <w:rsid w:val="00D56BBE"/>
    <w:rsid w:val="00D57B3E"/>
    <w:rsid w:val="00D6054A"/>
    <w:rsid w:val="00D620CA"/>
    <w:rsid w:val="00D65873"/>
    <w:rsid w:val="00D669F0"/>
    <w:rsid w:val="00D67793"/>
    <w:rsid w:val="00D7056F"/>
    <w:rsid w:val="00D70ABF"/>
    <w:rsid w:val="00D70ECB"/>
    <w:rsid w:val="00D71221"/>
    <w:rsid w:val="00D718BE"/>
    <w:rsid w:val="00D73E37"/>
    <w:rsid w:val="00D759E1"/>
    <w:rsid w:val="00D75D40"/>
    <w:rsid w:val="00D763CA"/>
    <w:rsid w:val="00D7674E"/>
    <w:rsid w:val="00D76842"/>
    <w:rsid w:val="00D77233"/>
    <w:rsid w:val="00D77547"/>
    <w:rsid w:val="00D7760B"/>
    <w:rsid w:val="00D804D5"/>
    <w:rsid w:val="00D82A43"/>
    <w:rsid w:val="00D82FAF"/>
    <w:rsid w:val="00D833C6"/>
    <w:rsid w:val="00D85F79"/>
    <w:rsid w:val="00D870E3"/>
    <w:rsid w:val="00D90DE3"/>
    <w:rsid w:val="00D911ED"/>
    <w:rsid w:val="00D91C93"/>
    <w:rsid w:val="00D923B5"/>
    <w:rsid w:val="00D93599"/>
    <w:rsid w:val="00D9481D"/>
    <w:rsid w:val="00D94A2F"/>
    <w:rsid w:val="00D95B0B"/>
    <w:rsid w:val="00D96566"/>
    <w:rsid w:val="00DA37E0"/>
    <w:rsid w:val="00DA5285"/>
    <w:rsid w:val="00DA5BFF"/>
    <w:rsid w:val="00DA5F4D"/>
    <w:rsid w:val="00DA7352"/>
    <w:rsid w:val="00DA7B5D"/>
    <w:rsid w:val="00DB00B7"/>
    <w:rsid w:val="00DB027D"/>
    <w:rsid w:val="00DB02C5"/>
    <w:rsid w:val="00DB0BE6"/>
    <w:rsid w:val="00DB0C14"/>
    <w:rsid w:val="00DB2FCD"/>
    <w:rsid w:val="00DB484D"/>
    <w:rsid w:val="00DB778D"/>
    <w:rsid w:val="00DB7A71"/>
    <w:rsid w:val="00DB7AC3"/>
    <w:rsid w:val="00DC0812"/>
    <w:rsid w:val="00DC0E6C"/>
    <w:rsid w:val="00DC0E95"/>
    <w:rsid w:val="00DC1B95"/>
    <w:rsid w:val="00DC23ED"/>
    <w:rsid w:val="00DC294E"/>
    <w:rsid w:val="00DC3FF3"/>
    <w:rsid w:val="00DC418A"/>
    <w:rsid w:val="00DC5295"/>
    <w:rsid w:val="00DC62F4"/>
    <w:rsid w:val="00DC66C2"/>
    <w:rsid w:val="00DC72AE"/>
    <w:rsid w:val="00DC7AB1"/>
    <w:rsid w:val="00DD12FE"/>
    <w:rsid w:val="00DD2631"/>
    <w:rsid w:val="00DD362C"/>
    <w:rsid w:val="00DD44FD"/>
    <w:rsid w:val="00DD55A9"/>
    <w:rsid w:val="00DD6C5C"/>
    <w:rsid w:val="00DD6CED"/>
    <w:rsid w:val="00DD6D19"/>
    <w:rsid w:val="00DD7C5E"/>
    <w:rsid w:val="00DE07E3"/>
    <w:rsid w:val="00DE086E"/>
    <w:rsid w:val="00DE267A"/>
    <w:rsid w:val="00DE4831"/>
    <w:rsid w:val="00DE49E4"/>
    <w:rsid w:val="00DE5B45"/>
    <w:rsid w:val="00DE5F7D"/>
    <w:rsid w:val="00DE61EC"/>
    <w:rsid w:val="00DE6831"/>
    <w:rsid w:val="00DE6F80"/>
    <w:rsid w:val="00DE71E0"/>
    <w:rsid w:val="00DF0546"/>
    <w:rsid w:val="00DF106C"/>
    <w:rsid w:val="00DF14AA"/>
    <w:rsid w:val="00DF1C9B"/>
    <w:rsid w:val="00DF2999"/>
    <w:rsid w:val="00DF2FF5"/>
    <w:rsid w:val="00DF332C"/>
    <w:rsid w:val="00DF38CA"/>
    <w:rsid w:val="00DF4F23"/>
    <w:rsid w:val="00DF58E7"/>
    <w:rsid w:val="00DF65A8"/>
    <w:rsid w:val="00DF6830"/>
    <w:rsid w:val="00DF6DBA"/>
    <w:rsid w:val="00DF73C6"/>
    <w:rsid w:val="00DF77D7"/>
    <w:rsid w:val="00DF7B82"/>
    <w:rsid w:val="00E00B7A"/>
    <w:rsid w:val="00E00EC0"/>
    <w:rsid w:val="00E02509"/>
    <w:rsid w:val="00E03C54"/>
    <w:rsid w:val="00E047F8"/>
    <w:rsid w:val="00E04D55"/>
    <w:rsid w:val="00E0547A"/>
    <w:rsid w:val="00E05553"/>
    <w:rsid w:val="00E0667E"/>
    <w:rsid w:val="00E07CCD"/>
    <w:rsid w:val="00E1016E"/>
    <w:rsid w:val="00E1114B"/>
    <w:rsid w:val="00E1114F"/>
    <w:rsid w:val="00E11876"/>
    <w:rsid w:val="00E126E7"/>
    <w:rsid w:val="00E131A0"/>
    <w:rsid w:val="00E132E6"/>
    <w:rsid w:val="00E13557"/>
    <w:rsid w:val="00E13FF7"/>
    <w:rsid w:val="00E14BA7"/>
    <w:rsid w:val="00E150D2"/>
    <w:rsid w:val="00E16005"/>
    <w:rsid w:val="00E164E9"/>
    <w:rsid w:val="00E17393"/>
    <w:rsid w:val="00E1741C"/>
    <w:rsid w:val="00E1755E"/>
    <w:rsid w:val="00E17AF5"/>
    <w:rsid w:val="00E21214"/>
    <w:rsid w:val="00E21523"/>
    <w:rsid w:val="00E21964"/>
    <w:rsid w:val="00E21B18"/>
    <w:rsid w:val="00E2241B"/>
    <w:rsid w:val="00E226B6"/>
    <w:rsid w:val="00E226C4"/>
    <w:rsid w:val="00E22AD1"/>
    <w:rsid w:val="00E23608"/>
    <w:rsid w:val="00E238F4"/>
    <w:rsid w:val="00E23CBB"/>
    <w:rsid w:val="00E25339"/>
    <w:rsid w:val="00E25417"/>
    <w:rsid w:val="00E259A8"/>
    <w:rsid w:val="00E25D7A"/>
    <w:rsid w:val="00E26652"/>
    <w:rsid w:val="00E27230"/>
    <w:rsid w:val="00E31484"/>
    <w:rsid w:val="00E32A97"/>
    <w:rsid w:val="00E331B2"/>
    <w:rsid w:val="00E3396E"/>
    <w:rsid w:val="00E34124"/>
    <w:rsid w:val="00E3543D"/>
    <w:rsid w:val="00E359E4"/>
    <w:rsid w:val="00E35DBD"/>
    <w:rsid w:val="00E363BF"/>
    <w:rsid w:val="00E36401"/>
    <w:rsid w:val="00E372D2"/>
    <w:rsid w:val="00E3744E"/>
    <w:rsid w:val="00E37460"/>
    <w:rsid w:val="00E37B59"/>
    <w:rsid w:val="00E37F6C"/>
    <w:rsid w:val="00E37FE6"/>
    <w:rsid w:val="00E40166"/>
    <w:rsid w:val="00E403CB"/>
    <w:rsid w:val="00E40ED2"/>
    <w:rsid w:val="00E42A9B"/>
    <w:rsid w:val="00E43263"/>
    <w:rsid w:val="00E44A34"/>
    <w:rsid w:val="00E469D5"/>
    <w:rsid w:val="00E46A8D"/>
    <w:rsid w:val="00E46EE3"/>
    <w:rsid w:val="00E478C5"/>
    <w:rsid w:val="00E47C10"/>
    <w:rsid w:val="00E502A2"/>
    <w:rsid w:val="00E504C5"/>
    <w:rsid w:val="00E51F03"/>
    <w:rsid w:val="00E52F04"/>
    <w:rsid w:val="00E54257"/>
    <w:rsid w:val="00E54642"/>
    <w:rsid w:val="00E54D78"/>
    <w:rsid w:val="00E5565B"/>
    <w:rsid w:val="00E55CF4"/>
    <w:rsid w:val="00E57124"/>
    <w:rsid w:val="00E57419"/>
    <w:rsid w:val="00E57754"/>
    <w:rsid w:val="00E57795"/>
    <w:rsid w:val="00E57798"/>
    <w:rsid w:val="00E605F8"/>
    <w:rsid w:val="00E606A0"/>
    <w:rsid w:val="00E608D8"/>
    <w:rsid w:val="00E60903"/>
    <w:rsid w:val="00E60D94"/>
    <w:rsid w:val="00E619D2"/>
    <w:rsid w:val="00E639EC"/>
    <w:rsid w:val="00E65567"/>
    <w:rsid w:val="00E6745B"/>
    <w:rsid w:val="00E7147C"/>
    <w:rsid w:val="00E7180F"/>
    <w:rsid w:val="00E72A7C"/>
    <w:rsid w:val="00E733C0"/>
    <w:rsid w:val="00E73606"/>
    <w:rsid w:val="00E743C8"/>
    <w:rsid w:val="00E76156"/>
    <w:rsid w:val="00E76201"/>
    <w:rsid w:val="00E77427"/>
    <w:rsid w:val="00E775A7"/>
    <w:rsid w:val="00E80EC1"/>
    <w:rsid w:val="00E818FD"/>
    <w:rsid w:val="00E8210C"/>
    <w:rsid w:val="00E82E86"/>
    <w:rsid w:val="00E83C44"/>
    <w:rsid w:val="00E847C5"/>
    <w:rsid w:val="00E849C1"/>
    <w:rsid w:val="00E85A08"/>
    <w:rsid w:val="00E85B07"/>
    <w:rsid w:val="00E86EAC"/>
    <w:rsid w:val="00E87591"/>
    <w:rsid w:val="00E90AEF"/>
    <w:rsid w:val="00E91089"/>
    <w:rsid w:val="00E9155B"/>
    <w:rsid w:val="00E91EA6"/>
    <w:rsid w:val="00E92A9D"/>
    <w:rsid w:val="00E94162"/>
    <w:rsid w:val="00E97016"/>
    <w:rsid w:val="00E97859"/>
    <w:rsid w:val="00EA0267"/>
    <w:rsid w:val="00EA0A6E"/>
    <w:rsid w:val="00EA0D55"/>
    <w:rsid w:val="00EA1120"/>
    <w:rsid w:val="00EA1468"/>
    <w:rsid w:val="00EA20DC"/>
    <w:rsid w:val="00EA2E98"/>
    <w:rsid w:val="00EA36C6"/>
    <w:rsid w:val="00EA3E05"/>
    <w:rsid w:val="00EA5C53"/>
    <w:rsid w:val="00EB0C40"/>
    <w:rsid w:val="00EB0DD4"/>
    <w:rsid w:val="00EB1594"/>
    <w:rsid w:val="00EB27BA"/>
    <w:rsid w:val="00EB3EC5"/>
    <w:rsid w:val="00EB4BF8"/>
    <w:rsid w:val="00EB504E"/>
    <w:rsid w:val="00EB5293"/>
    <w:rsid w:val="00EB72BF"/>
    <w:rsid w:val="00EB76F8"/>
    <w:rsid w:val="00EC0A9D"/>
    <w:rsid w:val="00EC16B1"/>
    <w:rsid w:val="00EC1AC1"/>
    <w:rsid w:val="00EC2627"/>
    <w:rsid w:val="00EC363F"/>
    <w:rsid w:val="00EC3C73"/>
    <w:rsid w:val="00EC4E56"/>
    <w:rsid w:val="00EC524C"/>
    <w:rsid w:val="00EC5DB7"/>
    <w:rsid w:val="00EC7542"/>
    <w:rsid w:val="00EC76D2"/>
    <w:rsid w:val="00EC791A"/>
    <w:rsid w:val="00ED0804"/>
    <w:rsid w:val="00ED093A"/>
    <w:rsid w:val="00ED1CE9"/>
    <w:rsid w:val="00ED20C5"/>
    <w:rsid w:val="00ED3D70"/>
    <w:rsid w:val="00ED3F6C"/>
    <w:rsid w:val="00ED5725"/>
    <w:rsid w:val="00ED5945"/>
    <w:rsid w:val="00ED5986"/>
    <w:rsid w:val="00ED5A77"/>
    <w:rsid w:val="00ED6AAC"/>
    <w:rsid w:val="00ED7031"/>
    <w:rsid w:val="00EE05D3"/>
    <w:rsid w:val="00EE0637"/>
    <w:rsid w:val="00EE0D3E"/>
    <w:rsid w:val="00EE29BA"/>
    <w:rsid w:val="00EE3060"/>
    <w:rsid w:val="00EE4315"/>
    <w:rsid w:val="00EE516C"/>
    <w:rsid w:val="00EE53F8"/>
    <w:rsid w:val="00EE5B9B"/>
    <w:rsid w:val="00EE67A2"/>
    <w:rsid w:val="00EE7769"/>
    <w:rsid w:val="00EF0612"/>
    <w:rsid w:val="00EF070C"/>
    <w:rsid w:val="00EF29C5"/>
    <w:rsid w:val="00EF29D3"/>
    <w:rsid w:val="00EF314F"/>
    <w:rsid w:val="00EF3BAD"/>
    <w:rsid w:val="00EF5824"/>
    <w:rsid w:val="00EF775B"/>
    <w:rsid w:val="00EF7F83"/>
    <w:rsid w:val="00F001DF"/>
    <w:rsid w:val="00F00247"/>
    <w:rsid w:val="00F00358"/>
    <w:rsid w:val="00F00949"/>
    <w:rsid w:val="00F01260"/>
    <w:rsid w:val="00F0162F"/>
    <w:rsid w:val="00F021DC"/>
    <w:rsid w:val="00F045BE"/>
    <w:rsid w:val="00F046DD"/>
    <w:rsid w:val="00F048A6"/>
    <w:rsid w:val="00F04BE2"/>
    <w:rsid w:val="00F0537E"/>
    <w:rsid w:val="00F05D4C"/>
    <w:rsid w:val="00F06187"/>
    <w:rsid w:val="00F06EC1"/>
    <w:rsid w:val="00F06ED7"/>
    <w:rsid w:val="00F0736C"/>
    <w:rsid w:val="00F07C5E"/>
    <w:rsid w:val="00F07CBF"/>
    <w:rsid w:val="00F07CD6"/>
    <w:rsid w:val="00F07D72"/>
    <w:rsid w:val="00F1070B"/>
    <w:rsid w:val="00F109E6"/>
    <w:rsid w:val="00F1180C"/>
    <w:rsid w:val="00F13583"/>
    <w:rsid w:val="00F135AD"/>
    <w:rsid w:val="00F14F4F"/>
    <w:rsid w:val="00F16E87"/>
    <w:rsid w:val="00F17ADA"/>
    <w:rsid w:val="00F2038B"/>
    <w:rsid w:val="00F206CE"/>
    <w:rsid w:val="00F20F5B"/>
    <w:rsid w:val="00F22594"/>
    <w:rsid w:val="00F23169"/>
    <w:rsid w:val="00F23EB1"/>
    <w:rsid w:val="00F2431B"/>
    <w:rsid w:val="00F25438"/>
    <w:rsid w:val="00F25454"/>
    <w:rsid w:val="00F254FC"/>
    <w:rsid w:val="00F25649"/>
    <w:rsid w:val="00F26ED3"/>
    <w:rsid w:val="00F27C80"/>
    <w:rsid w:val="00F3096F"/>
    <w:rsid w:val="00F31221"/>
    <w:rsid w:val="00F32673"/>
    <w:rsid w:val="00F327A4"/>
    <w:rsid w:val="00F32A33"/>
    <w:rsid w:val="00F32BD2"/>
    <w:rsid w:val="00F337C4"/>
    <w:rsid w:val="00F33EE9"/>
    <w:rsid w:val="00F352C2"/>
    <w:rsid w:val="00F35D76"/>
    <w:rsid w:val="00F35EF3"/>
    <w:rsid w:val="00F37388"/>
    <w:rsid w:val="00F4075D"/>
    <w:rsid w:val="00F40E15"/>
    <w:rsid w:val="00F40E76"/>
    <w:rsid w:val="00F412B3"/>
    <w:rsid w:val="00F41734"/>
    <w:rsid w:val="00F41B45"/>
    <w:rsid w:val="00F41C20"/>
    <w:rsid w:val="00F41EBC"/>
    <w:rsid w:val="00F42EB3"/>
    <w:rsid w:val="00F444A2"/>
    <w:rsid w:val="00F448F7"/>
    <w:rsid w:val="00F450FE"/>
    <w:rsid w:val="00F5048E"/>
    <w:rsid w:val="00F5062A"/>
    <w:rsid w:val="00F507F4"/>
    <w:rsid w:val="00F50AC2"/>
    <w:rsid w:val="00F50B71"/>
    <w:rsid w:val="00F527B8"/>
    <w:rsid w:val="00F53BDB"/>
    <w:rsid w:val="00F546A6"/>
    <w:rsid w:val="00F5487B"/>
    <w:rsid w:val="00F54C74"/>
    <w:rsid w:val="00F568A8"/>
    <w:rsid w:val="00F57EC9"/>
    <w:rsid w:val="00F6094A"/>
    <w:rsid w:val="00F61097"/>
    <w:rsid w:val="00F61348"/>
    <w:rsid w:val="00F613E4"/>
    <w:rsid w:val="00F61649"/>
    <w:rsid w:val="00F62955"/>
    <w:rsid w:val="00F62B7A"/>
    <w:rsid w:val="00F6397D"/>
    <w:rsid w:val="00F63FAC"/>
    <w:rsid w:val="00F6617E"/>
    <w:rsid w:val="00F67C44"/>
    <w:rsid w:val="00F70A14"/>
    <w:rsid w:val="00F70A88"/>
    <w:rsid w:val="00F71321"/>
    <w:rsid w:val="00F7162B"/>
    <w:rsid w:val="00F71741"/>
    <w:rsid w:val="00F71EC6"/>
    <w:rsid w:val="00F7293E"/>
    <w:rsid w:val="00F7432C"/>
    <w:rsid w:val="00F75FD1"/>
    <w:rsid w:val="00F76650"/>
    <w:rsid w:val="00F773F3"/>
    <w:rsid w:val="00F77F5D"/>
    <w:rsid w:val="00F77FD5"/>
    <w:rsid w:val="00F803BC"/>
    <w:rsid w:val="00F80B27"/>
    <w:rsid w:val="00F81DC8"/>
    <w:rsid w:val="00F81EF4"/>
    <w:rsid w:val="00F828EE"/>
    <w:rsid w:val="00F82A39"/>
    <w:rsid w:val="00F840C9"/>
    <w:rsid w:val="00F85EAE"/>
    <w:rsid w:val="00F862D4"/>
    <w:rsid w:val="00F87E68"/>
    <w:rsid w:val="00F90744"/>
    <w:rsid w:val="00F909A3"/>
    <w:rsid w:val="00F9187B"/>
    <w:rsid w:val="00F92385"/>
    <w:rsid w:val="00F92A2F"/>
    <w:rsid w:val="00F93685"/>
    <w:rsid w:val="00F94748"/>
    <w:rsid w:val="00F94900"/>
    <w:rsid w:val="00F952FA"/>
    <w:rsid w:val="00F9534C"/>
    <w:rsid w:val="00F95436"/>
    <w:rsid w:val="00F95E73"/>
    <w:rsid w:val="00F963FD"/>
    <w:rsid w:val="00F96FF2"/>
    <w:rsid w:val="00F970A2"/>
    <w:rsid w:val="00F97148"/>
    <w:rsid w:val="00F9728E"/>
    <w:rsid w:val="00FA05B9"/>
    <w:rsid w:val="00FA146C"/>
    <w:rsid w:val="00FA14B0"/>
    <w:rsid w:val="00FA1878"/>
    <w:rsid w:val="00FA1B4F"/>
    <w:rsid w:val="00FA2030"/>
    <w:rsid w:val="00FA304B"/>
    <w:rsid w:val="00FA6023"/>
    <w:rsid w:val="00FA68AC"/>
    <w:rsid w:val="00FA6BB0"/>
    <w:rsid w:val="00FB000B"/>
    <w:rsid w:val="00FB2117"/>
    <w:rsid w:val="00FB2214"/>
    <w:rsid w:val="00FB25B9"/>
    <w:rsid w:val="00FB4277"/>
    <w:rsid w:val="00FB46DC"/>
    <w:rsid w:val="00FB5508"/>
    <w:rsid w:val="00FB593F"/>
    <w:rsid w:val="00FB6133"/>
    <w:rsid w:val="00FB614A"/>
    <w:rsid w:val="00FB6CCC"/>
    <w:rsid w:val="00FB72AD"/>
    <w:rsid w:val="00FB74D8"/>
    <w:rsid w:val="00FC13EB"/>
    <w:rsid w:val="00FC19B0"/>
    <w:rsid w:val="00FC2501"/>
    <w:rsid w:val="00FC2BDE"/>
    <w:rsid w:val="00FC33CE"/>
    <w:rsid w:val="00FC459C"/>
    <w:rsid w:val="00FC47F9"/>
    <w:rsid w:val="00FC569A"/>
    <w:rsid w:val="00FC602C"/>
    <w:rsid w:val="00FC621F"/>
    <w:rsid w:val="00FC62F0"/>
    <w:rsid w:val="00FC6340"/>
    <w:rsid w:val="00FC6766"/>
    <w:rsid w:val="00FD0174"/>
    <w:rsid w:val="00FD14E4"/>
    <w:rsid w:val="00FD1E44"/>
    <w:rsid w:val="00FD20F6"/>
    <w:rsid w:val="00FD26DB"/>
    <w:rsid w:val="00FD364E"/>
    <w:rsid w:val="00FD44D7"/>
    <w:rsid w:val="00FD4FF1"/>
    <w:rsid w:val="00FD5646"/>
    <w:rsid w:val="00FD59AB"/>
    <w:rsid w:val="00FD686C"/>
    <w:rsid w:val="00FD7304"/>
    <w:rsid w:val="00FD7BC6"/>
    <w:rsid w:val="00FD7CD7"/>
    <w:rsid w:val="00FD7F3B"/>
    <w:rsid w:val="00FE0EBB"/>
    <w:rsid w:val="00FE16B8"/>
    <w:rsid w:val="00FE38C3"/>
    <w:rsid w:val="00FE444C"/>
    <w:rsid w:val="00FE5580"/>
    <w:rsid w:val="00FE6C37"/>
    <w:rsid w:val="00FE6C71"/>
    <w:rsid w:val="00FE77EE"/>
    <w:rsid w:val="00FF0D59"/>
    <w:rsid w:val="00FF1094"/>
    <w:rsid w:val="00FF110C"/>
    <w:rsid w:val="00FF16CD"/>
    <w:rsid w:val="00FF393E"/>
    <w:rsid w:val="00FF3CE3"/>
    <w:rsid w:val="00FF3EB1"/>
    <w:rsid w:val="00FF4184"/>
    <w:rsid w:val="00FF42B5"/>
    <w:rsid w:val="00FF4310"/>
    <w:rsid w:val="00FF4C03"/>
    <w:rsid w:val="00FF503A"/>
    <w:rsid w:val="00FF5A80"/>
    <w:rsid w:val="00FF5F2A"/>
    <w:rsid w:val="00FF61A8"/>
    <w:rsid w:val="015A6D3C"/>
    <w:rsid w:val="12F7F9A3"/>
    <w:rsid w:val="455FF62E"/>
    <w:rsid w:val="4B1FC607"/>
    <w:rsid w:val="5C94F1C9"/>
    <w:rsid w:val="671015B1"/>
    <w:rsid w:val="79AE5E7B"/>
    <w:rsid w:val="7AB86CB9"/>
    <w:rsid w:val="7D80B120"/>
    <w:rsid w:val="7ECC6E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F3B56"/>
  <w15:docId w15:val="{D7B76601-65CB-41AE-B7DF-06335DA21328}"/>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uiPriority="4"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A56F2"/>
    <w:pPr>
      <w:spacing w:after="0" w:line="360" w:lineRule="auto"/>
      <w:ind w:firstLine="720"/>
    </w:pPr>
    <w:rPr>
      <w:rFonts w:ascii="Book Antiqua" w:hAnsi="Book Antiqua"/>
      <w:sz w:val="26"/>
    </w:rPr>
  </w:style>
  <w:style w:type="paragraph" w:styleId="Heading1">
    <w:name w:val="heading 1"/>
    <w:basedOn w:val="Dummy"/>
    <w:next w:val="Standard"/>
    <w:link w:val="Heading1Char"/>
    <w:uiPriority w:val="4"/>
    <w:qFormat/>
    <w:rsid w:val="00506E52"/>
    <w:pPr>
      <w:numPr>
        <w:numId w:val="10"/>
      </w:numPr>
      <w:ind w:left="720" w:hanging="720"/>
    </w:pPr>
    <w:rPr>
      <w:rFonts w:eastAsiaTheme="majorEastAsia" w:cstheme="majorBidi"/>
      <w:szCs w:val="32"/>
    </w:rPr>
  </w:style>
  <w:style w:type="paragraph" w:styleId="Heading2">
    <w:name w:val="heading 2"/>
    <w:basedOn w:val="Dummy"/>
    <w:next w:val="Standard"/>
    <w:link w:val="Heading2Char"/>
    <w:uiPriority w:val="4"/>
    <w:qFormat/>
    <w:rsid w:val="00506E52"/>
    <w:pPr>
      <w:numPr>
        <w:ilvl w:val="1"/>
        <w:numId w:val="10"/>
      </w:numPr>
      <w:ind w:left="1350"/>
      <w:outlineLvl w:val="1"/>
    </w:pPr>
  </w:style>
  <w:style w:type="paragraph" w:styleId="Heading3">
    <w:name w:val="heading 3"/>
    <w:basedOn w:val="Dummy"/>
    <w:next w:val="Standard"/>
    <w:link w:val="Heading3Char"/>
    <w:uiPriority w:val="4"/>
    <w:qFormat/>
    <w:rsid w:val="00947BC6"/>
    <w:pPr>
      <w:numPr>
        <w:ilvl w:val="2"/>
        <w:numId w:val="10"/>
      </w:numPr>
      <w:outlineLvl w:val="2"/>
    </w:pPr>
    <w:rPr>
      <w:rFonts w:eastAsiaTheme="majorEastAsia" w:cstheme="majorBidi"/>
      <w:szCs w:val="24"/>
    </w:rPr>
  </w:style>
  <w:style w:type="paragraph" w:styleId="Heading4">
    <w:name w:val="heading 4"/>
    <w:basedOn w:val="Dummy"/>
    <w:next w:val="Standard"/>
    <w:link w:val="Heading4Char"/>
    <w:uiPriority w:val="4"/>
    <w:qFormat/>
    <w:rsid w:val="00947BC6"/>
    <w:pPr>
      <w:numPr>
        <w:ilvl w:val="3"/>
        <w:numId w:val="10"/>
      </w:numPr>
      <w:outlineLvl w:val="3"/>
    </w:pPr>
    <w:rPr>
      <w:rFonts w:eastAsiaTheme="majorEastAsia" w:cstheme="majorBidi"/>
      <w:iCs/>
    </w:rPr>
  </w:style>
  <w:style w:type="paragraph" w:styleId="Heading5">
    <w:name w:val="heading 5"/>
    <w:basedOn w:val="Dummy"/>
    <w:next w:val="Standard"/>
    <w:link w:val="Heading5Char"/>
    <w:uiPriority w:val="4"/>
    <w:qFormat/>
    <w:rsid w:val="00947BC6"/>
    <w:pPr>
      <w:numPr>
        <w:ilvl w:val="4"/>
        <w:numId w:val="10"/>
      </w:numPr>
      <w:outlineLvl w:val="4"/>
    </w:pPr>
    <w:rPr>
      <w:rFonts w:eastAsiaTheme="majorEastAsia" w:cstheme="majorBidi"/>
    </w:rPr>
  </w:style>
  <w:style w:type="paragraph" w:styleId="Heading6">
    <w:name w:val="heading 6"/>
    <w:basedOn w:val="Dummy"/>
    <w:next w:val="Standard"/>
    <w:link w:val="Heading6Char"/>
    <w:uiPriority w:val="4"/>
    <w:qFormat/>
    <w:rsid w:val="00947BC6"/>
    <w:pPr>
      <w:numPr>
        <w:ilvl w:val="5"/>
        <w:numId w:val="10"/>
      </w:numPr>
      <w:spacing w:before="40"/>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506E52"/>
    <w:rPr>
      <w:rFonts w:ascii="Arial" w:eastAsiaTheme="majorEastAsia" w:hAnsi="Arial" w:cstheme="majorBidi"/>
      <w:b/>
      <w:sz w:val="26"/>
      <w:szCs w:val="32"/>
    </w:rPr>
  </w:style>
  <w:style w:type="paragraph" w:styleId="TOCHeading">
    <w:name w:val="TOC Heading"/>
    <w:next w:val="Normal"/>
    <w:uiPriority w:val="39"/>
    <w:unhideWhenUsed/>
    <w:qFormat/>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uiPriority w:val="19"/>
    <w:rsid w:val="00F62B7A"/>
    <w:pPr>
      <w:keepNext/>
      <w:keepLines/>
      <w:spacing w:after="120" w:line="240" w:lineRule="auto"/>
      <w:outlineLvl w:val="0"/>
    </w:pPr>
    <w:rPr>
      <w:rFonts w:ascii="Arial" w:hAnsi="Arial" w:cs="Arial"/>
      <w:b/>
      <w:sz w:val="26"/>
      <w:szCs w:val="26"/>
    </w:rPr>
  </w:style>
  <w:style w:type="character" w:customStyle="1" w:styleId="Heading2Char">
    <w:name w:val="Heading 2 Char"/>
    <w:basedOn w:val="DefaultParagraphFont"/>
    <w:link w:val="Heading2"/>
    <w:uiPriority w:val="4"/>
    <w:rsid w:val="00506E52"/>
    <w:rPr>
      <w:rFonts w:ascii="Arial" w:hAnsi="Arial" w:cs="Arial"/>
      <w:b/>
      <w:sz w:val="26"/>
      <w:szCs w:val="26"/>
    </w:rPr>
  </w:style>
  <w:style w:type="character" w:customStyle="1" w:styleId="Heading3Char">
    <w:name w:val="Heading 3 Char"/>
    <w:basedOn w:val="DefaultParagraphFont"/>
    <w:link w:val="Heading3"/>
    <w:uiPriority w:val="4"/>
    <w:rsid w:val="00722850"/>
    <w:rPr>
      <w:rFonts w:ascii="Arial" w:eastAsiaTheme="majorEastAsia" w:hAnsi="Arial" w:cstheme="majorBidi"/>
      <w:b/>
      <w:sz w:val="26"/>
      <w:szCs w:val="24"/>
    </w:rPr>
  </w:style>
  <w:style w:type="character" w:customStyle="1" w:styleId="Heading4Char">
    <w:name w:val="Heading 4 Char"/>
    <w:basedOn w:val="DefaultParagraphFont"/>
    <w:link w:val="Heading4"/>
    <w:uiPriority w:val="4"/>
    <w:rsid w:val="007A406D"/>
    <w:rPr>
      <w:rFonts w:ascii="Arial" w:eastAsiaTheme="majorEastAsia" w:hAnsi="Arial" w:cstheme="majorBidi"/>
      <w:b/>
      <w:iCs/>
      <w:sz w:val="26"/>
      <w:szCs w:val="26"/>
    </w:rPr>
  </w:style>
  <w:style w:type="character" w:customStyle="1" w:styleId="Heading5Char">
    <w:name w:val="Heading 5 Char"/>
    <w:basedOn w:val="DefaultParagraphFont"/>
    <w:link w:val="Heading5"/>
    <w:uiPriority w:val="4"/>
    <w:rsid w:val="008A179F"/>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0A6E05"/>
    <w:pPr>
      <w:keepNext/>
      <w:spacing w:line="360" w:lineRule="auto"/>
      <w:outlineLvl w:val="0"/>
    </w:pPr>
    <w:rPr>
      <w:spacing w:val="120"/>
    </w:rPr>
  </w:style>
  <w:style w:type="paragraph" w:styleId="TOC2">
    <w:name w:val="toc 2"/>
    <w:basedOn w:val="Normal"/>
    <w:next w:val="Normal"/>
    <w:uiPriority w:val="39"/>
    <w:unhideWhenUsed/>
    <w:rsid w:val="00CA2F55"/>
    <w:pPr>
      <w:spacing w:line="240" w:lineRule="auto"/>
      <w:ind w:left="864" w:hanging="648"/>
    </w:pPr>
    <w:rPr>
      <w:rFonts w:cstheme="minorHAnsi"/>
      <w:bCs/>
    </w:rPr>
  </w:style>
  <w:style w:type="paragraph" w:styleId="TOC1">
    <w:name w:val="toc 1"/>
    <w:basedOn w:val="Normal"/>
    <w:next w:val="Normal"/>
    <w:uiPriority w:val="39"/>
    <w:unhideWhenUsed/>
    <w:rsid w:val="00CA2F55"/>
    <w:pPr>
      <w:spacing w:line="240" w:lineRule="auto"/>
      <w:ind w:left="432" w:hanging="432"/>
    </w:pPr>
    <w:rPr>
      <w:rFonts w:cstheme="minorHAnsi"/>
      <w:bCs/>
      <w:iCs/>
      <w:szCs w:val="24"/>
    </w:rPr>
  </w:style>
  <w:style w:type="paragraph" w:styleId="TOC3">
    <w:name w:val="toc 3"/>
    <w:basedOn w:val="Normal"/>
    <w:next w:val="Normal"/>
    <w:uiPriority w:val="39"/>
    <w:unhideWhenUsed/>
    <w:rsid w:val="00CA2F55"/>
    <w:pPr>
      <w:spacing w:line="240" w:lineRule="auto"/>
      <w:ind w:left="1296" w:hanging="864"/>
    </w:pPr>
    <w:rPr>
      <w:rFonts w:cstheme="minorHAnsi"/>
      <w:szCs w:val="20"/>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2"/>
      </w:numPr>
    </w:pPr>
  </w:style>
  <w:style w:type="paragraph" w:styleId="TOC9">
    <w:name w:val="toc 9"/>
    <w:basedOn w:val="Normal"/>
    <w:next w:val="Normal"/>
    <w:autoRedefine/>
    <w:uiPriority w:val="39"/>
    <w:semiHidden/>
    <w:unhideWhenUsed/>
    <w:rsid w:val="00D82A43"/>
    <w:pPr>
      <w:ind w:left="2080"/>
    </w:pPr>
    <w:rPr>
      <w:rFonts w:asciiTheme="minorHAnsi" w:hAnsiTheme="minorHAnsi" w:cstheme="minorHAnsi"/>
      <w:sz w:val="20"/>
      <w:szCs w:val="20"/>
    </w:rPr>
  </w:style>
  <w:style w:type="paragraph" w:styleId="Header">
    <w:name w:val="header"/>
    <w:basedOn w:val="Normal"/>
    <w:link w:val="HeaderChar"/>
    <w:uiPriority w:val="99"/>
    <w:rsid w:val="0098138E"/>
    <w:pPr>
      <w:tabs>
        <w:tab w:val="center" w:pos="4680"/>
        <w:tab w:val="right" w:pos="9360"/>
      </w:tabs>
      <w:spacing w:line="240" w:lineRule="auto"/>
    </w:pPr>
  </w:style>
  <w:style w:type="character" w:customStyle="1" w:styleId="HeaderChar">
    <w:name w:val="Header Char"/>
    <w:basedOn w:val="DefaultParagraphFont"/>
    <w:link w:val="Header"/>
    <w:uiPriority w:val="99"/>
    <w:rsid w:val="000A56F2"/>
    <w:rPr>
      <w:rFonts w:ascii="Book Antiqua" w:hAnsi="Book Antiqua"/>
      <w:sz w:val="26"/>
    </w:rPr>
  </w:style>
  <w:style w:type="paragraph" w:styleId="Footer">
    <w:name w:val="footer"/>
    <w:basedOn w:val="Normal"/>
    <w:link w:val="FooterChar"/>
    <w:uiPriority w:val="99"/>
    <w:rsid w:val="00EE3060"/>
    <w:pPr>
      <w:tabs>
        <w:tab w:val="center" w:pos="4680"/>
        <w:tab w:val="right" w:pos="9360"/>
      </w:tabs>
      <w:spacing w:line="240" w:lineRule="auto"/>
    </w:pPr>
  </w:style>
  <w:style w:type="character" w:customStyle="1" w:styleId="FooterChar">
    <w:name w:val="Footer Char"/>
    <w:basedOn w:val="DefaultParagraphFont"/>
    <w:link w:val="Footer"/>
    <w:uiPriority w:val="99"/>
    <w:rsid w:val="007657C1"/>
    <w:rPr>
      <w:rFonts w:ascii="Book Antiqua" w:hAnsi="Book Antiqua"/>
      <w:sz w:val="26"/>
    </w:rPr>
  </w:style>
  <w:style w:type="paragraph" w:customStyle="1" w:styleId="BlockQuote">
    <w:name w:val="Block Quote"/>
    <w:basedOn w:val="Standard"/>
    <w:uiPriority w:val="5"/>
    <w:qFormat/>
    <w:rsid w:val="00EA36C6"/>
    <w:pPr>
      <w:spacing w:after="120" w:line="240" w:lineRule="auto"/>
      <w:ind w:left="720" w:right="720" w:firstLine="0"/>
    </w:p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Footnote Text Cha"/>
    <w:basedOn w:val="Normal"/>
    <w:link w:val="FootnoteTextChar"/>
    <w:rsid w:val="00B01F7E"/>
    <w:pPr>
      <w:spacing w:after="120" w:line="240" w:lineRule="auto"/>
      <w:ind w:firstLine="0"/>
    </w:pPr>
    <w:rPr>
      <w:sz w:val="22"/>
      <w:szCs w:val="20"/>
    </w:rPr>
  </w:style>
  <w:style w:type="character" w:customStyle="1" w:styleId="FootnoteTextChar">
    <w:name w:val="Footnote Text Char"/>
    <w:aliases w:val="Footnote Text Char1 Char,Footnote Text Char Char Char1,Footnote Text Char2 Char Char,Footnote Text Char Char Char Char,Footnote Text Char2 Char Char Char Char,Footnote Text Char Char Char Char Char Char,fn Char,Footnote Text Cha Char"/>
    <w:basedOn w:val="DefaultParagraphFont"/>
    <w:link w:val="FootnoteText"/>
    <w:rsid w:val="007657C1"/>
    <w:rPr>
      <w:rFonts w:ascii="Book Antiqua" w:hAnsi="Book Antiqua"/>
      <w:szCs w:val="20"/>
    </w:rPr>
  </w:style>
  <w:style w:type="character" w:styleId="FootnoteReference">
    <w:name w:val="footnote reference"/>
    <w:aliases w:val="o,fr,Style 3,o1,o2,o3,o4,o5,o6,o11,o21,o7"/>
    <w:basedOn w:val="DefaultParagraphFont"/>
    <w:unhideWhenUsed/>
    <w:rsid w:val="00DF58E7"/>
    <w:rPr>
      <w:vertAlign w:val="superscript"/>
    </w:rPr>
  </w:style>
  <w:style w:type="paragraph" w:customStyle="1" w:styleId="FoF">
    <w:name w:val="FoF"/>
    <w:basedOn w:val="Standard"/>
    <w:uiPriority w:val="6"/>
    <w:qFormat/>
    <w:rsid w:val="001E2A62"/>
    <w:pPr>
      <w:numPr>
        <w:numId w:val="3"/>
      </w:numPr>
      <w:ind w:firstLine="547"/>
    </w:pPr>
  </w:style>
  <w:style w:type="paragraph" w:customStyle="1" w:styleId="CoL">
    <w:name w:val="CoL"/>
    <w:basedOn w:val="Standard"/>
    <w:uiPriority w:val="7"/>
    <w:qFormat/>
    <w:rsid w:val="001E2A62"/>
    <w:pPr>
      <w:numPr>
        <w:numId w:val="4"/>
      </w:numPr>
      <w:ind w:firstLine="547"/>
    </w:pPr>
  </w:style>
  <w:style w:type="paragraph" w:styleId="NoSpacing">
    <w:name w:val="No Spacing"/>
    <w:basedOn w:val="Standard"/>
    <w:uiPriority w:val="1"/>
    <w:rsid w:val="001E2A62"/>
    <w:pPr>
      <w:spacing w:line="240" w:lineRule="auto"/>
      <w:ind w:firstLine="0"/>
    </w:pPr>
  </w:style>
  <w:style w:type="paragraph" w:customStyle="1" w:styleId="OP">
    <w:name w:val="OP"/>
    <w:basedOn w:val="Standard"/>
    <w:uiPriority w:val="8"/>
    <w:qFormat/>
    <w:rsid w:val="001E2A62"/>
    <w:pPr>
      <w:numPr>
        <w:numId w:val="5"/>
      </w:numPr>
    </w:pPr>
  </w:style>
  <w:style w:type="paragraph" w:styleId="BalloonText">
    <w:name w:val="Balloon Text"/>
    <w:basedOn w:val="Normal"/>
    <w:link w:val="BalloonTextChar"/>
    <w:unhideWhenUsed/>
    <w:rsid w:val="004C7D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4C7D3A"/>
    <w:rPr>
      <w:rFonts w:ascii="Segoe UI" w:hAnsi="Segoe UI" w:cs="Segoe UI"/>
      <w:sz w:val="18"/>
      <w:szCs w:val="18"/>
    </w:rPr>
  </w:style>
  <w:style w:type="numbering" w:customStyle="1" w:styleId="Headings">
    <w:name w:val="Headings"/>
    <w:uiPriority w:val="99"/>
    <w:rsid w:val="00947BC6"/>
    <w:pPr>
      <w:numPr>
        <w:numId w:val="6"/>
      </w:numPr>
    </w:pPr>
  </w:style>
  <w:style w:type="paragraph" w:customStyle="1" w:styleId="Standard">
    <w:name w:val="Standard"/>
    <w:basedOn w:val="Normal"/>
    <w:qFormat/>
    <w:rsid w:val="007A406D"/>
  </w:style>
  <w:style w:type="paragraph" w:customStyle="1" w:styleId="ListAlpha">
    <w:name w:val="List Alpha"/>
    <w:basedOn w:val="Standard"/>
    <w:uiPriority w:val="4"/>
    <w:qFormat/>
    <w:rsid w:val="00947BC6"/>
    <w:pPr>
      <w:numPr>
        <w:ilvl w:val="7"/>
        <w:numId w:val="10"/>
      </w:numPr>
      <w:spacing w:after="120" w:line="240" w:lineRule="auto"/>
    </w:pPr>
  </w:style>
  <w:style w:type="paragraph" w:styleId="ListBullet">
    <w:name w:val="List Bullet"/>
    <w:basedOn w:val="Standard"/>
    <w:uiPriority w:val="4"/>
    <w:qFormat/>
    <w:rsid w:val="001F2819"/>
    <w:pPr>
      <w:numPr>
        <w:numId w:val="9"/>
      </w:numPr>
      <w:tabs>
        <w:tab w:val="clear" w:pos="360"/>
      </w:tabs>
      <w:spacing w:after="120" w:line="240" w:lineRule="auto"/>
      <w:ind w:left="1080"/>
    </w:pPr>
  </w:style>
  <w:style w:type="character" w:customStyle="1" w:styleId="Heading6Char">
    <w:name w:val="Heading 6 Char"/>
    <w:basedOn w:val="DefaultParagraphFont"/>
    <w:link w:val="Heading6"/>
    <w:uiPriority w:val="4"/>
    <w:rsid w:val="000A56F2"/>
    <w:rPr>
      <w:rFonts w:ascii="Arial" w:eastAsiaTheme="majorEastAsia" w:hAnsi="Arial" w:cstheme="majorBidi"/>
      <w:b/>
      <w:sz w:val="26"/>
      <w:szCs w:val="26"/>
    </w:rPr>
  </w:style>
  <w:style w:type="paragraph" w:styleId="TOC4">
    <w:name w:val="toc 4"/>
    <w:basedOn w:val="Normal"/>
    <w:next w:val="Normal"/>
    <w:autoRedefine/>
    <w:uiPriority w:val="39"/>
    <w:unhideWhenUsed/>
    <w:rsid w:val="008C7413"/>
    <w:pPr>
      <w:ind w:left="780"/>
    </w:pPr>
    <w:rPr>
      <w:rFonts w:asciiTheme="minorHAnsi" w:hAnsiTheme="minorHAnsi" w:cstheme="minorHAnsi"/>
      <w:sz w:val="20"/>
      <w:szCs w:val="20"/>
    </w:rPr>
  </w:style>
  <w:style w:type="paragraph" w:styleId="TOC5">
    <w:name w:val="toc 5"/>
    <w:basedOn w:val="Normal"/>
    <w:next w:val="Normal"/>
    <w:autoRedefine/>
    <w:uiPriority w:val="39"/>
    <w:unhideWhenUsed/>
    <w:rsid w:val="008C7413"/>
    <w:pPr>
      <w:ind w:left="1040"/>
    </w:pPr>
    <w:rPr>
      <w:rFonts w:asciiTheme="minorHAnsi" w:hAnsiTheme="minorHAnsi" w:cstheme="minorHAnsi"/>
      <w:sz w:val="20"/>
      <w:szCs w:val="20"/>
    </w:rPr>
  </w:style>
  <w:style w:type="paragraph" w:styleId="TOC6">
    <w:name w:val="toc 6"/>
    <w:basedOn w:val="Normal"/>
    <w:next w:val="Normal"/>
    <w:autoRedefine/>
    <w:uiPriority w:val="39"/>
    <w:unhideWhenUsed/>
    <w:rsid w:val="008C7413"/>
    <w:pPr>
      <w:ind w:left="1300"/>
    </w:pPr>
    <w:rPr>
      <w:rFonts w:asciiTheme="minorHAnsi" w:hAnsiTheme="minorHAnsi" w:cstheme="minorHAnsi"/>
      <w:sz w:val="20"/>
      <w:szCs w:val="20"/>
    </w:rPr>
  </w:style>
  <w:style w:type="paragraph" w:customStyle="1" w:styleId="TableText">
    <w:name w:val="Table Text"/>
    <w:basedOn w:val="NoSpacing"/>
    <w:rsid w:val="00947BC6"/>
    <w:pPr>
      <w:contextualSpacing/>
    </w:pPr>
    <w:rPr>
      <w:sz w:val="22"/>
    </w:rPr>
  </w:style>
  <w:style w:type="paragraph" w:customStyle="1" w:styleId="standard0">
    <w:name w:val="standard"/>
    <w:basedOn w:val="Normal"/>
    <w:link w:val="standardChar"/>
    <w:rsid w:val="008C2494"/>
    <w:rPr>
      <w:rFonts w:ascii="Palatino" w:eastAsia="Times New Roman" w:hAnsi="Palatino" w:cs="Times New Roman"/>
      <w:szCs w:val="20"/>
    </w:rPr>
  </w:style>
  <w:style w:type="character" w:customStyle="1" w:styleId="standardChar">
    <w:name w:val="standard Char"/>
    <w:link w:val="standard0"/>
    <w:rsid w:val="008C2494"/>
    <w:rPr>
      <w:rFonts w:ascii="Palatino" w:eastAsia="Times New Roman" w:hAnsi="Palatino" w:cs="Times New Roman"/>
      <w:sz w:val="26"/>
      <w:szCs w:val="20"/>
    </w:rPr>
  </w:style>
  <w:style w:type="paragraph" w:styleId="ListParagraph">
    <w:name w:val="List Paragraph"/>
    <w:basedOn w:val="Normal"/>
    <w:uiPriority w:val="34"/>
    <w:qFormat/>
    <w:rsid w:val="00301956"/>
    <w:pPr>
      <w:ind w:left="720"/>
      <w:contextualSpacing/>
    </w:pPr>
  </w:style>
  <w:style w:type="paragraph" w:customStyle="1" w:styleId="sub1">
    <w:name w:val="sub1"/>
    <w:basedOn w:val="Normal"/>
    <w:rsid w:val="003E60EB"/>
    <w:pPr>
      <w:ind w:firstLine="1440"/>
    </w:pPr>
    <w:rPr>
      <w:rFonts w:ascii="Palatino" w:eastAsia="Times New Roman" w:hAnsi="Palatino" w:cs="Times New Roman"/>
      <w:szCs w:val="20"/>
    </w:rPr>
  </w:style>
  <w:style w:type="character" w:styleId="CommentReference">
    <w:name w:val="annotation reference"/>
    <w:basedOn w:val="DefaultParagraphFont"/>
    <w:uiPriority w:val="99"/>
    <w:semiHidden/>
    <w:unhideWhenUsed/>
    <w:rsid w:val="001059D6"/>
    <w:rPr>
      <w:sz w:val="16"/>
      <w:szCs w:val="16"/>
    </w:rPr>
  </w:style>
  <w:style w:type="paragraph" w:styleId="CommentText">
    <w:name w:val="annotation text"/>
    <w:basedOn w:val="Normal"/>
    <w:link w:val="CommentTextChar"/>
    <w:uiPriority w:val="99"/>
    <w:unhideWhenUsed/>
    <w:rsid w:val="001059D6"/>
    <w:pPr>
      <w:spacing w:line="240" w:lineRule="auto"/>
    </w:pPr>
    <w:rPr>
      <w:sz w:val="20"/>
      <w:szCs w:val="20"/>
    </w:rPr>
  </w:style>
  <w:style w:type="character" w:customStyle="1" w:styleId="CommentTextChar">
    <w:name w:val="Comment Text Char"/>
    <w:basedOn w:val="DefaultParagraphFont"/>
    <w:link w:val="CommentText"/>
    <w:uiPriority w:val="99"/>
    <w:rsid w:val="001059D6"/>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1059D6"/>
    <w:rPr>
      <w:b/>
      <w:bCs/>
    </w:rPr>
  </w:style>
  <w:style w:type="character" w:customStyle="1" w:styleId="CommentSubjectChar">
    <w:name w:val="Comment Subject Char"/>
    <w:basedOn w:val="CommentTextChar"/>
    <w:link w:val="CommentSubject"/>
    <w:uiPriority w:val="99"/>
    <w:semiHidden/>
    <w:rsid w:val="001059D6"/>
    <w:rPr>
      <w:rFonts w:ascii="Book Antiqua" w:hAnsi="Book Antiqua"/>
      <w:b/>
      <w:bCs/>
      <w:sz w:val="20"/>
      <w:szCs w:val="20"/>
    </w:rPr>
  </w:style>
  <w:style w:type="character" w:styleId="Mention">
    <w:name w:val="Mention"/>
    <w:basedOn w:val="DefaultParagraphFont"/>
    <w:uiPriority w:val="99"/>
    <w:unhideWhenUsed/>
    <w:rPr>
      <w:color w:val="2B579A"/>
      <w:shd w:val="clear" w:color="auto" w:fill="E6E6E6"/>
    </w:rPr>
  </w:style>
  <w:style w:type="paragraph" w:customStyle="1" w:styleId="ListNum">
    <w:name w:val="List Num"/>
    <w:basedOn w:val="Standard"/>
    <w:uiPriority w:val="4"/>
    <w:rsid w:val="003318B3"/>
    <w:pPr>
      <w:tabs>
        <w:tab w:val="num" w:pos="1080"/>
      </w:tabs>
      <w:spacing w:after="120" w:line="240" w:lineRule="auto"/>
      <w:ind w:left="1080" w:hanging="360"/>
    </w:pPr>
  </w:style>
  <w:style w:type="paragraph" w:styleId="Revision">
    <w:name w:val="Revision"/>
    <w:hidden/>
    <w:uiPriority w:val="99"/>
    <w:semiHidden/>
    <w:rsid w:val="00FA05B9"/>
    <w:pPr>
      <w:spacing w:after="0" w:line="240" w:lineRule="auto"/>
    </w:pPr>
    <w:rPr>
      <w:rFonts w:ascii="Book Antiqua" w:hAnsi="Book Antiqua"/>
      <w:sz w:val="26"/>
    </w:rPr>
  </w:style>
  <w:style w:type="paragraph" w:styleId="TOC7">
    <w:name w:val="toc 7"/>
    <w:basedOn w:val="Normal"/>
    <w:next w:val="Normal"/>
    <w:autoRedefine/>
    <w:uiPriority w:val="39"/>
    <w:semiHidden/>
    <w:unhideWhenUsed/>
    <w:rsid w:val="00E57419"/>
    <w:pPr>
      <w:ind w:left="156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E57419"/>
    <w:pPr>
      <w:ind w:left="1820"/>
    </w:pPr>
    <w:rPr>
      <w:rFonts w:asciiTheme="minorHAnsi" w:hAnsiTheme="minorHAnsi" w:cstheme="minorHAnsi"/>
      <w:sz w:val="20"/>
      <w:szCs w:val="20"/>
    </w:rPr>
  </w:style>
  <w:style w:type="character" w:styleId="PageNumber">
    <w:name w:val="page number"/>
    <w:basedOn w:val="DefaultParagraphFont"/>
    <w:rsid w:val="00EB3EC5"/>
  </w:style>
  <w:style w:type="paragraph" w:customStyle="1" w:styleId="num1">
    <w:name w:val="num1"/>
    <w:basedOn w:val="Normal"/>
    <w:rsid w:val="002E4697"/>
    <w:pPr>
      <w:tabs>
        <w:tab w:val="left" w:pos="-720"/>
      </w:tabs>
      <w:suppressAutoHyphens/>
      <w:ind w:firstLine="360"/>
    </w:pPr>
    <w:rPr>
      <w:rFonts w:ascii="Palatino" w:eastAsia="Times New Roman" w:hAnsi="Palatino"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4997">
      <w:bodyDiv w:val="1"/>
      <w:marLeft w:val="0"/>
      <w:marRight w:val="0"/>
      <w:marTop w:val="0"/>
      <w:marBottom w:val="0"/>
      <w:divBdr>
        <w:top w:val="none" w:sz="0" w:space="0" w:color="auto"/>
        <w:left w:val="none" w:sz="0" w:space="0" w:color="auto"/>
        <w:bottom w:val="none" w:sz="0" w:space="0" w:color="auto"/>
        <w:right w:val="none" w:sz="0" w:space="0" w:color="auto"/>
      </w:divBdr>
    </w:div>
    <w:div w:id="532424059">
      <w:bodyDiv w:val="1"/>
      <w:marLeft w:val="0"/>
      <w:marRight w:val="0"/>
      <w:marTop w:val="0"/>
      <w:marBottom w:val="0"/>
      <w:divBdr>
        <w:top w:val="none" w:sz="0" w:space="0" w:color="auto"/>
        <w:left w:val="none" w:sz="0" w:space="0" w:color="auto"/>
        <w:bottom w:val="none" w:sz="0" w:space="0" w:color="auto"/>
        <w:right w:val="none" w:sz="0" w:space="0" w:color="auto"/>
      </w:divBdr>
    </w:div>
    <w:div w:id="582373203">
      <w:bodyDiv w:val="1"/>
      <w:marLeft w:val="0"/>
      <w:marRight w:val="0"/>
      <w:marTop w:val="0"/>
      <w:marBottom w:val="0"/>
      <w:divBdr>
        <w:top w:val="none" w:sz="0" w:space="0" w:color="auto"/>
        <w:left w:val="none" w:sz="0" w:space="0" w:color="auto"/>
        <w:bottom w:val="none" w:sz="0" w:space="0" w:color="auto"/>
        <w:right w:val="none" w:sz="0" w:space="0" w:color="auto"/>
      </w:divBdr>
    </w:div>
    <w:div w:id="1284070916">
      <w:bodyDiv w:val="1"/>
      <w:marLeft w:val="0"/>
      <w:marRight w:val="0"/>
      <w:marTop w:val="0"/>
      <w:marBottom w:val="0"/>
      <w:divBdr>
        <w:top w:val="none" w:sz="0" w:space="0" w:color="auto"/>
        <w:left w:val="none" w:sz="0" w:space="0" w:color="auto"/>
        <w:bottom w:val="none" w:sz="0" w:space="0" w:color="auto"/>
        <w:right w:val="none" w:sz="0" w:space="0" w:color="auto"/>
      </w:divBdr>
    </w:div>
    <w:div w:id="1336763191">
      <w:bodyDiv w:val="1"/>
      <w:marLeft w:val="0"/>
      <w:marRight w:val="0"/>
      <w:marTop w:val="0"/>
      <w:marBottom w:val="0"/>
      <w:divBdr>
        <w:top w:val="none" w:sz="0" w:space="0" w:color="auto"/>
        <w:left w:val="none" w:sz="0" w:space="0" w:color="auto"/>
        <w:bottom w:val="none" w:sz="0" w:space="0" w:color="auto"/>
        <w:right w:val="none" w:sz="0" w:space="0" w:color="auto"/>
      </w:divBdr>
    </w:div>
    <w:div w:id="1660966392">
      <w:bodyDiv w:val="1"/>
      <w:marLeft w:val="0"/>
      <w:marRight w:val="0"/>
      <w:marTop w:val="0"/>
      <w:marBottom w:val="0"/>
      <w:divBdr>
        <w:top w:val="none" w:sz="0" w:space="0" w:color="auto"/>
        <w:left w:val="none" w:sz="0" w:space="0" w:color="auto"/>
        <w:bottom w:val="none" w:sz="0" w:space="0" w:color="auto"/>
        <w:right w:val="none" w:sz="0" w:space="0" w:color="auto"/>
      </w:divBdr>
    </w:div>
    <w:div w:id="1965501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microsoft.com/office/2016/09/relationships/commentsIds" Target="commentsIds.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footer" Target="footer4.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theme" Target="theme/theme1.xml" Id="rId23" /><Relationship Type="http://schemas.openxmlformats.org/officeDocument/2006/relationships/endnotes" Target="endnotes.xml" Id="rId10" /><Relationship Type="http://schemas.microsoft.com/office/2018/08/relationships/commentsExtensible" Target="commentsExtensi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5F11F1524DB244FAC6C6F1D1441C7DB" ma:contentTypeVersion="0" ma:contentTypeDescription="Create a new document." ma:contentTypeScope="" ma:versionID="c10ea9993a31e40b01fe1dc6f3ff1f9c">
  <xsd:schema xmlns:xsd="http://www.w3.org/2001/XMLSchema" xmlns:xs="http://www.w3.org/2001/XMLSchema" xmlns:p="http://schemas.microsoft.com/office/2006/metadata/properties" targetNamespace="http://schemas.microsoft.com/office/2006/metadata/properties" ma:root="true" ma:fieldsID="333bfea5f0f9c9646bd05f5234e72d1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480AD6-C3AC-4367-9718-A897841F3B5A}">
  <ds:schemaRefs>
    <ds:schemaRef ds:uri="http://schemas.openxmlformats.org/officeDocument/2006/bibliography"/>
  </ds:schemaRefs>
</ds:datastoreItem>
</file>

<file path=customXml/itemProps2.xml><?xml version="1.0" encoding="utf-8"?>
<ds:datastoreItem xmlns:ds="http://schemas.openxmlformats.org/officeDocument/2006/customXml" ds:itemID="{8E0A7ACF-051D-4A1D-B57C-A4955327FBCB}">
  <ds:schemaRefs>
    <ds:schemaRef ds:uri="http://schemas.microsoft.com/sharepoint/v3/contenttype/forms"/>
  </ds:schemaRefs>
</ds:datastoreItem>
</file>

<file path=customXml/itemProps3.xml><?xml version="1.0" encoding="utf-8"?>
<ds:datastoreItem xmlns:ds="http://schemas.openxmlformats.org/officeDocument/2006/customXml" ds:itemID="{C9F03638-020D-47C9-8AD5-461423F81F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296C2B-75F2-4380-B171-F3EACD19A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48</ap:Pages>
  <ap:Words>10867</ap:Words>
  <ap:Characters>61946</ap:Characters>
  <ap:Application>Microsoft Office Word</ap:Application>
  <ap:DocSecurity>0</ap:DocSecurity>
  <ap:Lines>516</ap:Lines>
  <ap:Paragraphs>145</ap:Paragraphs>
  <ap:ScaleCrop>false</ap:ScaleCrop>
  <ap:HeadingPairs>
    <vt:vector baseType="variant" size="2">
      <vt:variant>
        <vt:lpstr>Title</vt:lpstr>
      </vt:variant>
      <vt:variant>
        <vt:i4>1</vt:i4>
      </vt:variant>
    </vt:vector>
  </ap:HeadingPairs>
  <ap:TitlesOfParts>
    <vt:vector baseType="lpstr" size="1">
      <vt:lpstr/>
    </vt:vector>
  </ap:TitlesOfParts>
  <ap:Manager/>
  <ap:Company/>
  <ap:LinksUpToDate>false</ap:LinksUpToDate>
  <ap:CharactersWithSpaces>72668</ap:CharactersWithSpaces>
  <ap:SharedDoc>false</ap:SharedDoc>
  <ap:HyperlinkBase/>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2021-07-12T22:33:00Z</cp:lastPrinted>
  <dcterms:created xsi:type="dcterms:W3CDTF">2021-08-03T12:07:07Z</dcterms:created>
  <dcterms:modified xsi:type="dcterms:W3CDTF">2021-08-03T12:07:07Z</dcterms:modified>
</cp:coreProperties>
</file>