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2265" w:rsidR="00B60421" w:rsidP="00564EDE" w:rsidRDefault="00F92265" w14:paraId="776E4BC3" w14:textId="0D6E2967">
      <w:pPr>
        <w:tabs>
          <w:tab w:val="center" w:pos="4230"/>
          <w:tab w:val="right" w:pos="9360"/>
        </w:tabs>
        <w:rPr>
          <w:rFonts w:ascii="Book Antiqua" w:hAnsi="Book Antiqua"/>
          <w:sz w:val="26"/>
          <w:szCs w:val="26"/>
        </w:rPr>
      </w:pPr>
      <w:r>
        <w:rPr>
          <w:rFonts w:ascii="Book Antiqua" w:hAnsi="Book Antiqua"/>
          <w:sz w:val="26"/>
          <w:szCs w:val="26"/>
        </w:rPr>
        <w:t>ALJ/CF1/</w:t>
      </w:r>
      <w:proofErr w:type="spellStart"/>
      <w:r>
        <w:rPr>
          <w:rFonts w:ascii="Book Antiqua" w:hAnsi="Book Antiqua"/>
          <w:sz w:val="26"/>
          <w:szCs w:val="26"/>
        </w:rPr>
        <w:t>avs</w:t>
      </w:r>
      <w:proofErr w:type="spellEnd"/>
      <w:r w:rsidR="008F0116">
        <w:tab/>
      </w:r>
      <w:r w:rsidRPr="218B8A79" w:rsidR="00DA7B5D">
        <w:rPr>
          <w:rFonts w:ascii="Arial" w:hAnsi="Arial" w:cs="Arial"/>
          <w:b/>
          <w:bCs/>
          <w:sz w:val="32"/>
          <w:szCs w:val="32"/>
        </w:rPr>
        <w:t>PROPOSED DECISION</w:t>
      </w:r>
      <w:r w:rsidR="008F0116">
        <w:tab/>
      </w:r>
      <w:r w:rsidRPr="00F92265" w:rsidR="00DA7B5D">
        <w:rPr>
          <w:rFonts w:ascii="Book Antiqua" w:hAnsi="Book Antiqua"/>
          <w:b/>
          <w:bCs/>
          <w:sz w:val="26"/>
          <w:szCs w:val="26"/>
        </w:rPr>
        <w:t>Agenda ID #</w:t>
      </w:r>
      <w:r w:rsidR="00A10ED9">
        <w:rPr>
          <w:rFonts w:ascii="Book Antiqua" w:hAnsi="Book Antiqua"/>
          <w:b/>
          <w:bCs/>
          <w:sz w:val="26"/>
          <w:szCs w:val="26"/>
        </w:rPr>
        <w:t>19676</w:t>
      </w:r>
      <w:r w:rsidR="00564EDE">
        <w:rPr>
          <w:rFonts w:ascii="Book Antiqua" w:hAnsi="Book Antiqua"/>
          <w:b/>
          <w:bCs/>
          <w:sz w:val="26"/>
          <w:szCs w:val="26"/>
        </w:rPr>
        <w:t xml:space="preserve"> (REV. 1)</w:t>
      </w:r>
    </w:p>
    <w:p w:rsidRPr="00F92265" w:rsidR="00DA7B5D" w:rsidP="00632207" w:rsidRDefault="00F92265" w14:paraId="5D5D61A3" w14:textId="255FA67C">
      <w:pPr>
        <w:jc w:val="right"/>
        <w:rPr>
          <w:rFonts w:ascii="Book Antiqua" w:hAnsi="Book Antiqua"/>
          <w:b/>
          <w:sz w:val="26"/>
          <w:szCs w:val="26"/>
        </w:rPr>
      </w:pPr>
      <w:proofErr w:type="spellStart"/>
      <w:r>
        <w:rPr>
          <w:rFonts w:ascii="Book Antiqua" w:hAnsi="Book Antiqua"/>
          <w:b/>
          <w:sz w:val="26"/>
          <w:szCs w:val="26"/>
        </w:rPr>
        <w:t>Ratesetting</w:t>
      </w:r>
      <w:proofErr w:type="spellEnd"/>
    </w:p>
    <w:p w:rsidRPr="00564EDE" w:rsidR="00DA7B5D" w:rsidP="00364B6A" w:rsidRDefault="00564EDE" w14:paraId="62779656" w14:textId="6BE6CAA8">
      <w:pPr>
        <w:jc w:val="right"/>
        <w:rPr>
          <w:rFonts w:ascii="Book Antiqua" w:hAnsi="Book Antiqua"/>
          <w:b/>
          <w:bCs/>
          <w:sz w:val="26"/>
          <w:szCs w:val="26"/>
        </w:rPr>
      </w:pPr>
      <w:r>
        <w:rPr>
          <w:rFonts w:ascii="Book Antiqua" w:hAnsi="Book Antiqua"/>
          <w:b/>
          <w:bCs/>
          <w:sz w:val="26"/>
          <w:szCs w:val="26"/>
        </w:rPr>
        <w:t>8/19/</w:t>
      </w:r>
      <w:proofErr w:type="gramStart"/>
      <w:r>
        <w:rPr>
          <w:rFonts w:ascii="Book Antiqua" w:hAnsi="Book Antiqua"/>
          <w:b/>
          <w:bCs/>
          <w:sz w:val="26"/>
          <w:szCs w:val="26"/>
        </w:rPr>
        <w:t>2021  Item</w:t>
      </w:r>
      <w:proofErr w:type="gramEnd"/>
      <w:r>
        <w:rPr>
          <w:rFonts w:ascii="Book Antiqua" w:hAnsi="Book Antiqua"/>
          <w:b/>
          <w:bCs/>
          <w:sz w:val="26"/>
          <w:szCs w:val="26"/>
        </w:rPr>
        <w:t xml:space="preserve"> 31</w:t>
      </w:r>
    </w:p>
    <w:p w:rsidR="00364B6A" w:rsidP="008F0116" w:rsidRDefault="00364B6A" w14:paraId="29E742BB" w14:textId="77777777"/>
    <w:p w:rsidRPr="00466E32" w:rsidR="00DA7B5D" w:rsidP="0098655A" w:rsidRDefault="00DA7B5D" w14:paraId="20CF3F34" w14:textId="186B8A8C">
      <w:pPr>
        <w:ind w:left="1080" w:hanging="1080"/>
        <w:rPr>
          <w:rFonts w:ascii="Book Antiqua" w:hAnsi="Book Antiqua"/>
          <w:sz w:val="26"/>
          <w:szCs w:val="26"/>
        </w:rPr>
      </w:pPr>
      <w:r w:rsidRPr="00466E32">
        <w:rPr>
          <w:rFonts w:ascii="Book Antiqua" w:hAnsi="Book Antiqua"/>
          <w:sz w:val="26"/>
          <w:szCs w:val="26"/>
        </w:rPr>
        <w:t xml:space="preserve">Decision </w:t>
      </w:r>
      <w:r w:rsidRPr="00F92265" w:rsidR="00466E32">
        <w:rPr>
          <w:rFonts w:ascii="Book Antiqua" w:hAnsi="Book Antiqua"/>
          <w:b/>
          <w:bCs/>
          <w:sz w:val="26"/>
          <w:szCs w:val="26"/>
          <w:u w:val="single"/>
        </w:rPr>
        <w:t xml:space="preserve">PROPOSED DECISION OF ALJ </w:t>
      </w:r>
      <w:proofErr w:type="gramStart"/>
      <w:r w:rsidRPr="00F92265" w:rsidR="00466E32">
        <w:rPr>
          <w:rFonts w:ascii="Book Antiqua" w:hAnsi="Book Antiqua"/>
          <w:b/>
          <w:bCs/>
          <w:sz w:val="26"/>
          <w:szCs w:val="26"/>
          <w:u w:val="single"/>
        </w:rPr>
        <w:t>FOGEL</w:t>
      </w:r>
      <w:r w:rsidRPr="00F92265" w:rsidR="00466E32">
        <w:rPr>
          <w:rFonts w:ascii="Book Antiqua" w:hAnsi="Book Antiqua"/>
          <w:b/>
          <w:bCs/>
          <w:sz w:val="26"/>
          <w:szCs w:val="26"/>
        </w:rPr>
        <w:t xml:space="preserve">  (</w:t>
      </w:r>
      <w:proofErr w:type="gramEnd"/>
      <w:r w:rsidRPr="00F92265" w:rsidR="00466E32">
        <w:rPr>
          <w:rFonts w:ascii="Book Antiqua" w:hAnsi="Book Antiqua"/>
          <w:b/>
          <w:bCs/>
          <w:sz w:val="26"/>
          <w:szCs w:val="26"/>
        </w:rPr>
        <w:t>Mailed 7/</w:t>
      </w:r>
      <w:r w:rsidR="004A00E8">
        <w:rPr>
          <w:rFonts w:ascii="Book Antiqua" w:hAnsi="Book Antiqua"/>
          <w:b/>
          <w:bCs/>
          <w:sz w:val="26"/>
          <w:szCs w:val="26"/>
        </w:rPr>
        <w:t>12</w:t>
      </w:r>
      <w:r w:rsidRPr="00F92265" w:rsidR="00466E32">
        <w:rPr>
          <w:rFonts w:ascii="Book Antiqua" w:hAnsi="Book Antiqua"/>
          <w:b/>
          <w:bCs/>
          <w:sz w:val="26"/>
          <w:szCs w:val="26"/>
        </w:rPr>
        <w:t>/2021)</w:t>
      </w:r>
    </w:p>
    <w:p w:rsidR="00DA7B5D" w:rsidP="00BB0243" w:rsidRDefault="00DA7B5D" w14:paraId="49B87F30" w14:textId="77777777">
      <w:pPr>
        <w:jc w:val="center"/>
        <w:rPr>
          <w:u w:val="single"/>
        </w:rPr>
      </w:pPr>
    </w:p>
    <w:p w:rsidR="00DA7B5D" w:rsidP="00BB0243" w:rsidRDefault="00DA7B5D" w14:paraId="45F43159" w14:textId="77777777">
      <w:pPr>
        <w:jc w:val="center"/>
        <w:rPr>
          <w:rFonts w:ascii="Arial" w:hAnsi="Arial" w:cs="Arial"/>
        </w:rPr>
      </w:pPr>
      <w:r w:rsidRPr="00DA7B5D">
        <w:rPr>
          <w:rFonts w:ascii="Arial" w:hAnsi="Arial" w:cs="Arial"/>
          <w:b/>
        </w:rPr>
        <w:t>BEFORE THE PUBLIC UTILITIES COMMISSION OF THE STATE OF CALIFORNIA</w:t>
      </w:r>
    </w:p>
    <w:p w:rsidR="00DA7B5D" w:rsidP="008F0116" w:rsidRDefault="00DA7B5D" w14:paraId="4416062A" w14:textId="77777777">
      <w:pPr>
        <w:rPr>
          <w:rFonts w:ascii="Arial" w:hAnsi="Arial" w:cs="Arial"/>
        </w:rPr>
      </w:pPr>
    </w:p>
    <w:tbl>
      <w:tblPr>
        <w:tblStyle w:val="TableGrid"/>
        <w:tblW w:w="9360" w:type="dxa"/>
        <w:jc w:val="center"/>
        <w:tblLayout w:type="fixed"/>
        <w:tblLook w:val="04A0" w:firstRow="1" w:lastRow="0" w:firstColumn="1" w:lastColumn="0" w:noHBand="0" w:noVBand="1"/>
      </w:tblPr>
      <w:tblGrid>
        <w:gridCol w:w="4410"/>
        <w:gridCol w:w="4950"/>
      </w:tblGrid>
      <w:tr w:rsidRPr="00466E32" w:rsidR="00DA7B5D" w:rsidTr="00466E32" w14:paraId="1F6F25CB" w14:textId="77777777">
        <w:trPr>
          <w:jc w:val="center"/>
        </w:trPr>
        <w:tc>
          <w:tcPr>
            <w:tcW w:w="4410" w:type="dxa"/>
            <w:tcBorders>
              <w:top w:val="nil"/>
              <w:left w:val="nil"/>
              <w:bottom w:val="single" w:color="auto" w:sz="4" w:space="0"/>
              <w:right w:val="single" w:color="auto" w:sz="4" w:space="0"/>
            </w:tcBorders>
          </w:tcPr>
          <w:p w:rsidRPr="00466E32" w:rsidR="00DA7B5D" w:rsidP="00C10B5F" w:rsidRDefault="0007355B" w14:paraId="244327FD" w14:textId="77777777">
            <w:pPr>
              <w:rPr>
                <w:rFonts w:ascii="Book Antiqua" w:hAnsi="Book Antiqua" w:cs="Arial"/>
                <w:sz w:val="26"/>
                <w:szCs w:val="26"/>
              </w:rPr>
            </w:pPr>
            <w:r w:rsidRPr="00466E32">
              <w:rPr>
                <w:rFonts w:ascii="Book Antiqua" w:hAnsi="Book Antiqua" w:cs="Arial"/>
                <w:sz w:val="26"/>
                <w:szCs w:val="26"/>
              </w:rPr>
              <w:t>Order Instituting Rulemaking to Consider Regulating Telecommunications Services Used by Incarcerated People</w:t>
            </w:r>
            <w:r w:rsidRPr="00466E32" w:rsidR="00466E32">
              <w:rPr>
                <w:rFonts w:ascii="Book Antiqua" w:hAnsi="Book Antiqua" w:cs="Arial"/>
                <w:sz w:val="26"/>
                <w:szCs w:val="26"/>
              </w:rPr>
              <w:t>.</w:t>
            </w:r>
          </w:p>
          <w:p w:rsidRPr="00466E32" w:rsidR="00466E32" w:rsidP="00C10B5F" w:rsidRDefault="00466E32" w14:paraId="1BF74324" w14:textId="0CB203A9">
            <w:pPr>
              <w:rPr>
                <w:rFonts w:ascii="Book Antiqua" w:hAnsi="Book Antiqua" w:cs="Arial"/>
                <w:sz w:val="26"/>
                <w:szCs w:val="26"/>
              </w:rPr>
            </w:pPr>
          </w:p>
        </w:tc>
        <w:tc>
          <w:tcPr>
            <w:tcW w:w="4950" w:type="dxa"/>
            <w:tcBorders>
              <w:top w:val="nil"/>
              <w:left w:val="single" w:color="auto" w:sz="4" w:space="0"/>
              <w:bottom w:val="nil"/>
              <w:right w:val="nil"/>
            </w:tcBorders>
            <w:vAlign w:val="center"/>
          </w:tcPr>
          <w:p w:rsidRPr="00466E32" w:rsidR="00DA7B5D" w:rsidP="00412C83" w:rsidRDefault="0007355B" w14:paraId="77D7734C" w14:textId="182DC328">
            <w:pPr>
              <w:jc w:val="center"/>
              <w:rPr>
                <w:rFonts w:ascii="Book Antiqua" w:hAnsi="Book Antiqua" w:cs="Arial"/>
                <w:sz w:val="26"/>
                <w:szCs w:val="26"/>
              </w:rPr>
            </w:pPr>
            <w:r w:rsidRPr="00466E32">
              <w:rPr>
                <w:rFonts w:ascii="Book Antiqua" w:hAnsi="Book Antiqua" w:cs="Arial"/>
                <w:sz w:val="26"/>
                <w:szCs w:val="26"/>
              </w:rPr>
              <w:t>Rulemaking 20-10-002</w:t>
            </w:r>
          </w:p>
        </w:tc>
      </w:tr>
    </w:tbl>
    <w:p w:rsidR="00DA7B5D" w:rsidP="008F0116" w:rsidRDefault="00DA7B5D" w14:paraId="0609A7E7" w14:textId="77777777">
      <w:pPr>
        <w:rPr>
          <w:rFonts w:ascii="Arial" w:hAnsi="Arial" w:cs="Arial"/>
        </w:rPr>
      </w:pPr>
    </w:p>
    <w:p w:rsidR="00DA7B5D" w:rsidP="008F0116" w:rsidRDefault="00DA7B5D" w14:paraId="3B7B0383" w14:textId="77777777">
      <w:pPr>
        <w:rPr>
          <w:rFonts w:ascii="Arial" w:hAnsi="Arial" w:cs="Arial"/>
        </w:rPr>
      </w:pPr>
    </w:p>
    <w:p w:rsidRPr="00385321" w:rsidR="00466E32" w:rsidP="00385321" w:rsidRDefault="0007355B" w14:paraId="15749421" w14:textId="77777777">
      <w:pPr>
        <w:jc w:val="center"/>
        <w:rPr>
          <w:rFonts w:ascii="Arial" w:hAnsi="Arial" w:cs="Arial"/>
          <w:b/>
          <w:bCs/>
          <w:sz w:val="26"/>
          <w:szCs w:val="26"/>
        </w:rPr>
      </w:pPr>
      <w:r w:rsidRPr="00385321">
        <w:rPr>
          <w:rFonts w:ascii="Arial" w:hAnsi="Arial" w:cs="Arial"/>
          <w:b/>
          <w:bCs/>
          <w:sz w:val="26"/>
          <w:szCs w:val="26"/>
        </w:rPr>
        <w:t xml:space="preserve">DECISION ADOPTING INTERIM RATE RELIEF </w:t>
      </w:r>
      <w:r w:rsidRPr="00385321" w:rsidR="00466E32">
        <w:rPr>
          <w:rFonts w:ascii="Arial" w:hAnsi="Arial" w:cs="Arial"/>
          <w:b/>
          <w:bCs/>
          <w:sz w:val="26"/>
          <w:szCs w:val="26"/>
        </w:rPr>
        <w:br/>
      </w:r>
      <w:r w:rsidRPr="00385321" w:rsidR="00D906EB">
        <w:rPr>
          <w:rFonts w:ascii="Arial" w:hAnsi="Arial" w:cs="Arial"/>
          <w:b/>
          <w:bCs/>
          <w:sz w:val="26"/>
          <w:szCs w:val="26"/>
        </w:rPr>
        <w:t>FOR INCARCERATED PERSON</w:t>
      </w:r>
      <w:r w:rsidRPr="00385321" w:rsidR="004B0248">
        <w:rPr>
          <w:rFonts w:ascii="Arial" w:hAnsi="Arial" w:cs="Arial"/>
          <w:b/>
          <w:bCs/>
          <w:sz w:val="26"/>
          <w:szCs w:val="26"/>
        </w:rPr>
        <w:t>’</w:t>
      </w:r>
      <w:r w:rsidRPr="00385321" w:rsidR="00D906EB">
        <w:rPr>
          <w:rFonts w:ascii="Arial" w:hAnsi="Arial" w:cs="Arial"/>
          <w:b/>
          <w:bCs/>
          <w:sz w:val="26"/>
          <w:szCs w:val="26"/>
        </w:rPr>
        <w:t>S</w:t>
      </w:r>
      <w:r w:rsidRPr="00385321" w:rsidR="0034024C">
        <w:rPr>
          <w:rFonts w:ascii="Arial" w:hAnsi="Arial" w:cs="Arial"/>
          <w:b/>
          <w:bCs/>
          <w:sz w:val="26"/>
          <w:szCs w:val="26"/>
        </w:rPr>
        <w:t xml:space="preserve"> </w:t>
      </w:r>
      <w:r w:rsidRPr="00385321" w:rsidR="00D906EB">
        <w:rPr>
          <w:rFonts w:ascii="Arial" w:hAnsi="Arial" w:cs="Arial"/>
          <w:b/>
          <w:bCs/>
          <w:sz w:val="26"/>
          <w:szCs w:val="26"/>
        </w:rPr>
        <w:t>CALLING SERVICES</w:t>
      </w:r>
    </w:p>
    <w:p w:rsidR="00466E32" w:rsidP="00B3087D" w:rsidRDefault="00466E32" w14:paraId="68A31FEE" w14:textId="77777777">
      <w:pPr>
        <w:pStyle w:val="Dummy"/>
        <w:jc w:val="center"/>
      </w:pPr>
    </w:p>
    <w:p w:rsidR="00466E32" w:rsidP="00B3087D" w:rsidRDefault="00466E32" w14:paraId="68F2C7DD" w14:textId="77777777">
      <w:pPr>
        <w:pStyle w:val="Dummy"/>
        <w:jc w:val="center"/>
      </w:pPr>
    </w:p>
    <w:p w:rsidR="00466E32" w:rsidP="00B3087D" w:rsidRDefault="00466E32" w14:paraId="6C8AD85C" w14:textId="77777777">
      <w:pPr>
        <w:pStyle w:val="Dummy"/>
        <w:jc w:val="center"/>
      </w:pPr>
    </w:p>
    <w:p w:rsidRPr="00F92385" w:rsidR="00F92385" w:rsidP="00B3087D" w:rsidRDefault="00D906EB" w14:paraId="79429413" w14:textId="44EA534F">
      <w:pPr>
        <w:pStyle w:val="Dummy"/>
        <w:jc w:val="center"/>
        <w:sectPr w:rsidRPr="00F92385" w:rsidR="00F92385" w:rsidSect="00F92265">
          <w:footerReference w:type="first" r:id="rId8"/>
          <w:pgSz w:w="12240" w:h="15840"/>
          <w:pgMar w:top="1440" w:right="1440" w:bottom="1440" w:left="1440" w:header="720" w:footer="720" w:gutter="0"/>
          <w:pgNumType w:start="1"/>
          <w:cols w:space="720"/>
          <w:titlePg/>
          <w:docGrid w:linePitch="360"/>
        </w:sectPr>
      </w:pPr>
      <w:r>
        <w:t xml:space="preserve"> </w:t>
      </w:r>
    </w:p>
    <w:p w:rsidRPr="00385321" w:rsidR="00D50119" w:rsidP="00385321" w:rsidRDefault="00D50119" w14:paraId="0A3794CB" w14:textId="77777777">
      <w:pPr>
        <w:jc w:val="center"/>
        <w:rPr>
          <w:b/>
          <w:bCs/>
          <w:sz w:val="26"/>
          <w:szCs w:val="26"/>
        </w:rPr>
      </w:pPr>
      <w:r w:rsidRPr="00385321">
        <w:rPr>
          <w:b/>
          <w:bCs/>
          <w:sz w:val="26"/>
          <w:szCs w:val="26"/>
        </w:rPr>
        <w:lastRenderedPageBreak/>
        <w:t>TABLE OF CONTENTS</w:t>
      </w:r>
    </w:p>
    <w:p w:rsidR="00D50119" w:rsidP="007E0FEE" w:rsidRDefault="00D50119" w14:paraId="1153D4D7" w14:textId="7371DF0F">
      <w:pPr>
        <w:tabs>
          <w:tab w:val="right" w:pos="9360"/>
        </w:tabs>
        <w:rPr>
          <w:b/>
        </w:rPr>
      </w:pPr>
      <w:r w:rsidRPr="00D50119">
        <w:rPr>
          <w:b/>
        </w:rPr>
        <w:t>Title</w:t>
      </w:r>
      <w:r>
        <w:tab/>
      </w:r>
      <w:r w:rsidRPr="00D50119">
        <w:rPr>
          <w:b/>
        </w:rPr>
        <w:t>Page</w:t>
      </w:r>
    </w:p>
    <w:p w:rsidR="00385321" w:rsidP="007E0FEE" w:rsidRDefault="00385321" w14:paraId="728745DF" w14:textId="6CEA2D3B">
      <w:pPr>
        <w:tabs>
          <w:tab w:val="right" w:pos="9360"/>
        </w:tabs>
        <w:rPr>
          <w:b/>
        </w:rPr>
      </w:pPr>
    </w:p>
    <w:p w:rsidR="00385321" w:rsidP="00385321" w:rsidRDefault="00385321" w14:paraId="76343B9A" w14:textId="5D50ACC0">
      <w:pPr>
        <w:pStyle w:val="TOC1"/>
        <w:tabs>
          <w:tab w:val="right" w:leader="dot" w:pos="9350"/>
        </w:tabs>
        <w:ind w:left="0" w:firstLine="0"/>
        <w:rPr>
          <w:rFonts w:asciiTheme="minorHAnsi" w:hAnsiTheme="minorHAnsi" w:cstheme="minorBidi"/>
          <w:noProof/>
          <w:sz w:val="22"/>
          <w:szCs w:val="22"/>
        </w:rPr>
      </w:pPr>
      <w:r>
        <w:fldChar w:fldCharType="begin"/>
      </w:r>
      <w:r>
        <w:instrText xml:space="preserve"> TOC \o "1-5" \h \z \t "Main,1" </w:instrText>
      </w:r>
      <w:r>
        <w:fldChar w:fldCharType="separate"/>
      </w:r>
      <w:hyperlink w:history="1" w:anchor="_Toc80089378">
        <w:r w:rsidRPr="009544F6">
          <w:rPr>
            <w:rStyle w:val="Hyperlink"/>
            <w:noProof/>
          </w:rPr>
          <w:t xml:space="preserve">DECISION ADOPTING INTERIM RATE RELIEF  </w:t>
        </w:r>
        <w:r>
          <w:rPr>
            <w:rStyle w:val="Hyperlink"/>
            <w:noProof/>
          </w:rPr>
          <w:br/>
        </w:r>
        <w:r w:rsidRPr="009544F6">
          <w:rPr>
            <w:rStyle w:val="Hyperlink"/>
            <w:noProof/>
          </w:rPr>
          <w:t>FOR INCARCERATED PERSONS CALLING SERVICES</w:t>
        </w:r>
        <w:r>
          <w:rPr>
            <w:noProof/>
            <w:webHidden/>
          </w:rPr>
          <w:tab/>
        </w:r>
        <w:r>
          <w:rPr>
            <w:noProof/>
            <w:webHidden/>
          </w:rPr>
          <w:fldChar w:fldCharType="begin"/>
        </w:r>
        <w:r>
          <w:rPr>
            <w:noProof/>
            <w:webHidden/>
          </w:rPr>
          <w:instrText xml:space="preserve"> PAGEREF _Toc80089378 \h </w:instrText>
        </w:r>
        <w:r>
          <w:rPr>
            <w:noProof/>
            <w:webHidden/>
          </w:rPr>
        </w:r>
        <w:r>
          <w:rPr>
            <w:noProof/>
            <w:webHidden/>
          </w:rPr>
          <w:fldChar w:fldCharType="separate"/>
        </w:r>
        <w:r w:rsidR="00FF34BB">
          <w:rPr>
            <w:noProof/>
            <w:webHidden/>
          </w:rPr>
          <w:t>2</w:t>
        </w:r>
        <w:r>
          <w:rPr>
            <w:noProof/>
            <w:webHidden/>
          </w:rPr>
          <w:fldChar w:fldCharType="end"/>
        </w:r>
      </w:hyperlink>
    </w:p>
    <w:p w:rsidR="00385321" w:rsidRDefault="00385321" w14:paraId="4CDF6E2B" w14:textId="668A87B4">
      <w:pPr>
        <w:pStyle w:val="TOC1"/>
        <w:tabs>
          <w:tab w:val="right" w:leader="dot" w:pos="9350"/>
        </w:tabs>
        <w:rPr>
          <w:rFonts w:asciiTheme="minorHAnsi" w:hAnsiTheme="minorHAnsi" w:cstheme="minorBidi"/>
          <w:noProof/>
          <w:sz w:val="22"/>
          <w:szCs w:val="22"/>
        </w:rPr>
      </w:pPr>
      <w:hyperlink w:history="1" w:anchor="_Toc80089379">
        <w:r w:rsidRPr="009544F6">
          <w:rPr>
            <w:rStyle w:val="Hyperlink"/>
            <w:noProof/>
          </w:rPr>
          <w:t>Summary</w:t>
        </w:r>
        <w:r>
          <w:rPr>
            <w:noProof/>
            <w:webHidden/>
          </w:rPr>
          <w:tab/>
        </w:r>
        <w:r>
          <w:rPr>
            <w:noProof/>
            <w:webHidden/>
          </w:rPr>
          <w:fldChar w:fldCharType="begin"/>
        </w:r>
        <w:r>
          <w:rPr>
            <w:noProof/>
            <w:webHidden/>
          </w:rPr>
          <w:instrText xml:space="preserve"> PAGEREF _Toc80089379 \h </w:instrText>
        </w:r>
        <w:r>
          <w:rPr>
            <w:noProof/>
            <w:webHidden/>
          </w:rPr>
        </w:r>
        <w:r>
          <w:rPr>
            <w:noProof/>
            <w:webHidden/>
          </w:rPr>
          <w:fldChar w:fldCharType="separate"/>
        </w:r>
        <w:r w:rsidR="00FF34BB">
          <w:rPr>
            <w:noProof/>
            <w:webHidden/>
          </w:rPr>
          <w:t>2</w:t>
        </w:r>
        <w:r>
          <w:rPr>
            <w:noProof/>
            <w:webHidden/>
          </w:rPr>
          <w:fldChar w:fldCharType="end"/>
        </w:r>
      </w:hyperlink>
    </w:p>
    <w:p w:rsidR="00385321" w:rsidRDefault="00385321" w14:paraId="32923EC4" w14:textId="18946185">
      <w:pPr>
        <w:pStyle w:val="TOC1"/>
        <w:tabs>
          <w:tab w:val="right" w:leader="dot" w:pos="9350"/>
        </w:tabs>
        <w:rPr>
          <w:rFonts w:asciiTheme="minorHAnsi" w:hAnsiTheme="minorHAnsi" w:cstheme="minorBidi"/>
          <w:noProof/>
          <w:sz w:val="22"/>
          <w:szCs w:val="22"/>
        </w:rPr>
      </w:pPr>
      <w:hyperlink w:history="1" w:anchor="_Toc80089380">
        <w:r w:rsidRPr="009544F6">
          <w:rPr>
            <w:rStyle w:val="Hyperlink"/>
            <w:noProof/>
          </w:rPr>
          <w:t>1.</w:t>
        </w:r>
        <w:r>
          <w:rPr>
            <w:rFonts w:asciiTheme="minorHAnsi" w:hAnsiTheme="minorHAnsi" w:cstheme="minorBidi"/>
            <w:noProof/>
            <w:sz w:val="22"/>
            <w:szCs w:val="22"/>
          </w:rPr>
          <w:tab/>
        </w:r>
        <w:r w:rsidRPr="009544F6">
          <w:rPr>
            <w:rStyle w:val="Hyperlink"/>
            <w:noProof/>
          </w:rPr>
          <w:t>Background</w:t>
        </w:r>
        <w:r>
          <w:rPr>
            <w:noProof/>
            <w:webHidden/>
          </w:rPr>
          <w:tab/>
        </w:r>
        <w:r>
          <w:rPr>
            <w:noProof/>
            <w:webHidden/>
          </w:rPr>
          <w:fldChar w:fldCharType="begin"/>
        </w:r>
        <w:r>
          <w:rPr>
            <w:noProof/>
            <w:webHidden/>
          </w:rPr>
          <w:instrText xml:space="preserve"> PAGEREF _Toc80089380 \h </w:instrText>
        </w:r>
        <w:r>
          <w:rPr>
            <w:noProof/>
            <w:webHidden/>
          </w:rPr>
        </w:r>
        <w:r>
          <w:rPr>
            <w:noProof/>
            <w:webHidden/>
          </w:rPr>
          <w:fldChar w:fldCharType="separate"/>
        </w:r>
        <w:r w:rsidR="00FF34BB">
          <w:rPr>
            <w:noProof/>
            <w:webHidden/>
          </w:rPr>
          <w:t>3</w:t>
        </w:r>
        <w:r>
          <w:rPr>
            <w:noProof/>
            <w:webHidden/>
          </w:rPr>
          <w:fldChar w:fldCharType="end"/>
        </w:r>
      </w:hyperlink>
    </w:p>
    <w:p w:rsidR="00385321" w:rsidRDefault="00385321" w14:paraId="2F7EA232" w14:textId="66061238">
      <w:pPr>
        <w:pStyle w:val="TOC2"/>
        <w:tabs>
          <w:tab w:val="right" w:leader="dot" w:pos="9350"/>
        </w:tabs>
        <w:rPr>
          <w:rFonts w:asciiTheme="minorHAnsi" w:hAnsiTheme="minorHAnsi" w:cstheme="minorBidi"/>
          <w:noProof/>
          <w:sz w:val="22"/>
          <w:szCs w:val="22"/>
        </w:rPr>
      </w:pPr>
      <w:hyperlink w:history="1" w:anchor="_Toc80089381">
        <w:r w:rsidRPr="009544F6">
          <w:rPr>
            <w:rStyle w:val="Hyperlink"/>
            <w:noProof/>
          </w:rPr>
          <w:t>1.2</w:t>
        </w:r>
        <w:r>
          <w:rPr>
            <w:rFonts w:asciiTheme="minorHAnsi" w:hAnsiTheme="minorHAnsi" w:cstheme="minorBidi"/>
            <w:noProof/>
            <w:sz w:val="22"/>
            <w:szCs w:val="22"/>
          </w:rPr>
          <w:tab/>
        </w:r>
        <w:r w:rsidRPr="009544F6">
          <w:rPr>
            <w:rStyle w:val="Hyperlink"/>
            <w:noProof/>
          </w:rPr>
          <w:t>Procedural Background</w:t>
        </w:r>
        <w:r>
          <w:rPr>
            <w:noProof/>
            <w:webHidden/>
          </w:rPr>
          <w:tab/>
        </w:r>
        <w:r>
          <w:rPr>
            <w:noProof/>
            <w:webHidden/>
          </w:rPr>
          <w:fldChar w:fldCharType="begin"/>
        </w:r>
        <w:r>
          <w:rPr>
            <w:noProof/>
            <w:webHidden/>
          </w:rPr>
          <w:instrText xml:space="preserve"> PAGEREF _Toc80089381 \h </w:instrText>
        </w:r>
        <w:r>
          <w:rPr>
            <w:noProof/>
            <w:webHidden/>
          </w:rPr>
        </w:r>
        <w:r>
          <w:rPr>
            <w:noProof/>
            <w:webHidden/>
          </w:rPr>
          <w:fldChar w:fldCharType="separate"/>
        </w:r>
        <w:r w:rsidR="00FF34BB">
          <w:rPr>
            <w:noProof/>
            <w:webHidden/>
          </w:rPr>
          <w:t>11</w:t>
        </w:r>
        <w:r>
          <w:rPr>
            <w:noProof/>
            <w:webHidden/>
          </w:rPr>
          <w:fldChar w:fldCharType="end"/>
        </w:r>
      </w:hyperlink>
    </w:p>
    <w:p w:rsidR="00385321" w:rsidRDefault="00385321" w14:paraId="28212C76" w14:textId="12242484">
      <w:pPr>
        <w:pStyle w:val="TOC2"/>
        <w:tabs>
          <w:tab w:val="right" w:leader="dot" w:pos="9350"/>
        </w:tabs>
        <w:rPr>
          <w:rFonts w:asciiTheme="minorHAnsi" w:hAnsiTheme="minorHAnsi" w:cstheme="minorBidi"/>
          <w:noProof/>
          <w:sz w:val="22"/>
          <w:szCs w:val="22"/>
        </w:rPr>
      </w:pPr>
      <w:hyperlink w:history="1" w:anchor="_Toc80089382">
        <w:r w:rsidRPr="009544F6">
          <w:rPr>
            <w:rStyle w:val="Hyperlink"/>
            <w:noProof/>
          </w:rPr>
          <w:t>1.3</w:t>
        </w:r>
        <w:r>
          <w:rPr>
            <w:rFonts w:asciiTheme="minorHAnsi" w:hAnsiTheme="minorHAnsi" w:cstheme="minorBidi"/>
            <w:noProof/>
            <w:sz w:val="22"/>
            <w:szCs w:val="22"/>
          </w:rPr>
          <w:tab/>
        </w:r>
        <w:r w:rsidRPr="009544F6">
          <w:rPr>
            <w:rStyle w:val="Hyperlink"/>
            <w:noProof/>
          </w:rPr>
          <w:t>Public Comments Received</w:t>
        </w:r>
        <w:r>
          <w:rPr>
            <w:noProof/>
            <w:webHidden/>
          </w:rPr>
          <w:tab/>
        </w:r>
        <w:r>
          <w:rPr>
            <w:noProof/>
            <w:webHidden/>
          </w:rPr>
          <w:fldChar w:fldCharType="begin"/>
        </w:r>
        <w:r>
          <w:rPr>
            <w:noProof/>
            <w:webHidden/>
          </w:rPr>
          <w:instrText xml:space="preserve"> PAGEREF _Toc80089382 \h </w:instrText>
        </w:r>
        <w:r>
          <w:rPr>
            <w:noProof/>
            <w:webHidden/>
          </w:rPr>
        </w:r>
        <w:r>
          <w:rPr>
            <w:noProof/>
            <w:webHidden/>
          </w:rPr>
          <w:fldChar w:fldCharType="separate"/>
        </w:r>
        <w:r w:rsidR="00FF34BB">
          <w:rPr>
            <w:noProof/>
            <w:webHidden/>
          </w:rPr>
          <w:t>12</w:t>
        </w:r>
        <w:r>
          <w:rPr>
            <w:noProof/>
            <w:webHidden/>
          </w:rPr>
          <w:fldChar w:fldCharType="end"/>
        </w:r>
      </w:hyperlink>
    </w:p>
    <w:p w:rsidR="00385321" w:rsidRDefault="00385321" w14:paraId="1BB36B9C" w14:textId="2ACBB9CC">
      <w:pPr>
        <w:pStyle w:val="TOC3"/>
        <w:tabs>
          <w:tab w:val="left" w:pos="1296"/>
          <w:tab w:val="right" w:leader="dot" w:pos="9350"/>
        </w:tabs>
        <w:rPr>
          <w:rFonts w:asciiTheme="minorHAnsi" w:hAnsiTheme="minorHAnsi" w:cstheme="minorBidi"/>
          <w:noProof/>
          <w:sz w:val="22"/>
          <w:szCs w:val="22"/>
        </w:rPr>
      </w:pPr>
      <w:hyperlink w:history="1" w:anchor="_Toc80089383">
        <w:r w:rsidRPr="009544F6">
          <w:rPr>
            <w:rStyle w:val="Hyperlink"/>
            <w:noProof/>
          </w:rPr>
          <w:t>1.3.1.</w:t>
        </w:r>
        <w:r>
          <w:rPr>
            <w:rFonts w:asciiTheme="minorHAnsi" w:hAnsiTheme="minorHAnsi" w:cstheme="minorBidi"/>
            <w:noProof/>
            <w:sz w:val="22"/>
            <w:szCs w:val="22"/>
          </w:rPr>
          <w:tab/>
        </w:r>
        <w:r w:rsidRPr="009544F6">
          <w:rPr>
            <w:rStyle w:val="Hyperlink"/>
            <w:noProof/>
          </w:rPr>
          <w:t>Public Comment Portal</w:t>
        </w:r>
        <w:r>
          <w:rPr>
            <w:noProof/>
            <w:webHidden/>
          </w:rPr>
          <w:tab/>
        </w:r>
        <w:r>
          <w:rPr>
            <w:noProof/>
            <w:webHidden/>
          </w:rPr>
          <w:fldChar w:fldCharType="begin"/>
        </w:r>
        <w:r>
          <w:rPr>
            <w:noProof/>
            <w:webHidden/>
          </w:rPr>
          <w:instrText xml:space="preserve"> PAGEREF _Toc80089383 \h </w:instrText>
        </w:r>
        <w:r>
          <w:rPr>
            <w:noProof/>
            <w:webHidden/>
          </w:rPr>
        </w:r>
        <w:r>
          <w:rPr>
            <w:noProof/>
            <w:webHidden/>
          </w:rPr>
          <w:fldChar w:fldCharType="separate"/>
        </w:r>
        <w:r w:rsidR="00FF34BB">
          <w:rPr>
            <w:noProof/>
            <w:webHidden/>
          </w:rPr>
          <w:t>12</w:t>
        </w:r>
        <w:r>
          <w:rPr>
            <w:noProof/>
            <w:webHidden/>
          </w:rPr>
          <w:fldChar w:fldCharType="end"/>
        </w:r>
      </w:hyperlink>
    </w:p>
    <w:p w:rsidR="00385321" w:rsidRDefault="00385321" w14:paraId="4D33F0C0" w14:textId="61516558">
      <w:pPr>
        <w:pStyle w:val="TOC3"/>
        <w:tabs>
          <w:tab w:val="left" w:pos="1728"/>
          <w:tab w:val="right" w:leader="dot" w:pos="9350"/>
        </w:tabs>
        <w:rPr>
          <w:rFonts w:asciiTheme="minorHAnsi" w:hAnsiTheme="minorHAnsi" w:cstheme="minorBidi"/>
          <w:noProof/>
          <w:sz w:val="22"/>
          <w:szCs w:val="22"/>
        </w:rPr>
      </w:pPr>
      <w:hyperlink w:history="1" w:anchor="_Toc80089384">
        <w:r w:rsidRPr="009544F6">
          <w:rPr>
            <w:rStyle w:val="Hyperlink"/>
            <w:noProof/>
          </w:rPr>
          <w:t>1.3.1.1</w:t>
        </w:r>
        <w:r>
          <w:rPr>
            <w:rFonts w:asciiTheme="minorHAnsi" w:hAnsiTheme="minorHAnsi" w:cstheme="minorBidi"/>
            <w:noProof/>
            <w:sz w:val="22"/>
            <w:szCs w:val="22"/>
          </w:rPr>
          <w:tab/>
        </w:r>
        <w:r w:rsidRPr="009544F6">
          <w:rPr>
            <w:rStyle w:val="Hyperlink"/>
            <w:noProof/>
          </w:rPr>
          <w:t>Rates</w:t>
        </w:r>
        <w:r>
          <w:rPr>
            <w:noProof/>
            <w:webHidden/>
          </w:rPr>
          <w:tab/>
        </w:r>
        <w:r>
          <w:rPr>
            <w:noProof/>
            <w:webHidden/>
          </w:rPr>
          <w:fldChar w:fldCharType="begin"/>
        </w:r>
        <w:r>
          <w:rPr>
            <w:noProof/>
            <w:webHidden/>
          </w:rPr>
          <w:instrText xml:space="preserve"> PAGEREF _Toc80089384 \h </w:instrText>
        </w:r>
        <w:r>
          <w:rPr>
            <w:noProof/>
            <w:webHidden/>
          </w:rPr>
        </w:r>
        <w:r>
          <w:rPr>
            <w:noProof/>
            <w:webHidden/>
          </w:rPr>
          <w:fldChar w:fldCharType="separate"/>
        </w:r>
        <w:r w:rsidR="00FF34BB">
          <w:rPr>
            <w:noProof/>
            <w:webHidden/>
          </w:rPr>
          <w:t>13</w:t>
        </w:r>
        <w:r>
          <w:rPr>
            <w:noProof/>
            <w:webHidden/>
          </w:rPr>
          <w:fldChar w:fldCharType="end"/>
        </w:r>
      </w:hyperlink>
    </w:p>
    <w:p w:rsidR="00385321" w:rsidRDefault="00385321" w14:paraId="5CA7CE9D" w14:textId="38030EB0">
      <w:pPr>
        <w:pStyle w:val="TOC3"/>
        <w:tabs>
          <w:tab w:val="left" w:pos="1728"/>
          <w:tab w:val="right" w:leader="dot" w:pos="9350"/>
        </w:tabs>
        <w:rPr>
          <w:rFonts w:asciiTheme="minorHAnsi" w:hAnsiTheme="minorHAnsi" w:cstheme="minorBidi"/>
          <w:noProof/>
          <w:sz w:val="22"/>
          <w:szCs w:val="22"/>
        </w:rPr>
      </w:pPr>
      <w:hyperlink w:history="1" w:anchor="_Toc80089385">
        <w:r w:rsidRPr="009544F6">
          <w:rPr>
            <w:rStyle w:val="Hyperlink"/>
            <w:noProof/>
          </w:rPr>
          <w:t>1.3.1.2</w:t>
        </w:r>
        <w:r>
          <w:rPr>
            <w:rFonts w:asciiTheme="minorHAnsi" w:hAnsiTheme="minorHAnsi" w:cstheme="minorBidi"/>
            <w:noProof/>
            <w:sz w:val="22"/>
            <w:szCs w:val="22"/>
          </w:rPr>
          <w:tab/>
        </w:r>
        <w:r w:rsidRPr="009544F6">
          <w:rPr>
            <w:rStyle w:val="Hyperlink"/>
            <w:noProof/>
          </w:rPr>
          <w:t>Service Quality</w:t>
        </w:r>
        <w:r>
          <w:rPr>
            <w:noProof/>
            <w:webHidden/>
          </w:rPr>
          <w:tab/>
        </w:r>
        <w:r>
          <w:rPr>
            <w:noProof/>
            <w:webHidden/>
          </w:rPr>
          <w:fldChar w:fldCharType="begin"/>
        </w:r>
        <w:r>
          <w:rPr>
            <w:noProof/>
            <w:webHidden/>
          </w:rPr>
          <w:instrText xml:space="preserve"> PAGEREF _Toc80089385 \h </w:instrText>
        </w:r>
        <w:r>
          <w:rPr>
            <w:noProof/>
            <w:webHidden/>
          </w:rPr>
        </w:r>
        <w:r>
          <w:rPr>
            <w:noProof/>
            <w:webHidden/>
          </w:rPr>
          <w:fldChar w:fldCharType="separate"/>
        </w:r>
        <w:r w:rsidR="00FF34BB">
          <w:rPr>
            <w:noProof/>
            <w:webHidden/>
          </w:rPr>
          <w:t>13</w:t>
        </w:r>
        <w:r>
          <w:rPr>
            <w:noProof/>
            <w:webHidden/>
          </w:rPr>
          <w:fldChar w:fldCharType="end"/>
        </w:r>
      </w:hyperlink>
    </w:p>
    <w:p w:rsidR="00385321" w:rsidRDefault="00385321" w14:paraId="2CAE4736" w14:textId="3A16417C">
      <w:pPr>
        <w:pStyle w:val="TOC3"/>
        <w:tabs>
          <w:tab w:val="left" w:pos="1296"/>
          <w:tab w:val="right" w:leader="dot" w:pos="9350"/>
        </w:tabs>
        <w:rPr>
          <w:rFonts w:asciiTheme="minorHAnsi" w:hAnsiTheme="minorHAnsi" w:cstheme="minorBidi"/>
          <w:noProof/>
          <w:sz w:val="22"/>
          <w:szCs w:val="22"/>
        </w:rPr>
      </w:pPr>
      <w:hyperlink w:history="1" w:anchor="_Toc80089386">
        <w:r w:rsidRPr="009544F6">
          <w:rPr>
            <w:rStyle w:val="Hyperlink"/>
            <w:noProof/>
          </w:rPr>
          <w:t>1.3.2</w:t>
        </w:r>
        <w:r>
          <w:rPr>
            <w:rFonts w:asciiTheme="minorHAnsi" w:hAnsiTheme="minorHAnsi" w:cstheme="minorBidi"/>
            <w:noProof/>
            <w:sz w:val="22"/>
            <w:szCs w:val="22"/>
          </w:rPr>
          <w:tab/>
        </w:r>
        <w:r w:rsidRPr="009544F6">
          <w:rPr>
            <w:rStyle w:val="Hyperlink"/>
            <w:noProof/>
          </w:rPr>
          <w:t>Public Participation Hearing Comments</w:t>
        </w:r>
        <w:r>
          <w:rPr>
            <w:noProof/>
            <w:webHidden/>
          </w:rPr>
          <w:tab/>
        </w:r>
        <w:r>
          <w:rPr>
            <w:noProof/>
            <w:webHidden/>
          </w:rPr>
          <w:fldChar w:fldCharType="begin"/>
        </w:r>
        <w:r>
          <w:rPr>
            <w:noProof/>
            <w:webHidden/>
          </w:rPr>
          <w:instrText xml:space="preserve"> PAGEREF _Toc80089386 \h </w:instrText>
        </w:r>
        <w:r>
          <w:rPr>
            <w:noProof/>
            <w:webHidden/>
          </w:rPr>
        </w:r>
        <w:r>
          <w:rPr>
            <w:noProof/>
            <w:webHidden/>
          </w:rPr>
          <w:fldChar w:fldCharType="separate"/>
        </w:r>
        <w:r w:rsidR="00FF34BB">
          <w:rPr>
            <w:noProof/>
            <w:webHidden/>
          </w:rPr>
          <w:t>14</w:t>
        </w:r>
        <w:r>
          <w:rPr>
            <w:noProof/>
            <w:webHidden/>
          </w:rPr>
          <w:fldChar w:fldCharType="end"/>
        </w:r>
      </w:hyperlink>
    </w:p>
    <w:p w:rsidR="00385321" w:rsidRDefault="00385321" w14:paraId="34EEA4DB" w14:textId="462853DC">
      <w:pPr>
        <w:pStyle w:val="TOC3"/>
        <w:tabs>
          <w:tab w:val="left" w:pos="1728"/>
          <w:tab w:val="right" w:leader="dot" w:pos="9350"/>
        </w:tabs>
        <w:rPr>
          <w:rFonts w:asciiTheme="minorHAnsi" w:hAnsiTheme="minorHAnsi" w:cstheme="minorBidi"/>
          <w:noProof/>
          <w:sz w:val="22"/>
          <w:szCs w:val="22"/>
        </w:rPr>
      </w:pPr>
      <w:hyperlink w:history="1" w:anchor="_Toc80089387">
        <w:r w:rsidRPr="009544F6">
          <w:rPr>
            <w:rStyle w:val="Hyperlink"/>
            <w:noProof/>
          </w:rPr>
          <w:t>1.3.2.1</w:t>
        </w:r>
        <w:r>
          <w:rPr>
            <w:rFonts w:asciiTheme="minorHAnsi" w:hAnsiTheme="minorHAnsi" w:cstheme="minorBidi"/>
            <w:noProof/>
            <w:sz w:val="22"/>
            <w:szCs w:val="22"/>
          </w:rPr>
          <w:tab/>
        </w:r>
        <w:r w:rsidRPr="009544F6">
          <w:rPr>
            <w:rStyle w:val="Hyperlink"/>
            <w:noProof/>
          </w:rPr>
          <w:t>Rates</w:t>
        </w:r>
        <w:r>
          <w:rPr>
            <w:noProof/>
            <w:webHidden/>
          </w:rPr>
          <w:tab/>
        </w:r>
        <w:r>
          <w:rPr>
            <w:noProof/>
            <w:webHidden/>
          </w:rPr>
          <w:fldChar w:fldCharType="begin"/>
        </w:r>
        <w:r>
          <w:rPr>
            <w:noProof/>
            <w:webHidden/>
          </w:rPr>
          <w:instrText xml:space="preserve"> PAGEREF _Toc80089387 \h </w:instrText>
        </w:r>
        <w:r>
          <w:rPr>
            <w:noProof/>
            <w:webHidden/>
          </w:rPr>
        </w:r>
        <w:r>
          <w:rPr>
            <w:noProof/>
            <w:webHidden/>
          </w:rPr>
          <w:fldChar w:fldCharType="separate"/>
        </w:r>
        <w:r w:rsidR="00FF34BB">
          <w:rPr>
            <w:noProof/>
            <w:webHidden/>
          </w:rPr>
          <w:t>14</w:t>
        </w:r>
        <w:r>
          <w:rPr>
            <w:noProof/>
            <w:webHidden/>
          </w:rPr>
          <w:fldChar w:fldCharType="end"/>
        </w:r>
      </w:hyperlink>
    </w:p>
    <w:p w:rsidR="00385321" w:rsidRDefault="00385321" w14:paraId="42372EEA" w14:textId="67C83219">
      <w:pPr>
        <w:pStyle w:val="TOC3"/>
        <w:tabs>
          <w:tab w:val="left" w:pos="1728"/>
          <w:tab w:val="right" w:leader="dot" w:pos="9350"/>
        </w:tabs>
        <w:rPr>
          <w:rFonts w:asciiTheme="minorHAnsi" w:hAnsiTheme="minorHAnsi" w:cstheme="minorBidi"/>
          <w:noProof/>
          <w:sz w:val="22"/>
          <w:szCs w:val="22"/>
        </w:rPr>
      </w:pPr>
      <w:hyperlink w:history="1" w:anchor="_Toc80089388">
        <w:r w:rsidRPr="009544F6">
          <w:rPr>
            <w:rStyle w:val="Hyperlink"/>
            <w:noProof/>
          </w:rPr>
          <w:t>1.3.2.2</w:t>
        </w:r>
        <w:r>
          <w:rPr>
            <w:rFonts w:asciiTheme="minorHAnsi" w:hAnsiTheme="minorHAnsi" w:cstheme="minorBidi"/>
            <w:noProof/>
            <w:sz w:val="22"/>
            <w:szCs w:val="22"/>
          </w:rPr>
          <w:tab/>
        </w:r>
        <w:r w:rsidRPr="009544F6">
          <w:rPr>
            <w:rStyle w:val="Hyperlink"/>
            <w:noProof/>
          </w:rPr>
          <w:t>Service Quality</w:t>
        </w:r>
        <w:r>
          <w:rPr>
            <w:noProof/>
            <w:webHidden/>
          </w:rPr>
          <w:tab/>
        </w:r>
        <w:r>
          <w:rPr>
            <w:noProof/>
            <w:webHidden/>
          </w:rPr>
          <w:fldChar w:fldCharType="begin"/>
        </w:r>
        <w:r>
          <w:rPr>
            <w:noProof/>
            <w:webHidden/>
          </w:rPr>
          <w:instrText xml:space="preserve"> PAGEREF _Toc80089388 \h </w:instrText>
        </w:r>
        <w:r>
          <w:rPr>
            <w:noProof/>
            <w:webHidden/>
          </w:rPr>
        </w:r>
        <w:r>
          <w:rPr>
            <w:noProof/>
            <w:webHidden/>
          </w:rPr>
          <w:fldChar w:fldCharType="separate"/>
        </w:r>
        <w:r w:rsidR="00FF34BB">
          <w:rPr>
            <w:noProof/>
            <w:webHidden/>
          </w:rPr>
          <w:t>15</w:t>
        </w:r>
        <w:r>
          <w:rPr>
            <w:noProof/>
            <w:webHidden/>
          </w:rPr>
          <w:fldChar w:fldCharType="end"/>
        </w:r>
      </w:hyperlink>
    </w:p>
    <w:p w:rsidR="00385321" w:rsidRDefault="00385321" w14:paraId="5A0F9A2D" w14:textId="0ECD18C3">
      <w:pPr>
        <w:pStyle w:val="TOC1"/>
        <w:tabs>
          <w:tab w:val="right" w:leader="dot" w:pos="9350"/>
        </w:tabs>
        <w:rPr>
          <w:rFonts w:asciiTheme="minorHAnsi" w:hAnsiTheme="minorHAnsi" w:cstheme="minorBidi"/>
          <w:noProof/>
          <w:sz w:val="22"/>
          <w:szCs w:val="22"/>
        </w:rPr>
      </w:pPr>
      <w:hyperlink w:history="1" w:anchor="_Toc80089389">
        <w:r w:rsidRPr="009544F6">
          <w:rPr>
            <w:rStyle w:val="Hyperlink"/>
            <w:noProof/>
          </w:rPr>
          <w:t>2.</w:t>
        </w:r>
        <w:r>
          <w:rPr>
            <w:rFonts w:asciiTheme="minorHAnsi" w:hAnsiTheme="minorHAnsi" w:cstheme="minorBidi"/>
            <w:noProof/>
            <w:sz w:val="22"/>
            <w:szCs w:val="22"/>
          </w:rPr>
          <w:tab/>
        </w:r>
        <w:r w:rsidRPr="009544F6">
          <w:rPr>
            <w:rStyle w:val="Hyperlink"/>
            <w:noProof/>
          </w:rPr>
          <w:t>Jurisdiction</w:t>
        </w:r>
        <w:r>
          <w:rPr>
            <w:noProof/>
            <w:webHidden/>
          </w:rPr>
          <w:tab/>
        </w:r>
        <w:r>
          <w:rPr>
            <w:noProof/>
            <w:webHidden/>
          </w:rPr>
          <w:fldChar w:fldCharType="begin"/>
        </w:r>
        <w:r>
          <w:rPr>
            <w:noProof/>
            <w:webHidden/>
          </w:rPr>
          <w:instrText xml:space="preserve"> PAGEREF _Toc80089389 \h </w:instrText>
        </w:r>
        <w:r>
          <w:rPr>
            <w:noProof/>
            <w:webHidden/>
          </w:rPr>
        </w:r>
        <w:r>
          <w:rPr>
            <w:noProof/>
            <w:webHidden/>
          </w:rPr>
          <w:fldChar w:fldCharType="separate"/>
        </w:r>
        <w:r w:rsidR="00FF34BB">
          <w:rPr>
            <w:noProof/>
            <w:webHidden/>
          </w:rPr>
          <w:t>15</w:t>
        </w:r>
        <w:r>
          <w:rPr>
            <w:noProof/>
            <w:webHidden/>
          </w:rPr>
          <w:fldChar w:fldCharType="end"/>
        </w:r>
      </w:hyperlink>
    </w:p>
    <w:p w:rsidR="00385321" w:rsidRDefault="00385321" w14:paraId="239AA204" w14:textId="52C94382">
      <w:pPr>
        <w:pStyle w:val="TOC1"/>
        <w:tabs>
          <w:tab w:val="right" w:leader="dot" w:pos="9350"/>
        </w:tabs>
        <w:rPr>
          <w:rFonts w:asciiTheme="minorHAnsi" w:hAnsiTheme="minorHAnsi" w:cstheme="minorBidi"/>
          <w:noProof/>
          <w:sz w:val="22"/>
          <w:szCs w:val="22"/>
        </w:rPr>
      </w:pPr>
      <w:hyperlink w:history="1" w:anchor="_Toc80089390">
        <w:r w:rsidRPr="009544F6">
          <w:rPr>
            <w:rStyle w:val="Hyperlink"/>
            <w:noProof/>
          </w:rPr>
          <w:t>3.</w:t>
        </w:r>
        <w:r>
          <w:rPr>
            <w:rFonts w:asciiTheme="minorHAnsi" w:hAnsiTheme="minorHAnsi" w:cstheme="minorBidi"/>
            <w:noProof/>
            <w:sz w:val="22"/>
            <w:szCs w:val="22"/>
          </w:rPr>
          <w:tab/>
        </w:r>
        <w:r w:rsidRPr="009544F6">
          <w:rPr>
            <w:rStyle w:val="Hyperlink"/>
            <w:noProof/>
          </w:rPr>
          <w:t>Issues Before the Commission</w:t>
        </w:r>
        <w:r>
          <w:rPr>
            <w:noProof/>
            <w:webHidden/>
          </w:rPr>
          <w:tab/>
        </w:r>
        <w:r>
          <w:rPr>
            <w:noProof/>
            <w:webHidden/>
          </w:rPr>
          <w:fldChar w:fldCharType="begin"/>
        </w:r>
        <w:r>
          <w:rPr>
            <w:noProof/>
            <w:webHidden/>
          </w:rPr>
          <w:instrText xml:space="preserve"> PAGEREF _Toc80089390 \h </w:instrText>
        </w:r>
        <w:r>
          <w:rPr>
            <w:noProof/>
            <w:webHidden/>
          </w:rPr>
        </w:r>
        <w:r>
          <w:rPr>
            <w:noProof/>
            <w:webHidden/>
          </w:rPr>
          <w:fldChar w:fldCharType="separate"/>
        </w:r>
        <w:r w:rsidR="00FF34BB">
          <w:rPr>
            <w:noProof/>
            <w:webHidden/>
          </w:rPr>
          <w:t>18</w:t>
        </w:r>
        <w:r>
          <w:rPr>
            <w:noProof/>
            <w:webHidden/>
          </w:rPr>
          <w:fldChar w:fldCharType="end"/>
        </w:r>
      </w:hyperlink>
    </w:p>
    <w:p w:rsidR="00385321" w:rsidRDefault="00385321" w14:paraId="7E463BFB" w14:textId="37B33DB5">
      <w:pPr>
        <w:pStyle w:val="TOC1"/>
        <w:tabs>
          <w:tab w:val="right" w:leader="dot" w:pos="9350"/>
        </w:tabs>
        <w:rPr>
          <w:rFonts w:asciiTheme="minorHAnsi" w:hAnsiTheme="minorHAnsi" w:cstheme="minorBidi"/>
          <w:noProof/>
          <w:sz w:val="22"/>
          <w:szCs w:val="22"/>
        </w:rPr>
      </w:pPr>
      <w:hyperlink w:history="1" w:anchor="_Toc80089391">
        <w:r w:rsidRPr="009544F6">
          <w:rPr>
            <w:rStyle w:val="Hyperlink"/>
            <w:noProof/>
          </w:rPr>
          <w:t>4.</w:t>
        </w:r>
        <w:r>
          <w:rPr>
            <w:rFonts w:asciiTheme="minorHAnsi" w:hAnsiTheme="minorHAnsi" w:cstheme="minorBidi"/>
            <w:noProof/>
            <w:sz w:val="22"/>
            <w:szCs w:val="22"/>
          </w:rPr>
          <w:tab/>
        </w:r>
        <w:r w:rsidRPr="009544F6">
          <w:rPr>
            <w:rStyle w:val="Hyperlink"/>
            <w:noProof/>
          </w:rPr>
          <w:t>Defining “Incarcerated Persons Calling Services” for Purposes of this Decision</w:t>
        </w:r>
        <w:r>
          <w:rPr>
            <w:noProof/>
            <w:webHidden/>
          </w:rPr>
          <w:tab/>
        </w:r>
        <w:r>
          <w:rPr>
            <w:noProof/>
            <w:webHidden/>
          </w:rPr>
          <w:fldChar w:fldCharType="begin"/>
        </w:r>
        <w:r>
          <w:rPr>
            <w:noProof/>
            <w:webHidden/>
          </w:rPr>
          <w:instrText xml:space="preserve"> PAGEREF _Toc80089391 \h </w:instrText>
        </w:r>
        <w:r>
          <w:rPr>
            <w:noProof/>
            <w:webHidden/>
          </w:rPr>
        </w:r>
        <w:r>
          <w:rPr>
            <w:noProof/>
            <w:webHidden/>
          </w:rPr>
          <w:fldChar w:fldCharType="separate"/>
        </w:r>
        <w:r w:rsidR="00FF34BB">
          <w:rPr>
            <w:noProof/>
            <w:webHidden/>
          </w:rPr>
          <w:t>19</w:t>
        </w:r>
        <w:r>
          <w:rPr>
            <w:noProof/>
            <w:webHidden/>
          </w:rPr>
          <w:fldChar w:fldCharType="end"/>
        </w:r>
      </w:hyperlink>
    </w:p>
    <w:p w:rsidR="00385321" w:rsidRDefault="00385321" w14:paraId="677805CA" w14:textId="2E0805BB">
      <w:pPr>
        <w:pStyle w:val="TOC2"/>
        <w:tabs>
          <w:tab w:val="right" w:leader="dot" w:pos="9350"/>
        </w:tabs>
        <w:rPr>
          <w:rFonts w:asciiTheme="minorHAnsi" w:hAnsiTheme="minorHAnsi" w:cstheme="minorBidi"/>
          <w:noProof/>
          <w:sz w:val="22"/>
          <w:szCs w:val="22"/>
        </w:rPr>
      </w:pPr>
      <w:hyperlink w:history="1" w:anchor="_Toc80089392">
        <w:r w:rsidRPr="009544F6">
          <w:rPr>
            <w:rStyle w:val="Hyperlink"/>
            <w:noProof/>
          </w:rPr>
          <w:t>4.1</w:t>
        </w:r>
        <w:r>
          <w:rPr>
            <w:rFonts w:asciiTheme="minorHAnsi" w:hAnsiTheme="minorHAnsi" w:cstheme="minorBidi"/>
            <w:noProof/>
            <w:sz w:val="22"/>
            <w:szCs w:val="22"/>
          </w:rPr>
          <w:tab/>
        </w:r>
        <w:r w:rsidRPr="009544F6">
          <w:rPr>
            <w:rStyle w:val="Hyperlink"/>
            <w:noProof/>
          </w:rPr>
          <w:t>Party Comments</w:t>
        </w:r>
        <w:r>
          <w:rPr>
            <w:noProof/>
            <w:webHidden/>
          </w:rPr>
          <w:tab/>
        </w:r>
        <w:r>
          <w:rPr>
            <w:noProof/>
            <w:webHidden/>
          </w:rPr>
          <w:fldChar w:fldCharType="begin"/>
        </w:r>
        <w:r>
          <w:rPr>
            <w:noProof/>
            <w:webHidden/>
          </w:rPr>
          <w:instrText xml:space="preserve"> PAGEREF _Toc80089392 \h </w:instrText>
        </w:r>
        <w:r>
          <w:rPr>
            <w:noProof/>
            <w:webHidden/>
          </w:rPr>
        </w:r>
        <w:r>
          <w:rPr>
            <w:noProof/>
            <w:webHidden/>
          </w:rPr>
          <w:fldChar w:fldCharType="separate"/>
        </w:r>
        <w:r w:rsidR="00FF34BB">
          <w:rPr>
            <w:noProof/>
            <w:webHidden/>
          </w:rPr>
          <w:t>20</w:t>
        </w:r>
        <w:r>
          <w:rPr>
            <w:noProof/>
            <w:webHidden/>
          </w:rPr>
          <w:fldChar w:fldCharType="end"/>
        </w:r>
      </w:hyperlink>
    </w:p>
    <w:p w:rsidR="00385321" w:rsidRDefault="00385321" w14:paraId="02830F19" w14:textId="021B8FB4">
      <w:pPr>
        <w:pStyle w:val="TOC2"/>
        <w:tabs>
          <w:tab w:val="right" w:leader="dot" w:pos="9350"/>
        </w:tabs>
        <w:rPr>
          <w:rFonts w:asciiTheme="minorHAnsi" w:hAnsiTheme="minorHAnsi" w:cstheme="minorBidi"/>
          <w:noProof/>
          <w:sz w:val="22"/>
          <w:szCs w:val="22"/>
        </w:rPr>
      </w:pPr>
      <w:hyperlink w:history="1" w:anchor="_Toc80089393">
        <w:r w:rsidRPr="009544F6">
          <w:rPr>
            <w:rStyle w:val="Hyperlink"/>
            <w:noProof/>
          </w:rPr>
          <w:t>4.2</w:t>
        </w:r>
        <w:r>
          <w:rPr>
            <w:rFonts w:asciiTheme="minorHAnsi" w:hAnsiTheme="minorHAnsi" w:cstheme="minorBidi"/>
            <w:noProof/>
            <w:sz w:val="22"/>
            <w:szCs w:val="22"/>
          </w:rPr>
          <w:tab/>
        </w:r>
        <w:r w:rsidRPr="009544F6">
          <w:rPr>
            <w:rStyle w:val="Hyperlink"/>
            <w:noProof/>
          </w:rPr>
          <w:t>Discussion</w:t>
        </w:r>
        <w:r>
          <w:rPr>
            <w:noProof/>
            <w:webHidden/>
          </w:rPr>
          <w:tab/>
        </w:r>
        <w:r>
          <w:rPr>
            <w:noProof/>
            <w:webHidden/>
          </w:rPr>
          <w:fldChar w:fldCharType="begin"/>
        </w:r>
        <w:r>
          <w:rPr>
            <w:noProof/>
            <w:webHidden/>
          </w:rPr>
          <w:instrText xml:space="preserve"> PAGEREF _Toc80089393 \h </w:instrText>
        </w:r>
        <w:r>
          <w:rPr>
            <w:noProof/>
            <w:webHidden/>
          </w:rPr>
        </w:r>
        <w:r>
          <w:rPr>
            <w:noProof/>
            <w:webHidden/>
          </w:rPr>
          <w:fldChar w:fldCharType="separate"/>
        </w:r>
        <w:r w:rsidR="00FF34BB">
          <w:rPr>
            <w:noProof/>
            <w:webHidden/>
          </w:rPr>
          <w:t>21</w:t>
        </w:r>
        <w:r>
          <w:rPr>
            <w:noProof/>
            <w:webHidden/>
          </w:rPr>
          <w:fldChar w:fldCharType="end"/>
        </w:r>
      </w:hyperlink>
    </w:p>
    <w:p w:rsidR="00385321" w:rsidRDefault="00385321" w14:paraId="78E6D718" w14:textId="64487904">
      <w:pPr>
        <w:pStyle w:val="TOC1"/>
        <w:tabs>
          <w:tab w:val="right" w:leader="dot" w:pos="9350"/>
        </w:tabs>
        <w:rPr>
          <w:rFonts w:asciiTheme="minorHAnsi" w:hAnsiTheme="minorHAnsi" w:cstheme="minorBidi"/>
          <w:noProof/>
          <w:sz w:val="22"/>
          <w:szCs w:val="22"/>
        </w:rPr>
      </w:pPr>
      <w:hyperlink w:history="1" w:anchor="_Toc80089394">
        <w:r w:rsidRPr="009544F6">
          <w:rPr>
            <w:rStyle w:val="Hyperlink"/>
            <w:noProof/>
          </w:rPr>
          <w:t>5.</w:t>
        </w:r>
        <w:r>
          <w:rPr>
            <w:rFonts w:asciiTheme="minorHAnsi" w:hAnsiTheme="minorHAnsi" w:cstheme="minorBidi"/>
            <w:noProof/>
            <w:sz w:val="22"/>
            <w:szCs w:val="22"/>
          </w:rPr>
          <w:tab/>
        </w:r>
        <w:r w:rsidRPr="009544F6">
          <w:rPr>
            <w:rStyle w:val="Hyperlink"/>
            <w:noProof/>
          </w:rPr>
          <w:t>The Record Indicates High and Widely  Varying Rates for IPCS in California</w:t>
        </w:r>
        <w:r>
          <w:rPr>
            <w:noProof/>
            <w:webHidden/>
          </w:rPr>
          <w:tab/>
        </w:r>
        <w:r>
          <w:rPr>
            <w:noProof/>
            <w:webHidden/>
          </w:rPr>
          <w:fldChar w:fldCharType="begin"/>
        </w:r>
        <w:r>
          <w:rPr>
            <w:noProof/>
            <w:webHidden/>
          </w:rPr>
          <w:instrText xml:space="preserve"> PAGEREF _Toc80089394 \h </w:instrText>
        </w:r>
        <w:r>
          <w:rPr>
            <w:noProof/>
            <w:webHidden/>
          </w:rPr>
        </w:r>
        <w:r>
          <w:rPr>
            <w:noProof/>
            <w:webHidden/>
          </w:rPr>
          <w:fldChar w:fldCharType="separate"/>
        </w:r>
        <w:r w:rsidR="00FF34BB">
          <w:rPr>
            <w:noProof/>
            <w:webHidden/>
          </w:rPr>
          <w:t>21</w:t>
        </w:r>
        <w:r>
          <w:rPr>
            <w:noProof/>
            <w:webHidden/>
          </w:rPr>
          <w:fldChar w:fldCharType="end"/>
        </w:r>
      </w:hyperlink>
    </w:p>
    <w:p w:rsidR="00385321" w:rsidRDefault="00385321" w14:paraId="4AD6A995" w14:textId="599AEE19">
      <w:pPr>
        <w:pStyle w:val="TOC2"/>
        <w:tabs>
          <w:tab w:val="right" w:leader="dot" w:pos="9350"/>
        </w:tabs>
        <w:rPr>
          <w:rFonts w:asciiTheme="minorHAnsi" w:hAnsiTheme="minorHAnsi" w:cstheme="minorBidi"/>
          <w:noProof/>
          <w:sz w:val="22"/>
          <w:szCs w:val="22"/>
        </w:rPr>
      </w:pPr>
      <w:hyperlink w:history="1" w:anchor="_Toc80089395">
        <w:r w:rsidRPr="009544F6">
          <w:rPr>
            <w:rStyle w:val="Hyperlink"/>
            <w:noProof/>
          </w:rPr>
          <w:t>5.1</w:t>
        </w:r>
        <w:r>
          <w:rPr>
            <w:rFonts w:asciiTheme="minorHAnsi" w:hAnsiTheme="minorHAnsi" w:cstheme="minorBidi"/>
            <w:noProof/>
            <w:sz w:val="22"/>
            <w:szCs w:val="22"/>
          </w:rPr>
          <w:tab/>
        </w:r>
        <w:r w:rsidRPr="009544F6">
          <w:rPr>
            <w:rStyle w:val="Hyperlink"/>
            <w:noProof/>
          </w:rPr>
          <w:t>Staff Findings on IPCS Rates</w:t>
        </w:r>
        <w:r>
          <w:rPr>
            <w:noProof/>
            <w:webHidden/>
          </w:rPr>
          <w:tab/>
        </w:r>
        <w:r>
          <w:rPr>
            <w:noProof/>
            <w:webHidden/>
          </w:rPr>
          <w:fldChar w:fldCharType="begin"/>
        </w:r>
        <w:r>
          <w:rPr>
            <w:noProof/>
            <w:webHidden/>
          </w:rPr>
          <w:instrText xml:space="preserve"> PAGEREF _Toc80089395 \h </w:instrText>
        </w:r>
        <w:r>
          <w:rPr>
            <w:noProof/>
            <w:webHidden/>
          </w:rPr>
        </w:r>
        <w:r>
          <w:rPr>
            <w:noProof/>
            <w:webHidden/>
          </w:rPr>
          <w:fldChar w:fldCharType="separate"/>
        </w:r>
        <w:r w:rsidR="00FF34BB">
          <w:rPr>
            <w:noProof/>
            <w:webHidden/>
          </w:rPr>
          <w:t>22</w:t>
        </w:r>
        <w:r>
          <w:rPr>
            <w:noProof/>
            <w:webHidden/>
          </w:rPr>
          <w:fldChar w:fldCharType="end"/>
        </w:r>
      </w:hyperlink>
    </w:p>
    <w:p w:rsidR="00385321" w:rsidRDefault="00385321" w14:paraId="28349F42" w14:textId="3F064390">
      <w:pPr>
        <w:pStyle w:val="TOC2"/>
        <w:tabs>
          <w:tab w:val="right" w:leader="dot" w:pos="9350"/>
        </w:tabs>
        <w:rPr>
          <w:rFonts w:asciiTheme="minorHAnsi" w:hAnsiTheme="minorHAnsi" w:cstheme="minorBidi"/>
          <w:noProof/>
          <w:sz w:val="22"/>
          <w:szCs w:val="22"/>
        </w:rPr>
      </w:pPr>
      <w:hyperlink w:history="1" w:anchor="_Toc80089396">
        <w:r w:rsidRPr="009544F6">
          <w:rPr>
            <w:rStyle w:val="Hyperlink"/>
            <w:noProof/>
          </w:rPr>
          <w:t>5.2</w:t>
        </w:r>
        <w:r>
          <w:rPr>
            <w:rFonts w:asciiTheme="minorHAnsi" w:hAnsiTheme="minorHAnsi" w:cstheme="minorBidi"/>
            <w:noProof/>
            <w:sz w:val="22"/>
            <w:szCs w:val="22"/>
          </w:rPr>
          <w:tab/>
        </w:r>
        <w:r w:rsidRPr="009544F6">
          <w:rPr>
            <w:rStyle w:val="Hyperlink"/>
            <w:noProof/>
          </w:rPr>
          <w:t>Cal Advocates’ Findings on IPCS Rates</w:t>
        </w:r>
        <w:r>
          <w:rPr>
            <w:noProof/>
            <w:webHidden/>
          </w:rPr>
          <w:tab/>
        </w:r>
        <w:r>
          <w:rPr>
            <w:noProof/>
            <w:webHidden/>
          </w:rPr>
          <w:fldChar w:fldCharType="begin"/>
        </w:r>
        <w:r>
          <w:rPr>
            <w:noProof/>
            <w:webHidden/>
          </w:rPr>
          <w:instrText xml:space="preserve"> PAGEREF _Toc80089396 \h </w:instrText>
        </w:r>
        <w:r>
          <w:rPr>
            <w:noProof/>
            <w:webHidden/>
          </w:rPr>
        </w:r>
        <w:r>
          <w:rPr>
            <w:noProof/>
            <w:webHidden/>
          </w:rPr>
          <w:fldChar w:fldCharType="separate"/>
        </w:r>
        <w:r w:rsidR="00FF34BB">
          <w:rPr>
            <w:noProof/>
            <w:webHidden/>
          </w:rPr>
          <w:t>24</w:t>
        </w:r>
        <w:r>
          <w:rPr>
            <w:noProof/>
            <w:webHidden/>
          </w:rPr>
          <w:fldChar w:fldCharType="end"/>
        </w:r>
      </w:hyperlink>
    </w:p>
    <w:p w:rsidR="00385321" w:rsidRDefault="00385321" w14:paraId="05CE708F" w14:textId="22EAB765">
      <w:pPr>
        <w:pStyle w:val="TOC2"/>
        <w:tabs>
          <w:tab w:val="right" w:leader="dot" w:pos="9350"/>
        </w:tabs>
        <w:rPr>
          <w:rFonts w:asciiTheme="minorHAnsi" w:hAnsiTheme="minorHAnsi" w:cstheme="minorBidi"/>
          <w:noProof/>
          <w:sz w:val="22"/>
          <w:szCs w:val="22"/>
        </w:rPr>
      </w:pPr>
      <w:hyperlink w:history="1" w:anchor="_Toc80089397">
        <w:r w:rsidRPr="009544F6">
          <w:rPr>
            <w:rStyle w:val="Hyperlink"/>
            <w:noProof/>
          </w:rPr>
          <w:t>5.3.</w:t>
        </w:r>
        <w:r>
          <w:rPr>
            <w:rFonts w:asciiTheme="minorHAnsi" w:hAnsiTheme="minorHAnsi" w:cstheme="minorBidi"/>
            <w:noProof/>
            <w:sz w:val="22"/>
            <w:szCs w:val="22"/>
          </w:rPr>
          <w:tab/>
        </w:r>
        <w:r w:rsidRPr="009544F6">
          <w:rPr>
            <w:rStyle w:val="Hyperlink"/>
            <w:noProof/>
          </w:rPr>
          <w:t xml:space="preserve">Parties Differ on the Cause and Significance  of the High </w:t>
        </w:r>
        <w:r>
          <w:rPr>
            <w:rStyle w:val="Hyperlink"/>
            <w:noProof/>
          </w:rPr>
          <w:br/>
        </w:r>
        <w:r w:rsidRPr="009544F6">
          <w:rPr>
            <w:rStyle w:val="Hyperlink"/>
            <w:noProof/>
          </w:rPr>
          <w:t>and Widely Varying IPCS Rates  in California</w:t>
        </w:r>
        <w:r>
          <w:rPr>
            <w:noProof/>
            <w:webHidden/>
          </w:rPr>
          <w:tab/>
        </w:r>
        <w:r>
          <w:rPr>
            <w:noProof/>
            <w:webHidden/>
          </w:rPr>
          <w:fldChar w:fldCharType="begin"/>
        </w:r>
        <w:r>
          <w:rPr>
            <w:noProof/>
            <w:webHidden/>
          </w:rPr>
          <w:instrText xml:space="preserve"> PAGEREF _Toc80089397 \h </w:instrText>
        </w:r>
        <w:r>
          <w:rPr>
            <w:noProof/>
            <w:webHidden/>
          </w:rPr>
        </w:r>
        <w:r>
          <w:rPr>
            <w:noProof/>
            <w:webHidden/>
          </w:rPr>
          <w:fldChar w:fldCharType="separate"/>
        </w:r>
        <w:r w:rsidR="00FF34BB">
          <w:rPr>
            <w:noProof/>
            <w:webHidden/>
          </w:rPr>
          <w:t>26</w:t>
        </w:r>
        <w:r>
          <w:rPr>
            <w:noProof/>
            <w:webHidden/>
          </w:rPr>
          <w:fldChar w:fldCharType="end"/>
        </w:r>
      </w:hyperlink>
    </w:p>
    <w:p w:rsidR="00385321" w:rsidRDefault="00385321" w14:paraId="5BC0DFA9" w14:textId="01DED491">
      <w:pPr>
        <w:pStyle w:val="TOC3"/>
        <w:tabs>
          <w:tab w:val="left" w:pos="1296"/>
          <w:tab w:val="right" w:leader="dot" w:pos="9350"/>
        </w:tabs>
        <w:rPr>
          <w:rFonts w:asciiTheme="minorHAnsi" w:hAnsiTheme="minorHAnsi" w:cstheme="minorBidi"/>
          <w:noProof/>
          <w:sz w:val="22"/>
          <w:szCs w:val="22"/>
        </w:rPr>
      </w:pPr>
      <w:hyperlink w:history="1" w:anchor="_Toc80089398">
        <w:r w:rsidRPr="009544F6">
          <w:rPr>
            <w:rStyle w:val="Hyperlink"/>
            <w:noProof/>
          </w:rPr>
          <w:t xml:space="preserve">5.3.1 </w:t>
        </w:r>
        <w:r>
          <w:rPr>
            <w:rFonts w:asciiTheme="minorHAnsi" w:hAnsiTheme="minorHAnsi" w:cstheme="minorBidi"/>
            <w:noProof/>
            <w:sz w:val="22"/>
            <w:szCs w:val="22"/>
          </w:rPr>
          <w:tab/>
        </w:r>
        <w:r w:rsidRPr="009544F6">
          <w:rPr>
            <w:rStyle w:val="Hyperlink"/>
            <w:noProof/>
          </w:rPr>
          <w:t>IPCS Provider Comments</w:t>
        </w:r>
        <w:r>
          <w:rPr>
            <w:noProof/>
            <w:webHidden/>
          </w:rPr>
          <w:tab/>
        </w:r>
        <w:r>
          <w:rPr>
            <w:noProof/>
            <w:webHidden/>
          </w:rPr>
          <w:fldChar w:fldCharType="begin"/>
        </w:r>
        <w:r>
          <w:rPr>
            <w:noProof/>
            <w:webHidden/>
          </w:rPr>
          <w:instrText xml:space="preserve"> PAGEREF _Toc80089398 \h </w:instrText>
        </w:r>
        <w:r>
          <w:rPr>
            <w:noProof/>
            <w:webHidden/>
          </w:rPr>
        </w:r>
        <w:r>
          <w:rPr>
            <w:noProof/>
            <w:webHidden/>
          </w:rPr>
          <w:fldChar w:fldCharType="separate"/>
        </w:r>
        <w:r w:rsidR="00FF34BB">
          <w:rPr>
            <w:noProof/>
            <w:webHidden/>
          </w:rPr>
          <w:t>26</w:t>
        </w:r>
        <w:r>
          <w:rPr>
            <w:noProof/>
            <w:webHidden/>
          </w:rPr>
          <w:fldChar w:fldCharType="end"/>
        </w:r>
      </w:hyperlink>
    </w:p>
    <w:p w:rsidR="00385321" w:rsidRDefault="00385321" w14:paraId="11513BB3" w14:textId="26F73011">
      <w:pPr>
        <w:pStyle w:val="TOC3"/>
        <w:tabs>
          <w:tab w:val="left" w:pos="1296"/>
          <w:tab w:val="right" w:leader="dot" w:pos="9350"/>
        </w:tabs>
        <w:rPr>
          <w:rFonts w:asciiTheme="minorHAnsi" w:hAnsiTheme="minorHAnsi" w:cstheme="minorBidi"/>
          <w:noProof/>
          <w:sz w:val="22"/>
          <w:szCs w:val="22"/>
        </w:rPr>
      </w:pPr>
      <w:hyperlink w:history="1" w:anchor="_Toc80089399">
        <w:r w:rsidRPr="009544F6">
          <w:rPr>
            <w:rStyle w:val="Hyperlink"/>
            <w:noProof/>
          </w:rPr>
          <w:t>5.3.2</w:t>
        </w:r>
        <w:r>
          <w:rPr>
            <w:rFonts w:asciiTheme="minorHAnsi" w:hAnsiTheme="minorHAnsi" w:cstheme="minorBidi"/>
            <w:noProof/>
            <w:sz w:val="22"/>
            <w:szCs w:val="22"/>
          </w:rPr>
          <w:tab/>
        </w:r>
        <w:r w:rsidRPr="009544F6">
          <w:rPr>
            <w:rStyle w:val="Hyperlink"/>
            <w:noProof/>
          </w:rPr>
          <w:t>Other Party Comments</w:t>
        </w:r>
        <w:r>
          <w:rPr>
            <w:noProof/>
            <w:webHidden/>
          </w:rPr>
          <w:tab/>
        </w:r>
        <w:r>
          <w:rPr>
            <w:noProof/>
            <w:webHidden/>
          </w:rPr>
          <w:fldChar w:fldCharType="begin"/>
        </w:r>
        <w:r>
          <w:rPr>
            <w:noProof/>
            <w:webHidden/>
          </w:rPr>
          <w:instrText xml:space="preserve"> PAGEREF _Toc80089399 \h </w:instrText>
        </w:r>
        <w:r>
          <w:rPr>
            <w:noProof/>
            <w:webHidden/>
          </w:rPr>
        </w:r>
        <w:r>
          <w:rPr>
            <w:noProof/>
            <w:webHidden/>
          </w:rPr>
          <w:fldChar w:fldCharType="separate"/>
        </w:r>
        <w:r w:rsidR="00FF34BB">
          <w:rPr>
            <w:noProof/>
            <w:webHidden/>
          </w:rPr>
          <w:t>28</w:t>
        </w:r>
        <w:r>
          <w:rPr>
            <w:noProof/>
            <w:webHidden/>
          </w:rPr>
          <w:fldChar w:fldCharType="end"/>
        </w:r>
      </w:hyperlink>
    </w:p>
    <w:p w:rsidR="00385321" w:rsidRDefault="00385321" w14:paraId="746C0BAE" w14:textId="19533B26">
      <w:pPr>
        <w:pStyle w:val="TOC2"/>
        <w:tabs>
          <w:tab w:val="right" w:leader="dot" w:pos="9350"/>
        </w:tabs>
        <w:rPr>
          <w:rFonts w:asciiTheme="minorHAnsi" w:hAnsiTheme="minorHAnsi" w:cstheme="minorBidi"/>
          <w:noProof/>
          <w:sz w:val="22"/>
          <w:szCs w:val="22"/>
        </w:rPr>
      </w:pPr>
      <w:hyperlink w:history="1" w:anchor="_Toc80089400">
        <w:r w:rsidRPr="009544F6">
          <w:rPr>
            <w:rStyle w:val="Hyperlink"/>
            <w:noProof/>
          </w:rPr>
          <w:t>5.4</w:t>
        </w:r>
        <w:r>
          <w:rPr>
            <w:rFonts w:asciiTheme="minorHAnsi" w:hAnsiTheme="minorHAnsi" w:cstheme="minorBidi"/>
            <w:noProof/>
            <w:sz w:val="22"/>
            <w:szCs w:val="22"/>
          </w:rPr>
          <w:tab/>
        </w:r>
        <w:r w:rsidRPr="009544F6">
          <w:rPr>
            <w:rStyle w:val="Hyperlink"/>
            <w:noProof/>
          </w:rPr>
          <w:t xml:space="preserve">Discussion: High and Widely Varying IPCS Rates in California </w:t>
        </w:r>
        <w:r>
          <w:rPr>
            <w:rStyle w:val="Hyperlink"/>
            <w:noProof/>
          </w:rPr>
          <w:br/>
        </w:r>
        <w:r w:rsidRPr="009544F6">
          <w:rPr>
            <w:rStyle w:val="Hyperlink"/>
            <w:noProof/>
          </w:rPr>
          <w:t>Reflect Locational Monopolies that Result in Unreasonable and Unjust Rates</w:t>
        </w:r>
        <w:r>
          <w:rPr>
            <w:noProof/>
            <w:webHidden/>
          </w:rPr>
          <w:tab/>
        </w:r>
        <w:r>
          <w:rPr>
            <w:noProof/>
            <w:webHidden/>
          </w:rPr>
          <w:fldChar w:fldCharType="begin"/>
        </w:r>
        <w:r>
          <w:rPr>
            <w:noProof/>
            <w:webHidden/>
          </w:rPr>
          <w:instrText xml:space="preserve"> PAGEREF _Toc80089400 \h </w:instrText>
        </w:r>
        <w:r>
          <w:rPr>
            <w:noProof/>
            <w:webHidden/>
          </w:rPr>
        </w:r>
        <w:r>
          <w:rPr>
            <w:noProof/>
            <w:webHidden/>
          </w:rPr>
          <w:fldChar w:fldCharType="separate"/>
        </w:r>
        <w:r w:rsidR="00FF34BB">
          <w:rPr>
            <w:noProof/>
            <w:webHidden/>
          </w:rPr>
          <w:t>31</w:t>
        </w:r>
        <w:r>
          <w:rPr>
            <w:noProof/>
            <w:webHidden/>
          </w:rPr>
          <w:fldChar w:fldCharType="end"/>
        </w:r>
      </w:hyperlink>
    </w:p>
    <w:p w:rsidR="00385321" w:rsidRDefault="00385321" w14:paraId="70090141" w14:textId="7D079106">
      <w:pPr>
        <w:pStyle w:val="TOC1"/>
        <w:tabs>
          <w:tab w:val="right" w:leader="dot" w:pos="9350"/>
        </w:tabs>
        <w:rPr>
          <w:rFonts w:asciiTheme="minorHAnsi" w:hAnsiTheme="minorHAnsi" w:cstheme="minorBidi"/>
          <w:noProof/>
          <w:sz w:val="22"/>
          <w:szCs w:val="22"/>
        </w:rPr>
      </w:pPr>
      <w:hyperlink w:history="1" w:anchor="_Toc80089401">
        <w:r w:rsidRPr="009544F6">
          <w:rPr>
            <w:rStyle w:val="Hyperlink"/>
            <w:noProof/>
          </w:rPr>
          <w:t>6.</w:t>
        </w:r>
        <w:r>
          <w:rPr>
            <w:rFonts w:asciiTheme="minorHAnsi" w:hAnsiTheme="minorHAnsi" w:cstheme="minorBidi"/>
            <w:noProof/>
            <w:sz w:val="22"/>
            <w:szCs w:val="22"/>
          </w:rPr>
          <w:tab/>
        </w:r>
        <w:r w:rsidRPr="009544F6">
          <w:rPr>
            <w:rStyle w:val="Hyperlink"/>
            <w:noProof/>
          </w:rPr>
          <w:t>Providing Interim Rate Relief to IPCS Customers</w:t>
        </w:r>
        <w:r>
          <w:rPr>
            <w:noProof/>
            <w:webHidden/>
          </w:rPr>
          <w:tab/>
        </w:r>
        <w:r>
          <w:rPr>
            <w:noProof/>
            <w:webHidden/>
          </w:rPr>
          <w:fldChar w:fldCharType="begin"/>
        </w:r>
        <w:r>
          <w:rPr>
            <w:noProof/>
            <w:webHidden/>
          </w:rPr>
          <w:instrText xml:space="preserve"> PAGEREF _Toc80089401 \h </w:instrText>
        </w:r>
        <w:r>
          <w:rPr>
            <w:noProof/>
            <w:webHidden/>
          </w:rPr>
        </w:r>
        <w:r>
          <w:rPr>
            <w:noProof/>
            <w:webHidden/>
          </w:rPr>
          <w:fldChar w:fldCharType="separate"/>
        </w:r>
        <w:r w:rsidR="00FF34BB">
          <w:rPr>
            <w:noProof/>
            <w:webHidden/>
          </w:rPr>
          <w:t>40</w:t>
        </w:r>
        <w:r>
          <w:rPr>
            <w:noProof/>
            <w:webHidden/>
          </w:rPr>
          <w:fldChar w:fldCharType="end"/>
        </w:r>
      </w:hyperlink>
    </w:p>
    <w:p w:rsidR="00385321" w:rsidRDefault="00385321" w14:paraId="2481FBF2" w14:textId="12FDF7B2">
      <w:pPr>
        <w:pStyle w:val="TOC2"/>
        <w:tabs>
          <w:tab w:val="right" w:leader="dot" w:pos="9350"/>
        </w:tabs>
        <w:rPr>
          <w:rFonts w:asciiTheme="minorHAnsi" w:hAnsiTheme="minorHAnsi" w:cstheme="minorBidi"/>
          <w:noProof/>
          <w:sz w:val="22"/>
          <w:szCs w:val="22"/>
        </w:rPr>
      </w:pPr>
      <w:hyperlink w:history="1" w:anchor="_Toc80089402">
        <w:r w:rsidRPr="009544F6">
          <w:rPr>
            <w:rStyle w:val="Hyperlink"/>
            <w:noProof/>
          </w:rPr>
          <w:t>6.1</w:t>
        </w:r>
        <w:r>
          <w:rPr>
            <w:rFonts w:asciiTheme="minorHAnsi" w:hAnsiTheme="minorHAnsi" w:cstheme="minorBidi"/>
            <w:noProof/>
            <w:sz w:val="22"/>
            <w:szCs w:val="22"/>
          </w:rPr>
          <w:tab/>
        </w:r>
        <w:r w:rsidRPr="009544F6">
          <w:rPr>
            <w:rStyle w:val="Hyperlink"/>
            <w:noProof/>
          </w:rPr>
          <w:t>Initial and Revised Staff Proposal  for Interim Rate Relief</w:t>
        </w:r>
        <w:r>
          <w:rPr>
            <w:noProof/>
            <w:webHidden/>
          </w:rPr>
          <w:tab/>
        </w:r>
        <w:r>
          <w:rPr>
            <w:noProof/>
            <w:webHidden/>
          </w:rPr>
          <w:fldChar w:fldCharType="begin"/>
        </w:r>
        <w:r>
          <w:rPr>
            <w:noProof/>
            <w:webHidden/>
          </w:rPr>
          <w:instrText xml:space="preserve"> PAGEREF _Toc80089402 \h </w:instrText>
        </w:r>
        <w:r>
          <w:rPr>
            <w:noProof/>
            <w:webHidden/>
          </w:rPr>
        </w:r>
        <w:r>
          <w:rPr>
            <w:noProof/>
            <w:webHidden/>
          </w:rPr>
          <w:fldChar w:fldCharType="separate"/>
        </w:r>
        <w:r w:rsidR="00FF34BB">
          <w:rPr>
            <w:noProof/>
            <w:webHidden/>
          </w:rPr>
          <w:t>41</w:t>
        </w:r>
        <w:r>
          <w:rPr>
            <w:noProof/>
            <w:webHidden/>
          </w:rPr>
          <w:fldChar w:fldCharType="end"/>
        </w:r>
      </w:hyperlink>
    </w:p>
    <w:p w:rsidR="00385321" w:rsidRDefault="00385321" w14:paraId="29AB4AF5" w14:textId="4451C3E5">
      <w:pPr>
        <w:pStyle w:val="TOC3"/>
        <w:tabs>
          <w:tab w:val="left" w:pos="1296"/>
          <w:tab w:val="right" w:leader="dot" w:pos="9350"/>
        </w:tabs>
        <w:rPr>
          <w:rFonts w:asciiTheme="minorHAnsi" w:hAnsiTheme="minorHAnsi" w:cstheme="minorBidi"/>
          <w:noProof/>
          <w:sz w:val="22"/>
          <w:szCs w:val="22"/>
        </w:rPr>
      </w:pPr>
      <w:hyperlink w:history="1" w:anchor="_Toc80089403">
        <w:r w:rsidRPr="009544F6">
          <w:rPr>
            <w:rStyle w:val="Hyperlink"/>
            <w:noProof/>
          </w:rPr>
          <w:t>6.1.1</w:t>
        </w:r>
        <w:r>
          <w:rPr>
            <w:rFonts w:asciiTheme="minorHAnsi" w:hAnsiTheme="minorHAnsi" w:cstheme="minorBidi"/>
            <w:noProof/>
            <w:sz w:val="22"/>
            <w:szCs w:val="22"/>
          </w:rPr>
          <w:tab/>
        </w:r>
        <w:r w:rsidRPr="009544F6">
          <w:rPr>
            <w:rStyle w:val="Hyperlink"/>
            <w:noProof/>
          </w:rPr>
          <w:t>Party Comments</w:t>
        </w:r>
        <w:r>
          <w:rPr>
            <w:noProof/>
            <w:webHidden/>
          </w:rPr>
          <w:tab/>
        </w:r>
        <w:r>
          <w:rPr>
            <w:noProof/>
            <w:webHidden/>
          </w:rPr>
          <w:fldChar w:fldCharType="begin"/>
        </w:r>
        <w:r>
          <w:rPr>
            <w:noProof/>
            <w:webHidden/>
          </w:rPr>
          <w:instrText xml:space="preserve"> PAGEREF _Toc80089403 \h </w:instrText>
        </w:r>
        <w:r>
          <w:rPr>
            <w:noProof/>
            <w:webHidden/>
          </w:rPr>
        </w:r>
        <w:r>
          <w:rPr>
            <w:noProof/>
            <w:webHidden/>
          </w:rPr>
          <w:fldChar w:fldCharType="separate"/>
        </w:r>
        <w:r w:rsidR="00FF34BB">
          <w:rPr>
            <w:noProof/>
            <w:webHidden/>
          </w:rPr>
          <w:t>42</w:t>
        </w:r>
        <w:r>
          <w:rPr>
            <w:noProof/>
            <w:webHidden/>
          </w:rPr>
          <w:fldChar w:fldCharType="end"/>
        </w:r>
      </w:hyperlink>
    </w:p>
    <w:p w:rsidR="00385321" w:rsidRDefault="00385321" w14:paraId="2B675CE4" w14:textId="1B1CCADB">
      <w:pPr>
        <w:pStyle w:val="TOC4"/>
        <w:tabs>
          <w:tab w:val="left" w:pos="1728"/>
          <w:tab w:val="right" w:leader="dot" w:pos="9350"/>
        </w:tabs>
        <w:rPr>
          <w:rFonts w:asciiTheme="minorHAnsi" w:hAnsiTheme="minorHAnsi" w:eastAsiaTheme="minorEastAsia" w:cstheme="minorBidi"/>
          <w:noProof/>
          <w:sz w:val="22"/>
          <w:szCs w:val="22"/>
        </w:rPr>
      </w:pPr>
      <w:hyperlink w:history="1" w:anchor="_Toc80089404">
        <w:r w:rsidRPr="009544F6">
          <w:rPr>
            <w:rStyle w:val="Hyperlink"/>
            <w:rFonts w:eastAsiaTheme="majorEastAsia"/>
            <w:noProof/>
          </w:rPr>
          <w:t>6.1.1.1</w:t>
        </w:r>
        <w:r>
          <w:rPr>
            <w:rFonts w:asciiTheme="minorHAnsi" w:hAnsiTheme="minorHAnsi" w:eastAsiaTheme="minorEastAsia" w:cstheme="minorBidi"/>
            <w:noProof/>
            <w:sz w:val="22"/>
            <w:szCs w:val="22"/>
          </w:rPr>
          <w:tab/>
        </w:r>
        <w:r w:rsidRPr="009544F6">
          <w:rPr>
            <w:rStyle w:val="Hyperlink"/>
            <w:rFonts w:eastAsiaTheme="majorEastAsia"/>
            <w:noProof/>
          </w:rPr>
          <w:t>FCC 2013 Order Interim Rates of 21  and 25 Cents Per Minute</w:t>
        </w:r>
        <w:r>
          <w:rPr>
            <w:noProof/>
            <w:webHidden/>
          </w:rPr>
          <w:tab/>
        </w:r>
        <w:r>
          <w:rPr>
            <w:noProof/>
            <w:webHidden/>
          </w:rPr>
          <w:fldChar w:fldCharType="begin"/>
        </w:r>
        <w:r>
          <w:rPr>
            <w:noProof/>
            <w:webHidden/>
          </w:rPr>
          <w:instrText xml:space="preserve"> PAGEREF _Toc80089404 \h </w:instrText>
        </w:r>
        <w:r>
          <w:rPr>
            <w:noProof/>
            <w:webHidden/>
          </w:rPr>
        </w:r>
        <w:r>
          <w:rPr>
            <w:noProof/>
            <w:webHidden/>
          </w:rPr>
          <w:fldChar w:fldCharType="separate"/>
        </w:r>
        <w:r w:rsidR="00FF34BB">
          <w:rPr>
            <w:noProof/>
            <w:webHidden/>
          </w:rPr>
          <w:t>43</w:t>
        </w:r>
        <w:r>
          <w:rPr>
            <w:noProof/>
            <w:webHidden/>
          </w:rPr>
          <w:fldChar w:fldCharType="end"/>
        </w:r>
      </w:hyperlink>
    </w:p>
    <w:p w:rsidR="00385321" w:rsidRDefault="00385321" w14:paraId="37636009" w14:textId="764B9333">
      <w:pPr>
        <w:pStyle w:val="TOC4"/>
        <w:tabs>
          <w:tab w:val="left" w:pos="1728"/>
          <w:tab w:val="right" w:leader="dot" w:pos="9350"/>
        </w:tabs>
        <w:rPr>
          <w:rFonts w:asciiTheme="minorHAnsi" w:hAnsiTheme="minorHAnsi" w:eastAsiaTheme="minorEastAsia" w:cstheme="minorBidi"/>
          <w:noProof/>
          <w:sz w:val="22"/>
          <w:szCs w:val="22"/>
        </w:rPr>
      </w:pPr>
      <w:hyperlink w:history="1" w:anchor="_Toc80089405">
        <w:r w:rsidRPr="009544F6">
          <w:rPr>
            <w:rStyle w:val="Hyperlink"/>
            <w:rFonts w:eastAsiaTheme="majorEastAsia"/>
            <w:noProof/>
          </w:rPr>
          <w:t>6.1.1.2</w:t>
        </w:r>
        <w:r>
          <w:rPr>
            <w:rFonts w:asciiTheme="minorHAnsi" w:hAnsiTheme="minorHAnsi" w:eastAsiaTheme="minorEastAsia" w:cstheme="minorBidi"/>
            <w:noProof/>
            <w:sz w:val="22"/>
            <w:szCs w:val="22"/>
          </w:rPr>
          <w:tab/>
        </w:r>
        <w:r w:rsidRPr="009544F6">
          <w:rPr>
            <w:rStyle w:val="Hyperlink"/>
            <w:rFonts w:eastAsiaTheme="majorEastAsia"/>
            <w:noProof/>
          </w:rPr>
          <w:t>FCC Third Order Interim Rates of 14 and 16 Cents Per Minute</w:t>
        </w:r>
        <w:r>
          <w:rPr>
            <w:noProof/>
            <w:webHidden/>
          </w:rPr>
          <w:tab/>
        </w:r>
        <w:r>
          <w:rPr>
            <w:noProof/>
            <w:webHidden/>
          </w:rPr>
          <w:fldChar w:fldCharType="begin"/>
        </w:r>
        <w:r>
          <w:rPr>
            <w:noProof/>
            <w:webHidden/>
          </w:rPr>
          <w:instrText xml:space="preserve"> PAGEREF _Toc80089405 \h </w:instrText>
        </w:r>
        <w:r>
          <w:rPr>
            <w:noProof/>
            <w:webHidden/>
          </w:rPr>
        </w:r>
        <w:r>
          <w:rPr>
            <w:noProof/>
            <w:webHidden/>
          </w:rPr>
          <w:fldChar w:fldCharType="separate"/>
        </w:r>
        <w:r w:rsidR="00FF34BB">
          <w:rPr>
            <w:noProof/>
            <w:webHidden/>
          </w:rPr>
          <w:t>44</w:t>
        </w:r>
        <w:r>
          <w:rPr>
            <w:noProof/>
            <w:webHidden/>
          </w:rPr>
          <w:fldChar w:fldCharType="end"/>
        </w:r>
      </w:hyperlink>
    </w:p>
    <w:p w:rsidR="00385321" w:rsidRDefault="00385321" w14:paraId="7A67FE80" w14:textId="2D32F0FC">
      <w:pPr>
        <w:pStyle w:val="TOC2"/>
        <w:tabs>
          <w:tab w:val="right" w:leader="dot" w:pos="9350"/>
        </w:tabs>
        <w:rPr>
          <w:rFonts w:asciiTheme="minorHAnsi" w:hAnsiTheme="minorHAnsi" w:cstheme="minorBidi"/>
          <w:noProof/>
          <w:sz w:val="22"/>
          <w:szCs w:val="22"/>
        </w:rPr>
      </w:pPr>
      <w:hyperlink w:history="1" w:anchor="_Toc80089406">
        <w:r w:rsidRPr="009544F6">
          <w:rPr>
            <w:rStyle w:val="Hyperlink"/>
            <w:noProof/>
          </w:rPr>
          <w:t>6.2</w:t>
        </w:r>
        <w:r>
          <w:rPr>
            <w:rFonts w:asciiTheme="minorHAnsi" w:hAnsiTheme="minorHAnsi" w:cstheme="minorBidi"/>
            <w:noProof/>
            <w:sz w:val="22"/>
            <w:szCs w:val="22"/>
          </w:rPr>
          <w:tab/>
        </w:r>
        <w:r w:rsidRPr="009544F6">
          <w:rPr>
            <w:rStyle w:val="Hyperlink"/>
            <w:noProof/>
          </w:rPr>
          <w:t>Party Proposals for an Interim Rate Cap  of One to 11 Cents Per Minute</w:t>
        </w:r>
        <w:r>
          <w:rPr>
            <w:noProof/>
            <w:webHidden/>
          </w:rPr>
          <w:tab/>
        </w:r>
        <w:r>
          <w:rPr>
            <w:noProof/>
            <w:webHidden/>
          </w:rPr>
          <w:fldChar w:fldCharType="begin"/>
        </w:r>
        <w:r>
          <w:rPr>
            <w:noProof/>
            <w:webHidden/>
          </w:rPr>
          <w:instrText xml:space="preserve"> PAGEREF _Toc80089406 \h </w:instrText>
        </w:r>
        <w:r>
          <w:rPr>
            <w:noProof/>
            <w:webHidden/>
          </w:rPr>
        </w:r>
        <w:r>
          <w:rPr>
            <w:noProof/>
            <w:webHidden/>
          </w:rPr>
          <w:fldChar w:fldCharType="separate"/>
        </w:r>
        <w:r w:rsidR="00FF34BB">
          <w:rPr>
            <w:noProof/>
            <w:webHidden/>
          </w:rPr>
          <w:t>46</w:t>
        </w:r>
        <w:r>
          <w:rPr>
            <w:noProof/>
            <w:webHidden/>
          </w:rPr>
          <w:fldChar w:fldCharType="end"/>
        </w:r>
      </w:hyperlink>
    </w:p>
    <w:p w:rsidR="00385321" w:rsidRDefault="00385321" w14:paraId="029B6E6A" w14:textId="3EB9D3FB">
      <w:pPr>
        <w:pStyle w:val="TOC3"/>
        <w:tabs>
          <w:tab w:val="left" w:pos="1296"/>
          <w:tab w:val="right" w:leader="dot" w:pos="9350"/>
        </w:tabs>
        <w:rPr>
          <w:rFonts w:asciiTheme="minorHAnsi" w:hAnsiTheme="minorHAnsi" w:cstheme="minorBidi"/>
          <w:noProof/>
          <w:sz w:val="22"/>
          <w:szCs w:val="22"/>
        </w:rPr>
      </w:pPr>
      <w:hyperlink w:history="1" w:anchor="_Toc80089407">
        <w:r w:rsidRPr="009544F6">
          <w:rPr>
            <w:rStyle w:val="Hyperlink"/>
            <w:noProof/>
          </w:rPr>
          <w:t xml:space="preserve">6.2.1 </w:t>
        </w:r>
        <w:r>
          <w:rPr>
            <w:rFonts w:asciiTheme="minorHAnsi" w:hAnsiTheme="minorHAnsi" w:cstheme="minorBidi"/>
            <w:noProof/>
            <w:sz w:val="22"/>
            <w:szCs w:val="22"/>
          </w:rPr>
          <w:tab/>
        </w:r>
        <w:r w:rsidRPr="009544F6">
          <w:rPr>
            <w:rStyle w:val="Hyperlink"/>
            <w:noProof/>
          </w:rPr>
          <w:t>Provider Comments</w:t>
        </w:r>
        <w:r>
          <w:rPr>
            <w:noProof/>
            <w:webHidden/>
          </w:rPr>
          <w:tab/>
        </w:r>
        <w:r>
          <w:rPr>
            <w:noProof/>
            <w:webHidden/>
          </w:rPr>
          <w:fldChar w:fldCharType="begin"/>
        </w:r>
        <w:r>
          <w:rPr>
            <w:noProof/>
            <w:webHidden/>
          </w:rPr>
          <w:instrText xml:space="preserve"> PAGEREF _Toc80089407 \h </w:instrText>
        </w:r>
        <w:r>
          <w:rPr>
            <w:noProof/>
            <w:webHidden/>
          </w:rPr>
        </w:r>
        <w:r>
          <w:rPr>
            <w:noProof/>
            <w:webHidden/>
          </w:rPr>
          <w:fldChar w:fldCharType="separate"/>
        </w:r>
        <w:r w:rsidR="00FF34BB">
          <w:rPr>
            <w:noProof/>
            <w:webHidden/>
          </w:rPr>
          <w:t>50</w:t>
        </w:r>
        <w:r>
          <w:rPr>
            <w:noProof/>
            <w:webHidden/>
          </w:rPr>
          <w:fldChar w:fldCharType="end"/>
        </w:r>
      </w:hyperlink>
    </w:p>
    <w:p w:rsidR="00385321" w:rsidRDefault="00385321" w14:paraId="1FE77A01" w14:textId="19A6137D">
      <w:pPr>
        <w:pStyle w:val="TOC2"/>
        <w:tabs>
          <w:tab w:val="right" w:leader="dot" w:pos="9350"/>
        </w:tabs>
        <w:rPr>
          <w:rFonts w:asciiTheme="minorHAnsi" w:hAnsiTheme="minorHAnsi" w:cstheme="minorBidi"/>
          <w:noProof/>
          <w:sz w:val="22"/>
          <w:szCs w:val="22"/>
        </w:rPr>
      </w:pPr>
      <w:hyperlink w:history="1" w:anchor="_Toc80089408">
        <w:r w:rsidRPr="009544F6">
          <w:rPr>
            <w:rStyle w:val="Hyperlink"/>
            <w:noProof/>
          </w:rPr>
          <w:t>6.2</w:t>
        </w:r>
        <w:r>
          <w:rPr>
            <w:rFonts w:asciiTheme="minorHAnsi" w:hAnsiTheme="minorHAnsi" w:cstheme="minorBidi"/>
            <w:noProof/>
            <w:sz w:val="22"/>
            <w:szCs w:val="22"/>
          </w:rPr>
          <w:tab/>
        </w:r>
        <w:r w:rsidRPr="009544F6">
          <w:rPr>
            <w:rStyle w:val="Hyperlink"/>
            <w:noProof/>
          </w:rPr>
          <w:t>Implementation Timeline</w:t>
        </w:r>
        <w:r>
          <w:rPr>
            <w:noProof/>
            <w:webHidden/>
          </w:rPr>
          <w:tab/>
        </w:r>
        <w:r>
          <w:rPr>
            <w:noProof/>
            <w:webHidden/>
          </w:rPr>
          <w:fldChar w:fldCharType="begin"/>
        </w:r>
        <w:r>
          <w:rPr>
            <w:noProof/>
            <w:webHidden/>
          </w:rPr>
          <w:instrText xml:space="preserve"> PAGEREF _Toc80089408 \h </w:instrText>
        </w:r>
        <w:r>
          <w:rPr>
            <w:noProof/>
            <w:webHidden/>
          </w:rPr>
        </w:r>
        <w:r>
          <w:rPr>
            <w:noProof/>
            <w:webHidden/>
          </w:rPr>
          <w:fldChar w:fldCharType="separate"/>
        </w:r>
        <w:r w:rsidR="00FF34BB">
          <w:rPr>
            <w:noProof/>
            <w:webHidden/>
          </w:rPr>
          <w:t>50</w:t>
        </w:r>
        <w:r>
          <w:rPr>
            <w:noProof/>
            <w:webHidden/>
          </w:rPr>
          <w:fldChar w:fldCharType="end"/>
        </w:r>
      </w:hyperlink>
    </w:p>
    <w:p w:rsidR="00385321" w:rsidRDefault="00385321" w14:paraId="0E403343" w14:textId="5E775309">
      <w:pPr>
        <w:pStyle w:val="TOC2"/>
        <w:tabs>
          <w:tab w:val="right" w:leader="dot" w:pos="9350"/>
        </w:tabs>
        <w:rPr>
          <w:rFonts w:asciiTheme="minorHAnsi" w:hAnsiTheme="minorHAnsi" w:cstheme="minorBidi"/>
          <w:noProof/>
          <w:sz w:val="22"/>
          <w:szCs w:val="22"/>
        </w:rPr>
      </w:pPr>
      <w:hyperlink w:history="1" w:anchor="_Toc80089409">
        <w:r w:rsidRPr="009544F6">
          <w:rPr>
            <w:rStyle w:val="Hyperlink"/>
            <w:noProof/>
          </w:rPr>
          <w:t>6.3</w:t>
        </w:r>
        <w:r>
          <w:rPr>
            <w:rFonts w:asciiTheme="minorHAnsi" w:hAnsiTheme="minorHAnsi" w:cstheme="minorBidi"/>
            <w:noProof/>
            <w:sz w:val="22"/>
            <w:szCs w:val="22"/>
          </w:rPr>
          <w:tab/>
        </w:r>
        <w:r w:rsidRPr="009544F6">
          <w:rPr>
            <w:rStyle w:val="Hyperlink"/>
            <w:noProof/>
          </w:rPr>
          <w:t>Adopting an Interim Rate Cap  of Seven Cents Per Minute</w:t>
        </w:r>
        <w:r>
          <w:rPr>
            <w:noProof/>
            <w:webHidden/>
          </w:rPr>
          <w:tab/>
        </w:r>
        <w:r>
          <w:rPr>
            <w:noProof/>
            <w:webHidden/>
          </w:rPr>
          <w:fldChar w:fldCharType="begin"/>
        </w:r>
        <w:r>
          <w:rPr>
            <w:noProof/>
            <w:webHidden/>
          </w:rPr>
          <w:instrText xml:space="preserve"> PAGEREF _Toc80089409 \h </w:instrText>
        </w:r>
        <w:r>
          <w:rPr>
            <w:noProof/>
            <w:webHidden/>
          </w:rPr>
        </w:r>
        <w:r>
          <w:rPr>
            <w:noProof/>
            <w:webHidden/>
          </w:rPr>
          <w:fldChar w:fldCharType="separate"/>
        </w:r>
        <w:r w:rsidR="00FF34BB">
          <w:rPr>
            <w:noProof/>
            <w:webHidden/>
          </w:rPr>
          <w:t>51</w:t>
        </w:r>
        <w:r>
          <w:rPr>
            <w:noProof/>
            <w:webHidden/>
          </w:rPr>
          <w:fldChar w:fldCharType="end"/>
        </w:r>
      </w:hyperlink>
    </w:p>
    <w:p w:rsidR="00385321" w:rsidRDefault="00385321" w14:paraId="4FFB52FA" w14:textId="25B00B6E">
      <w:pPr>
        <w:pStyle w:val="TOC1"/>
        <w:tabs>
          <w:tab w:val="right" w:leader="dot" w:pos="9350"/>
        </w:tabs>
        <w:rPr>
          <w:rFonts w:asciiTheme="minorHAnsi" w:hAnsiTheme="minorHAnsi" w:cstheme="minorBidi"/>
          <w:noProof/>
          <w:sz w:val="22"/>
          <w:szCs w:val="22"/>
        </w:rPr>
      </w:pPr>
      <w:hyperlink w:history="1" w:anchor="_Toc80089410">
        <w:r w:rsidRPr="009544F6">
          <w:rPr>
            <w:rStyle w:val="Hyperlink"/>
            <w:noProof/>
          </w:rPr>
          <w:t>7.</w:t>
        </w:r>
        <w:r>
          <w:rPr>
            <w:rFonts w:asciiTheme="minorHAnsi" w:hAnsiTheme="minorHAnsi" w:cstheme="minorBidi"/>
            <w:noProof/>
            <w:sz w:val="22"/>
            <w:szCs w:val="22"/>
          </w:rPr>
          <w:tab/>
        </w:r>
        <w:r w:rsidRPr="009544F6">
          <w:rPr>
            <w:rStyle w:val="Hyperlink"/>
            <w:noProof/>
          </w:rPr>
          <w:t>Providing Interim Relief from  Ancillary Service Fees</w:t>
        </w:r>
        <w:r>
          <w:rPr>
            <w:noProof/>
            <w:webHidden/>
          </w:rPr>
          <w:tab/>
        </w:r>
        <w:r>
          <w:rPr>
            <w:noProof/>
            <w:webHidden/>
          </w:rPr>
          <w:fldChar w:fldCharType="begin"/>
        </w:r>
        <w:r>
          <w:rPr>
            <w:noProof/>
            <w:webHidden/>
          </w:rPr>
          <w:instrText xml:space="preserve"> PAGEREF _Toc80089410 \h </w:instrText>
        </w:r>
        <w:r>
          <w:rPr>
            <w:noProof/>
            <w:webHidden/>
          </w:rPr>
        </w:r>
        <w:r>
          <w:rPr>
            <w:noProof/>
            <w:webHidden/>
          </w:rPr>
          <w:fldChar w:fldCharType="separate"/>
        </w:r>
        <w:r w:rsidR="00FF34BB">
          <w:rPr>
            <w:noProof/>
            <w:webHidden/>
          </w:rPr>
          <w:t>61</w:t>
        </w:r>
        <w:r>
          <w:rPr>
            <w:noProof/>
            <w:webHidden/>
          </w:rPr>
          <w:fldChar w:fldCharType="end"/>
        </w:r>
      </w:hyperlink>
    </w:p>
    <w:p w:rsidR="00385321" w:rsidRDefault="00385321" w14:paraId="77AB1F27" w14:textId="6A742AA9">
      <w:pPr>
        <w:pStyle w:val="TOC2"/>
        <w:tabs>
          <w:tab w:val="right" w:leader="dot" w:pos="9350"/>
        </w:tabs>
        <w:rPr>
          <w:rFonts w:asciiTheme="minorHAnsi" w:hAnsiTheme="minorHAnsi" w:cstheme="minorBidi"/>
          <w:noProof/>
          <w:sz w:val="22"/>
          <w:szCs w:val="22"/>
        </w:rPr>
      </w:pPr>
      <w:hyperlink w:history="1" w:anchor="_Toc80089411">
        <w:r w:rsidRPr="009544F6">
          <w:rPr>
            <w:rStyle w:val="Hyperlink"/>
            <w:noProof/>
          </w:rPr>
          <w:t>7.1</w:t>
        </w:r>
        <w:r>
          <w:rPr>
            <w:rFonts w:asciiTheme="minorHAnsi" w:hAnsiTheme="minorHAnsi" w:cstheme="minorBidi"/>
            <w:noProof/>
            <w:sz w:val="22"/>
            <w:szCs w:val="22"/>
          </w:rPr>
          <w:tab/>
        </w:r>
        <w:r w:rsidRPr="009544F6">
          <w:rPr>
            <w:rStyle w:val="Hyperlink"/>
            <w:noProof/>
          </w:rPr>
          <w:t>Staff Proposal</w:t>
        </w:r>
        <w:r>
          <w:rPr>
            <w:noProof/>
            <w:webHidden/>
          </w:rPr>
          <w:tab/>
        </w:r>
        <w:r>
          <w:rPr>
            <w:noProof/>
            <w:webHidden/>
          </w:rPr>
          <w:fldChar w:fldCharType="begin"/>
        </w:r>
        <w:r>
          <w:rPr>
            <w:noProof/>
            <w:webHidden/>
          </w:rPr>
          <w:instrText xml:space="preserve"> PAGEREF _Toc80089411 \h </w:instrText>
        </w:r>
        <w:r>
          <w:rPr>
            <w:noProof/>
            <w:webHidden/>
          </w:rPr>
        </w:r>
        <w:r>
          <w:rPr>
            <w:noProof/>
            <w:webHidden/>
          </w:rPr>
          <w:fldChar w:fldCharType="separate"/>
        </w:r>
        <w:r w:rsidR="00FF34BB">
          <w:rPr>
            <w:noProof/>
            <w:webHidden/>
          </w:rPr>
          <w:t>63</w:t>
        </w:r>
        <w:r>
          <w:rPr>
            <w:noProof/>
            <w:webHidden/>
          </w:rPr>
          <w:fldChar w:fldCharType="end"/>
        </w:r>
      </w:hyperlink>
    </w:p>
    <w:p w:rsidR="00385321" w:rsidRDefault="00385321" w14:paraId="7AD70F4E" w14:textId="0ACC509D">
      <w:pPr>
        <w:pStyle w:val="TOC2"/>
        <w:tabs>
          <w:tab w:val="right" w:leader="dot" w:pos="9350"/>
        </w:tabs>
        <w:rPr>
          <w:rFonts w:asciiTheme="minorHAnsi" w:hAnsiTheme="minorHAnsi" w:cstheme="minorBidi"/>
          <w:noProof/>
          <w:sz w:val="22"/>
          <w:szCs w:val="22"/>
        </w:rPr>
      </w:pPr>
      <w:hyperlink w:history="1" w:anchor="_Toc80089412">
        <w:r w:rsidRPr="009544F6">
          <w:rPr>
            <w:rStyle w:val="Hyperlink"/>
            <w:noProof/>
          </w:rPr>
          <w:t>7.2</w:t>
        </w:r>
        <w:r>
          <w:rPr>
            <w:rFonts w:asciiTheme="minorHAnsi" w:hAnsiTheme="minorHAnsi" w:cstheme="minorBidi"/>
            <w:noProof/>
            <w:sz w:val="22"/>
            <w:szCs w:val="22"/>
          </w:rPr>
          <w:tab/>
        </w:r>
        <w:r w:rsidRPr="009544F6">
          <w:rPr>
            <w:rStyle w:val="Hyperlink"/>
            <w:noProof/>
          </w:rPr>
          <w:t>Party Proposals</w:t>
        </w:r>
        <w:r>
          <w:rPr>
            <w:noProof/>
            <w:webHidden/>
          </w:rPr>
          <w:tab/>
        </w:r>
        <w:r>
          <w:rPr>
            <w:noProof/>
            <w:webHidden/>
          </w:rPr>
          <w:fldChar w:fldCharType="begin"/>
        </w:r>
        <w:r>
          <w:rPr>
            <w:noProof/>
            <w:webHidden/>
          </w:rPr>
          <w:instrText xml:space="preserve"> PAGEREF _Toc80089412 \h </w:instrText>
        </w:r>
        <w:r>
          <w:rPr>
            <w:noProof/>
            <w:webHidden/>
          </w:rPr>
        </w:r>
        <w:r>
          <w:rPr>
            <w:noProof/>
            <w:webHidden/>
          </w:rPr>
          <w:fldChar w:fldCharType="separate"/>
        </w:r>
        <w:r w:rsidR="00FF34BB">
          <w:rPr>
            <w:noProof/>
            <w:webHidden/>
          </w:rPr>
          <w:t>64</w:t>
        </w:r>
        <w:r>
          <w:rPr>
            <w:noProof/>
            <w:webHidden/>
          </w:rPr>
          <w:fldChar w:fldCharType="end"/>
        </w:r>
      </w:hyperlink>
    </w:p>
    <w:p w:rsidR="00385321" w:rsidRDefault="00385321" w14:paraId="27731228" w14:textId="14832FBD">
      <w:pPr>
        <w:pStyle w:val="TOC3"/>
        <w:tabs>
          <w:tab w:val="left" w:pos="1296"/>
          <w:tab w:val="right" w:leader="dot" w:pos="9350"/>
        </w:tabs>
        <w:rPr>
          <w:rFonts w:asciiTheme="minorHAnsi" w:hAnsiTheme="minorHAnsi" w:cstheme="minorBidi"/>
          <w:noProof/>
          <w:sz w:val="22"/>
          <w:szCs w:val="22"/>
        </w:rPr>
      </w:pPr>
      <w:hyperlink w:history="1" w:anchor="_Toc80089413">
        <w:r w:rsidRPr="009544F6">
          <w:rPr>
            <w:rStyle w:val="Hyperlink"/>
            <w:noProof/>
          </w:rPr>
          <w:t>7.2.1</w:t>
        </w:r>
        <w:r>
          <w:rPr>
            <w:rFonts w:asciiTheme="minorHAnsi" w:hAnsiTheme="minorHAnsi" w:cstheme="minorBidi"/>
            <w:noProof/>
            <w:sz w:val="22"/>
            <w:szCs w:val="22"/>
          </w:rPr>
          <w:tab/>
        </w:r>
        <w:r w:rsidRPr="009544F6">
          <w:rPr>
            <w:rStyle w:val="Hyperlink"/>
            <w:noProof/>
          </w:rPr>
          <w:t>Cal Advocates’ Proposal</w:t>
        </w:r>
        <w:r>
          <w:rPr>
            <w:noProof/>
            <w:webHidden/>
          </w:rPr>
          <w:tab/>
        </w:r>
        <w:r>
          <w:rPr>
            <w:noProof/>
            <w:webHidden/>
          </w:rPr>
          <w:fldChar w:fldCharType="begin"/>
        </w:r>
        <w:r>
          <w:rPr>
            <w:noProof/>
            <w:webHidden/>
          </w:rPr>
          <w:instrText xml:space="preserve"> PAGEREF _Toc80089413 \h </w:instrText>
        </w:r>
        <w:r>
          <w:rPr>
            <w:noProof/>
            <w:webHidden/>
          </w:rPr>
        </w:r>
        <w:r>
          <w:rPr>
            <w:noProof/>
            <w:webHidden/>
          </w:rPr>
          <w:fldChar w:fldCharType="separate"/>
        </w:r>
        <w:r w:rsidR="00FF34BB">
          <w:rPr>
            <w:noProof/>
            <w:webHidden/>
          </w:rPr>
          <w:t>65</w:t>
        </w:r>
        <w:r>
          <w:rPr>
            <w:noProof/>
            <w:webHidden/>
          </w:rPr>
          <w:fldChar w:fldCharType="end"/>
        </w:r>
      </w:hyperlink>
    </w:p>
    <w:p w:rsidR="00385321" w:rsidRDefault="00385321" w14:paraId="048C54E3" w14:textId="0C8E5252">
      <w:pPr>
        <w:pStyle w:val="TOC3"/>
        <w:tabs>
          <w:tab w:val="left" w:pos="1296"/>
          <w:tab w:val="right" w:leader="dot" w:pos="9350"/>
        </w:tabs>
        <w:rPr>
          <w:rFonts w:asciiTheme="minorHAnsi" w:hAnsiTheme="minorHAnsi" w:cstheme="minorBidi"/>
          <w:noProof/>
          <w:sz w:val="22"/>
          <w:szCs w:val="22"/>
        </w:rPr>
      </w:pPr>
      <w:hyperlink w:history="1" w:anchor="_Toc80089414">
        <w:r w:rsidRPr="009544F6">
          <w:rPr>
            <w:rStyle w:val="Hyperlink"/>
            <w:noProof/>
          </w:rPr>
          <w:t>7.2.2</w:t>
        </w:r>
        <w:r>
          <w:rPr>
            <w:rFonts w:asciiTheme="minorHAnsi" w:hAnsiTheme="minorHAnsi" w:cstheme="minorBidi"/>
            <w:noProof/>
            <w:sz w:val="22"/>
            <w:szCs w:val="22"/>
          </w:rPr>
          <w:tab/>
        </w:r>
        <w:r w:rsidRPr="009544F6">
          <w:rPr>
            <w:rStyle w:val="Hyperlink"/>
            <w:noProof/>
          </w:rPr>
          <w:t>TURN’s Proposal</w:t>
        </w:r>
        <w:r>
          <w:rPr>
            <w:noProof/>
            <w:webHidden/>
          </w:rPr>
          <w:tab/>
        </w:r>
        <w:r>
          <w:rPr>
            <w:noProof/>
            <w:webHidden/>
          </w:rPr>
          <w:fldChar w:fldCharType="begin"/>
        </w:r>
        <w:r>
          <w:rPr>
            <w:noProof/>
            <w:webHidden/>
          </w:rPr>
          <w:instrText xml:space="preserve"> PAGEREF _Toc80089414 \h </w:instrText>
        </w:r>
        <w:r>
          <w:rPr>
            <w:noProof/>
            <w:webHidden/>
          </w:rPr>
        </w:r>
        <w:r>
          <w:rPr>
            <w:noProof/>
            <w:webHidden/>
          </w:rPr>
          <w:fldChar w:fldCharType="separate"/>
        </w:r>
        <w:r w:rsidR="00FF34BB">
          <w:rPr>
            <w:noProof/>
            <w:webHidden/>
          </w:rPr>
          <w:t>69</w:t>
        </w:r>
        <w:r>
          <w:rPr>
            <w:noProof/>
            <w:webHidden/>
          </w:rPr>
          <w:fldChar w:fldCharType="end"/>
        </w:r>
      </w:hyperlink>
    </w:p>
    <w:p w:rsidR="00385321" w:rsidRDefault="00385321" w14:paraId="16A13F77" w14:textId="10AC81FF">
      <w:pPr>
        <w:pStyle w:val="TOC2"/>
        <w:tabs>
          <w:tab w:val="right" w:leader="dot" w:pos="9350"/>
        </w:tabs>
        <w:rPr>
          <w:rFonts w:asciiTheme="minorHAnsi" w:hAnsiTheme="minorHAnsi" w:cstheme="minorBidi"/>
          <w:noProof/>
          <w:sz w:val="22"/>
          <w:szCs w:val="22"/>
        </w:rPr>
      </w:pPr>
      <w:hyperlink w:history="1" w:anchor="_Toc80089415">
        <w:r w:rsidRPr="009544F6">
          <w:rPr>
            <w:rStyle w:val="Hyperlink"/>
            <w:noProof/>
          </w:rPr>
          <w:t>7.3</w:t>
        </w:r>
        <w:r>
          <w:rPr>
            <w:rFonts w:asciiTheme="minorHAnsi" w:hAnsiTheme="minorHAnsi" w:cstheme="minorBidi"/>
            <w:noProof/>
            <w:sz w:val="22"/>
            <w:szCs w:val="22"/>
          </w:rPr>
          <w:tab/>
        </w:r>
        <w:r w:rsidRPr="009544F6">
          <w:rPr>
            <w:rStyle w:val="Hyperlink"/>
            <w:noProof/>
          </w:rPr>
          <w:t>Party Comments on Staff  and Party Proposals</w:t>
        </w:r>
        <w:r>
          <w:rPr>
            <w:noProof/>
            <w:webHidden/>
          </w:rPr>
          <w:tab/>
        </w:r>
        <w:r>
          <w:rPr>
            <w:noProof/>
            <w:webHidden/>
          </w:rPr>
          <w:fldChar w:fldCharType="begin"/>
        </w:r>
        <w:r>
          <w:rPr>
            <w:noProof/>
            <w:webHidden/>
          </w:rPr>
          <w:instrText xml:space="preserve"> PAGEREF _Toc80089415 \h </w:instrText>
        </w:r>
        <w:r>
          <w:rPr>
            <w:noProof/>
            <w:webHidden/>
          </w:rPr>
        </w:r>
        <w:r>
          <w:rPr>
            <w:noProof/>
            <w:webHidden/>
          </w:rPr>
          <w:fldChar w:fldCharType="separate"/>
        </w:r>
        <w:r w:rsidR="00FF34BB">
          <w:rPr>
            <w:noProof/>
            <w:webHidden/>
          </w:rPr>
          <w:t>70</w:t>
        </w:r>
        <w:r>
          <w:rPr>
            <w:noProof/>
            <w:webHidden/>
          </w:rPr>
          <w:fldChar w:fldCharType="end"/>
        </w:r>
      </w:hyperlink>
    </w:p>
    <w:p w:rsidR="00385321" w:rsidRDefault="00385321" w14:paraId="430C7825" w14:textId="0E791E34">
      <w:pPr>
        <w:pStyle w:val="TOC2"/>
        <w:tabs>
          <w:tab w:val="right" w:leader="dot" w:pos="9350"/>
        </w:tabs>
        <w:rPr>
          <w:rFonts w:asciiTheme="minorHAnsi" w:hAnsiTheme="minorHAnsi" w:cstheme="minorBidi"/>
          <w:noProof/>
          <w:sz w:val="22"/>
          <w:szCs w:val="22"/>
        </w:rPr>
      </w:pPr>
      <w:hyperlink w:history="1" w:anchor="_Toc80089416">
        <w:r w:rsidRPr="009544F6">
          <w:rPr>
            <w:rStyle w:val="Hyperlink"/>
            <w:noProof/>
          </w:rPr>
          <w:t>7.4</w:t>
        </w:r>
        <w:r>
          <w:rPr>
            <w:rFonts w:asciiTheme="minorHAnsi" w:hAnsiTheme="minorHAnsi" w:cstheme="minorBidi"/>
            <w:noProof/>
            <w:sz w:val="22"/>
            <w:szCs w:val="22"/>
          </w:rPr>
          <w:tab/>
        </w:r>
        <w:r w:rsidRPr="009544F6">
          <w:rPr>
            <w:rStyle w:val="Hyperlink"/>
            <w:noProof/>
          </w:rPr>
          <w:t>Discussion: Prohibiting All Ancillary Service Fees Except for Third-Party Financial Transaction Fees and Government-Mandated Taxes and Fees</w:t>
        </w:r>
        <w:r>
          <w:rPr>
            <w:noProof/>
            <w:webHidden/>
          </w:rPr>
          <w:tab/>
        </w:r>
        <w:r>
          <w:rPr>
            <w:noProof/>
            <w:webHidden/>
          </w:rPr>
          <w:fldChar w:fldCharType="begin"/>
        </w:r>
        <w:r>
          <w:rPr>
            <w:noProof/>
            <w:webHidden/>
          </w:rPr>
          <w:instrText xml:space="preserve"> PAGEREF _Toc80089416 \h </w:instrText>
        </w:r>
        <w:r>
          <w:rPr>
            <w:noProof/>
            <w:webHidden/>
          </w:rPr>
        </w:r>
        <w:r>
          <w:rPr>
            <w:noProof/>
            <w:webHidden/>
          </w:rPr>
          <w:fldChar w:fldCharType="separate"/>
        </w:r>
        <w:r w:rsidR="00FF34BB">
          <w:rPr>
            <w:noProof/>
            <w:webHidden/>
          </w:rPr>
          <w:t>72</w:t>
        </w:r>
        <w:r>
          <w:rPr>
            <w:noProof/>
            <w:webHidden/>
          </w:rPr>
          <w:fldChar w:fldCharType="end"/>
        </w:r>
      </w:hyperlink>
    </w:p>
    <w:p w:rsidR="00385321" w:rsidRDefault="00385321" w14:paraId="5069FAF5" w14:textId="370E305F">
      <w:pPr>
        <w:pStyle w:val="TOC1"/>
        <w:tabs>
          <w:tab w:val="right" w:leader="dot" w:pos="9350"/>
        </w:tabs>
        <w:rPr>
          <w:rFonts w:asciiTheme="minorHAnsi" w:hAnsiTheme="minorHAnsi" w:cstheme="minorBidi"/>
          <w:noProof/>
          <w:sz w:val="22"/>
          <w:szCs w:val="22"/>
        </w:rPr>
      </w:pPr>
      <w:hyperlink w:history="1" w:anchor="_Toc80089417">
        <w:r w:rsidRPr="009544F6">
          <w:rPr>
            <w:rStyle w:val="Hyperlink"/>
            <w:noProof/>
          </w:rPr>
          <w:t>8.</w:t>
        </w:r>
        <w:r>
          <w:rPr>
            <w:rFonts w:asciiTheme="minorHAnsi" w:hAnsiTheme="minorHAnsi" w:cstheme="minorBidi"/>
            <w:noProof/>
            <w:sz w:val="22"/>
            <w:szCs w:val="22"/>
          </w:rPr>
          <w:tab/>
        </w:r>
        <w:r w:rsidRPr="009544F6">
          <w:rPr>
            <w:rStyle w:val="Hyperlink"/>
            <w:noProof/>
          </w:rPr>
          <w:t>Enforcement and Compliance Requirement</w:t>
        </w:r>
        <w:r>
          <w:rPr>
            <w:noProof/>
            <w:webHidden/>
          </w:rPr>
          <w:tab/>
        </w:r>
        <w:r>
          <w:rPr>
            <w:noProof/>
            <w:webHidden/>
          </w:rPr>
          <w:fldChar w:fldCharType="begin"/>
        </w:r>
        <w:r>
          <w:rPr>
            <w:noProof/>
            <w:webHidden/>
          </w:rPr>
          <w:instrText xml:space="preserve"> PAGEREF _Toc80089417 \h </w:instrText>
        </w:r>
        <w:r>
          <w:rPr>
            <w:noProof/>
            <w:webHidden/>
          </w:rPr>
        </w:r>
        <w:r>
          <w:rPr>
            <w:noProof/>
            <w:webHidden/>
          </w:rPr>
          <w:fldChar w:fldCharType="separate"/>
        </w:r>
        <w:r w:rsidR="00FF34BB">
          <w:rPr>
            <w:noProof/>
            <w:webHidden/>
          </w:rPr>
          <w:t>80</w:t>
        </w:r>
        <w:r>
          <w:rPr>
            <w:noProof/>
            <w:webHidden/>
          </w:rPr>
          <w:fldChar w:fldCharType="end"/>
        </w:r>
      </w:hyperlink>
    </w:p>
    <w:p w:rsidR="00385321" w:rsidRDefault="00385321" w14:paraId="0CCD68D7" w14:textId="2495C4EB">
      <w:pPr>
        <w:pStyle w:val="TOC2"/>
        <w:tabs>
          <w:tab w:val="right" w:leader="dot" w:pos="9350"/>
        </w:tabs>
        <w:rPr>
          <w:rFonts w:asciiTheme="minorHAnsi" w:hAnsiTheme="minorHAnsi" w:cstheme="minorBidi"/>
          <w:noProof/>
          <w:sz w:val="22"/>
          <w:szCs w:val="22"/>
        </w:rPr>
      </w:pPr>
      <w:hyperlink w:history="1" w:anchor="_Toc80089418">
        <w:r w:rsidRPr="009544F6">
          <w:rPr>
            <w:rStyle w:val="Hyperlink"/>
            <w:noProof/>
          </w:rPr>
          <w:t>8.1</w:t>
        </w:r>
        <w:r>
          <w:rPr>
            <w:rFonts w:asciiTheme="minorHAnsi" w:hAnsiTheme="minorHAnsi" w:cstheme="minorBidi"/>
            <w:noProof/>
            <w:sz w:val="22"/>
            <w:szCs w:val="22"/>
          </w:rPr>
          <w:tab/>
        </w:r>
        <w:r w:rsidRPr="009544F6">
          <w:rPr>
            <w:rStyle w:val="Hyperlink"/>
            <w:noProof/>
          </w:rPr>
          <w:t>Party Comments</w:t>
        </w:r>
        <w:r>
          <w:rPr>
            <w:noProof/>
            <w:webHidden/>
          </w:rPr>
          <w:tab/>
        </w:r>
        <w:r>
          <w:rPr>
            <w:noProof/>
            <w:webHidden/>
          </w:rPr>
          <w:fldChar w:fldCharType="begin"/>
        </w:r>
        <w:r>
          <w:rPr>
            <w:noProof/>
            <w:webHidden/>
          </w:rPr>
          <w:instrText xml:space="preserve"> PAGEREF _Toc80089418 \h </w:instrText>
        </w:r>
        <w:r>
          <w:rPr>
            <w:noProof/>
            <w:webHidden/>
          </w:rPr>
        </w:r>
        <w:r>
          <w:rPr>
            <w:noProof/>
            <w:webHidden/>
          </w:rPr>
          <w:fldChar w:fldCharType="separate"/>
        </w:r>
        <w:r w:rsidR="00FF34BB">
          <w:rPr>
            <w:noProof/>
            <w:webHidden/>
          </w:rPr>
          <w:t>82</w:t>
        </w:r>
        <w:r>
          <w:rPr>
            <w:noProof/>
            <w:webHidden/>
          </w:rPr>
          <w:fldChar w:fldCharType="end"/>
        </w:r>
      </w:hyperlink>
    </w:p>
    <w:p w:rsidR="00385321" w:rsidRDefault="00385321" w14:paraId="3F3BBFCB" w14:textId="6E503FF5">
      <w:pPr>
        <w:pStyle w:val="TOC2"/>
        <w:tabs>
          <w:tab w:val="right" w:leader="dot" w:pos="9350"/>
        </w:tabs>
        <w:rPr>
          <w:rFonts w:asciiTheme="minorHAnsi" w:hAnsiTheme="minorHAnsi" w:cstheme="minorBidi"/>
          <w:noProof/>
          <w:sz w:val="22"/>
          <w:szCs w:val="22"/>
        </w:rPr>
      </w:pPr>
      <w:hyperlink w:history="1" w:anchor="_Toc80089419">
        <w:r w:rsidRPr="009544F6">
          <w:rPr>
            <w:rStyle w:val="Hyperlink"/>
            <w:noProof/>
          </w:rPr>
          <w:t>8.2</w:t>
        </w:r>
        <w:r>
          <w:rPr>
            <w:rFonts w:asciiTheme="minorHAnsi" w:hAnsiTheme="minorHAnsi" w:cstheme="minorBidi"/>
            <w:noProof/>
            <w:sz w:val="22"/>
            <w:szCs w:val="22"/>
          </w:rPr>
          <w:tab/>
        </w:r>
        <w:r w:rsidRPr="009544F6">
          <w:rPr>
            <w:rStyle w:val="Hyperlink"/>
            <w:noProof/>
          </w:rPr>
          <w:t>Enforcement Authorization for  Instances of Non-Compliance</w:t>
        </w:r>
        <w:r>
          <w:rPr>
            <w:noProof/>
            <w:webHidden/>
          </w:rPr>
          <w:tab/>
        </w:r>
        <w:r>
          <w:rPr>
            <w:noProof/>
            <w:webHidden/>
          </w:rPr>
          <w:fldChar w:fldCharType="begin"/>
        </w:r>
        <w:r>
          <w:rPr>
            <w:noProof/>
            <w:webHidden/>
          </w:rPr>
          <w:instrText xml:space="preserve"> PAGEREF _Toc80089419 \h </w:instrText>
        </w:r>
        <w:r>
          <w:rPr>
            <w:noProof/>
            <w:webHidden/>
          </w:rPr>
        </w:r>
        <w:r>
          <w:rPr>
            <w:noProof/>
            <w:webHidden/>
          </w:rPr>
          <w:fldChar w:fldCharType="separate"/>
        </w:r>
        <w:r w:rsidR="00FF34BB">
          <w:rPr>
            <w:noProof/>
            <w:webHidden/>
          </w:rPr>
          <w:t>83</w:t>
        </w:r>
        <w:r>
          <w:rPr>
            <w:noProof/>
            <w:webHidden/>
          </w:rPr>
          <w:fldChar w:fldCharType="end"/>
        </w:r>
      </w:hyperlink>
    </w:p>
    <w:p w:rsidR="00385321" w:rsidRDefault="00385321" w14:paraId="7239B7B8" w14:textId="1F4E18DD">
      <w:pPr>
        <w:pStyle w:val="TOC1"/>
        <w:tabs>
          <w:tab w:val="right" w:leader="dot" w:pos="9350"/>
        </w:tabs>
        <w:rPr>
          <w:rFonts w:asciiTheme="minorHAnsi" w:hAnsiTheme="minorHAnsi" w:cstheme="minorBidi"/>
          <w:noProof/>
          <w:sz w:val="22"/>
          <w:szCs w:val="22"/>
        </w:rPr>
      </w:pPr>
      <w:hyperlink w:history="1" w:anchor="_Toc80089420">
        <w:r w:rsidRPr="009544F6">
          <w:rPr>
            <w:rStyle w:val="Hyperlink"/>
            <w:noProof/>
          </w:rPr>
          <w:t>9.</w:t>
        </w:r>
        <w:r>
          <w:rPr>
            <w:rFonts w:asciiTheme="minorHAnsi" w:hAnsiTheme="minorHAnsi" w:cstheme="minorBidi"/>
            <w:noProof/>
            <w:sz w:val="22"/>
            <w:szCs w:val="22"/>
          </w:rPr>
          <w:tab/>
        </w:r>
        <w:r w:rsidRPr="009544F6">
          <w:rPr>
            <w:rStyle w:val="Hyperlink"/>
            <w:noProof/>
          </w:rPr>
          <w:t>Commission Environmental and  Social Justice Action Plan</w:t>
        </w:r>
        <w:r>
          <w:rPr>
            <w:noProof/>
            <w:webHidden/>
          </w:rPr>
          <w:tab/>
        </w:r>
        <w:r>
          <w:rPr>
            <w:noProof/>
            <w:webHidden/>
          </w:rPr>
          <w:fldChar w:fldCharType="begin"/>
        </w:r>
        <w:r>
          <w:rPr>
            <w:noProof/>
            <w:webHidden/>
          </w:rPr>
          <w:instrText xml:space="preserve"> PAGEREF _Toc80089420 \h </w:instrText>
        </w:r>
        <w:r>
          <w:rPr>
            <w:noProof/>
            <w:webHidden/>
          </w:rPr>
        </w:r>
        <w:r>
          <w:rPr>
            <w:noProof/>
            <w:webHidden/>
          </w:rPr>
          <w:fldChar w:fldCharType="separate"/>
        </w:r>
        <w:r w:rsidR="00FF34BB">
          <w:rPr>
            <w:noProof/>
            <w:webHidden/>
          </w:rPr>
          <w:t>83</w:t>
        </w:r>
        <w:r>
          <w:rPr>
            <w:noProof/>
            <w:webHidden/>
          </w:rPr>
          <w:fldChar w:fldCharType="end"/>
        </w:r>
      </w:hyperlink>
    </w:p>
    <w:p w:rsidR="00385321" w:rsidRDefault="00385321" w14:paraId="2B49FA0B" w14:textId="5E332DE6">
      <w:pPr>
        <w:pStyle w:val="TOC1"/>
        <w:tabs>
          <w:tab w:val="right" w:leader="dot" w:pos="9350"/>
        </w:tabs>
        <w:rPr>
          <w:rFonts w:asciiTheme="minorHAnsi" w:hAnsiTheme="minorHAnsi" w:cstheme="minorBidi"/>
          <w:noProof/>
          <w:sz w:val="22"/>
          <w:szCs w:val="22"/>
        </w:rPr>
      </w:pPr>
      <w:hyperlink w:history="1" w:anchor="_Toc80089421">
        <w:r w:rsidRPr="009544F6">
          <w:rPr>
            <w:rStyle w:val="Hyperlink"/>
            <w:noProof/>
          </w:rPr>
          <w:t>10.</w:t>
        </w:r>
        <w:r>
          <w:rPr>
            <w:rFonts w:asciiTheme="minorHAnsi" w:hAnsiTheme="minorHAnsi" w:cstheme="minorBidi"/>
            <w:noProof/>
            <w:sz w:val="22"/>
            <w:szCs w:val="22"/>
          </w:rPr>
          <w:tab/>
        </w:r>
        <w:r w:rsidRPr="009544F6">
          <w:rPr>
            <w:rStyle w:val="Hyperlink"/>
            <w:noProof/>
          </w:rPr>
          <w:t>Streamlining the R.20-10-002 Service List</w:t>
        </w:r>
        <w:r>
          <w:rPr>
            <w:noProof/>
            <w:webHidden/>
          </w:rPr>
          <w:tab/>
        </w:r>
        <w:r>
          <w:rPr>
            <w:noProof/>
            <w:webHidden/>
          </w:rPr>
          <w:fldChar w:fldCharType="begin"/>
        </w:r>
        <w:r>
          <w:rPr>
            <w:noProof/>
            <w:webHidden/>
          </w:rPr>
          <w:instrText xml:space="preserve"> PAGEREF _Toc80089421 \h </w:instrText>
        </w:r>
        <w:r>
          <w:rPr>
            <w:noProof/>
            <w:webHidden/>
          </w:rPr>
        </w:r>
        <w:r>
          <w:rPr>
            <w:noProof/>
            <w:webHidden/>
          </w:rPr>
          <w:fldChar w:fldCharType="separate"/>
        </w:r>
        <w:r w:rsidR="00FF34BB">
          <w:rPr>
            <w:noProof/>
            <w:webHidden/>
          </w:rPr>
          <w:t>87</w:t>
        </w:r>
        <w:r>
          <w:rPr>
            <w:noProof/>
            <w:webHidden/>
          </w:rPr>
          <w:fldChar w:fldCharType="end"/>
        </w:r>
      </w:hyperlink>
    </w:p>
    <w:p w:rsidR="00385321" w:rsidRDefault="00385321" w14:paraId="500A3690" w14:textId="7E955BB2">
      <w:pPr>
        <w:pStyle w:val="TOC2"/>
        <w:tabs>
          <w:tab w:val="right" w:leader="dot" w:pos="9350"/>
        </w:tabs>
        <w:rPr>
          <w:rFonts w:asciiTheme="minorHAnsi" w:hAnsiTheme="minorHAnsi" w:cstheme="minorBidi"/>
          <w:noProof/>
          <w:sz w:val="22"/>
          <w:szCs w:val="22"/>
        </w:rPr>
      </w:pPr>
      <w:hyperlink w:history="1" w:anchor="_Toc80089422">
        <w:r w:rsidRPr="009544F6">
          <w:rPr>
            <w:rStyle w:val="Hyperlink"/>
            <w:noProof/>
          </w:rPr>
          <w:t>10.1</w:t>
        </w:r>
        <w:r>
          <w:rPr>
            <w:rFonts w:asciiTheme="minorHAnsi" w:hAnsiTheme="minorHAnsi" w:cstheme="minorBidi"/>
            <w:noProof/>
            <w:sz w:val="22"/>
            <w:szCs w:val="22"/>
          </w:rPr>
          <w:tab/>
        </w:r>
        <w:r w:rsidRPr="009544F6">
          <w:rPr>
            <w:rStyle w:val="Hyperlink"/>
            <w:noProof/>
          </w:rPr>
          <w:t>Transfer of Parties to  “Information-Only” Status</w:t>
        </w:r>
        <w:r>
          <w:rPr>
            <w:noProof/>
            <w:webHidden/>
          </w:rPr>
          <w:tab/>
        </w:r>
        <w:r>
          <w:rPr>
            <w:noProof/>
            <w:webHidden/>
          </w:rPr>
          <w:fldChar w:fldCharType="begin"/>
        </w:r>
        <w:r>
          <w:rPr>
            <w:noProof/>
            <w:webHidden/>
          </w:rPr>
          <w:instrText xml:space="preserve"> PAGEREF _Toc80089422 \h </w:instrText>
        </w:r>
        <w:r>
          <w:rPr>
            <w:noProof/>
            <w:webHidden/>
          </w:rPr>
        </w:r>
        <w:r>
          <w:rPr>
            <w:noProof/>
            <w:webHidden/>
          </w:rPr>
          <w:fldChar w:fldCharType="separate"/>
        </w:r>
        <w:r w:rsidR="00FF34BB">
          <w:rPr>
            <w:noProof/>
            <w:webHidden/>
          </w:rPr>
          <w:t>88</w:t>
        </w:r>
        <w:r>
          <w:rPr>
            <w:noProof/>
            <w:webHidden/>
          </w:rPr>
          <w:fldChar w:fldCharType="end"/>
        </w:r>
      </w:hyperlink>
    </w:p>
    <w:p w:rsidR="00385321" w:rsidRDefault="00385321" w14:paraId="32DBFF7D" w14:textId="1EC9CC66">
      <w:pPr>
        <w:pStyle w:val="TOC2"/>
        <w:tabs>
          <w:tab w:val="right" w:leader="dot" w:pos="9350"/>
        </w:tabs>
        <w:rPr>
          <w:rFonts w:asciiTheme="minorHAnsi" w:hAnsiTheme="minorHAnsi" w:cstheme="minorBidi"/>
          <w:noProof/>
          <w:sz w:val="22"/>
          <w:szCs w:val="22"/>
        </w:rPr>
      </w:pPr>
      <w:hyperlink w:history="1" w:anchor="_Toc80089423">
        <w:r w:rsidRPr="009544F6">
          <w:rPr>
            <w:rStyle w:val="Hyperlink"/>
            <w:noProof/>
          </w:rPr>
          <w:t>10.2</w:t>
        </w:r>
        <w:r>
          <w:rPr>
            <w:rFonts w:asciiTheme="minorHAnsi" w:hAnsiTheme="minorHAnsi" w:cstheme="minorBidi"/>
            <w:noProof/>
            <w:sz w:val="22"/>
            <w:szCs w:val="22"/>
          </w:rPr>
          <w:tab/>
        </w:r>
        <w:r w:rsidRPr="009544F6">
          <w:rPr>
            <w:rStyle w:val="Hyperlink"/>
            <w:noProof/>
          </w:rPr>
          <w:t>Updated R.20-10-002 Service List</w:t>
        </w:r>
        <w:r>
          <w:rPr>
            <w:noProof/>
            <w:webHidden/>
          </w:rPr>
          <w:tab/>
        </w:r>
        <w:r>
          <w:rPr>
            <w:noProof/>
            <w:webHidden/>
          </w:rPr>
          <w:fldChar w:fldCharType="begin"/>
        </w:r>
        <w:r>
          <w:rPr>
            <w:noProof/>
            <w:webHidden/>
          </w:rPr>
          <w:instrText xml:space="preserve"> PAGEREF _Toc80089423 \h </w:instrText>
        </w:r>
        <w:r>
          <w:rPr>
            <w:noProof/>
            <w:webHidden/>
          </w:rPr>
        </w:r>
        <w:r>
          <w:rPr>
            <w:noProof/>
            <w:webHidden/>
          </w:rPr>
          <w:fldChar w:fldCharType="separate"/>
        </w:r>
        <w:r w:rsidR="00FF34BB">
          <w:rPr>
            <w:noProof/>
            <w:webHidden/>
          </w:rPr>
          <w:t>89</w:t>
        </w:r>
        <w:r>
          <w:rPr>
            <w:noProof/>
            <w:webHidden/>
          </w:rPr>
          <w:fldChar w:fldCharType="end"/>
        </w:r>
      </w:hyperlink>
    </w:p>
    <w:p w:rsidR="00385321" w:rsidRDefault="00385321" w14:paraId="3CE53BB2" w14:textId="40336D14">
      <w:pPr>
        <w:pStyle w:val="TOC1"/>
        <w:tabs>
          <w:tab w:val="right" w:leader="dot" w:pos="9350"/>
        </w:tabs>
        <w:rPr>
          <w:rFonts w:asciiTheme="minorHAnsi" w:hAnsiTheme="minorHAnsi" w:cstheme="minorBidi"/>
          <w:noProof/>
          <w:sz w:val="22"/>
          <w:szCs w:val="22"/>
        </w:rPr>
      </w:pPr>
      <w:hyperlink w:history="1" w:anchor="_Toc80089424">
        <w:r w:rsidRPr="009544F6">
          <w:rPr>
            <w:rStyle w:val="Hyperlink"/>
            <w:noProof/>
          </w:rPr>
          <w:t>11.</w:t>
        </w:r>
        <w:r>
          <w:rPr>
            <w:rFonts w:asciiTheme="minorHAnsi" w:hAnsiTheme="minorHAnsi" w:cstheme="minorBidi"/>
            <w:noProof/>
            <w:sz w:val="22"/>
            <w:szCs w:val="22"/>
          </w:rPr>
          <w:tab/>
        </w:r>
        <w:r w:rsidRPr="009544F6">
          <w:rPr>
            <w:rStyle w:val="Hyperlink"/>
            <w:noProof/>
          </w:rPr>
          <w:t>Comments on Proposed Decision</w:t>
        </w:r>
        <w:r>
          <w:rPr>
            <w:noProof/>
            <w:webHidden/>
          </w:rPr>
          <w:tab/>
        </w:r>
        <w:r>
          <w:rPr>
            <w:noProof/>
            <w:webHidden/>
          </w:rPr>
          <w:fldChar w:fldCharType="begin"/>
        </w:r>
        <w:r>
          <w:rPr>
            <w:noProof/>
            <w:webHidden/>
          </w:rPr>
          <w:instrText xml:space="preserve"> PAGEREF _Toc80089424 \h </w:instrText>
        </w:r>
        <w:r>
          <w:rPr>
            <w:noProof/>
            <w:webHidden/>
          </w:rPr>
        </w:r>
        <w:r>
          <w:rPr>
            <w:noProof/>
            <w:webHidden/>
          </w:rPr>
          <w:fldChar w:fldCharType="separate"/>
        </w:r>
        <w:r w:rsidR="00FF34BB">
          <w:rPr>
            <w:noProof/>
            <w:webHidden/>
          </w:rPr>
          <w:t>91</w:t>
        </w:r>
        <w:r>
          <w:rPr>
            <w:noProof/>
            <w:webHidden/>
          </w:rPr>
          <w:fldChar w:fldCharType="end"/>
        </w:r>
      </w:hyperlink>
    </w:p>
    <w:p w:rsidR="00385321" w:rsidRDefault="00385321" w14:paraId="412FFAF9" w14:textId="0C0F4AF3">
      <w:pPr>
        <w:pStyle w:val="TOC1"/>
        <w:tabs>
          <w:tab w:val="right" w:leader="dot" w:pos="9350"/>
        </w:tabs>
        <w:rPr>
          <w:rFonts w:asciiTheme="minorHAnsi" w:hAnsiTheme="minorHAnsi" w:cstheme="minorBidi"/>
          <w:noProof/>
          <w:sz w:val="22"/>
          <w:szCs w:val="22"/>
        </w:rPr>
      </w:pPr>
      <w:hyperlink w:history="1" w:anchor="_Toc80089426">
        <w:r w:rsidRPr="009544F6">
          <w:rPr>
            <w:rStyle w:val="Hyperlink"/>
            <w:noProof/>
          </w:rPr>
          <w:t>12.</w:t>
        </w:r>
        <w:r>
          <w:rPr>
            <w:rFonts w:asciiTheme="minorHAnsi" w:hAnsiTheme="minorHAnsi" w:cstheme="minorBidi"/>
            <w:noProof/>
            <w:sz w:val="22"/>
            <w:szCs w:val="22"/>
          </w:rPr>
          <w:tab/>
        </w:r>
        <w:r w:rsidRPr="009544F6">
          <w:rPr>
            <w:rStyle w:val="Hyperlink"/>
            <w:noProof/>
          </w:rPr>
          <w:t>Assignment of Proceeding</w:t>
        </w:r>
        <w:r>
          <w:rPr>
            <w:noProof/>
            <w:webHidden/>
          </w:rPr>
          <w:tab/>
        </w:r>
        <w:r>
          <w:rPr>
            <w:noProof/>
            <w:webHidden/>
          </w:rPr>
          <w:fldChar w:fldCharType="begin"/>
        </w:r>
        <w:r>
          <w:rPr>
            <w:noProof/>
            <w:webHidden/>
          </w:rPr>
          <w:instrText xml:space="preserve"> PAGEREF _Toc80089426 \h </w:instrText>
        </w:r>
        <w:r>
          <w:rPr>
            <w:noProof/>
            <w:webHidden/>
          </w:rPr>
        </w:r>
        <w:r>
          <w:rPr>
            <w:noProof/>
            <w:webHidden/>
          </w:rPr>
          <w:fldChar w:fldCharType="separate"/>
        </w:r>
        <w:r w:rsidR="00FF34BB">
          <w:rPr>
            <w:noProof/>
            <w:webHidden/>
          </w:rPr>
          <w:t>103</w:t>
        </w:r>
        <w:r>
          <w:rPr>
            <w:noProof/>
            <w:webHidden/>
          </w:rPr>
          <w:fldChar w:fldCharType="end"/>
        </w:r>
      </w:hyperlink>
    </w:p>
    <w:p w:rsidR="00385321" w:rsidRDefault="00385321" w14:paraId="68BBFE18" w14:textId="39EB04A1">
      <w:pPr>
        <w:pStyle w:val="TOC1"/>
        <w:tabs>
          <w:tab w:val="right" w:leader="dot" w:pos="9350"/>
        </w:tabs>
        <w:rPr>
          <w:rFonts w:asciiTheme="minorHAnsi" w:hAnsiTheme="minorHAnsi" w:cstheme="minorBidi"/>
          <w:noProof/>
          <w:sz w:val="22"/>
          <w:szCs w:val="22"/>
        </w:rPr>
      </w:pPr>
      <w:hyperlink w:history="1" w:anchor="_Toc80089427">
        <w:r w:rsidRPr="009544F6">
          <w:rPr>
            <w:rStyle w:val="Hyperlink"/>
            <w:noProof/>
          </w:rPr>
          <w:t>Findings of Fact</w:t>
        </w:r>
        <w:r>
          <w:rPr>
            <w:noProof/>
            <w:webHidden/>
          </w:rPr>
          <w:tab/>
        </w:r>
        <w:r>
          <w:rPr>
            <w:noProof/>
            <w:webHidden/>
          </w:rPr>
          <w:fldChar w:fldCharType="begin"/>
        </w:r>
        <w:r>
          <w:rPr>
            <w:noProof/>
            <w:webHidden/>
          </w:rPr>
          <w:instrText xml:space="preserve"> PAGEREF _Toc80089427 \h </w:instrText>
        </w:r>
        <w:r>
          <w:rPr>
            <w:noProof/>
            <w:webHidden/>
          </w:rPr>
        </w:r>
        <w:r>
          <w:rPr>
            <w:noProof/>
            <w:webHidden/>
          </w:rPr>
          <w:fldChar w:fldCharType="separate"/>
        </w:r>
        <w:r w:rsidR="00FF34BB">
          <w:rPr>
            <w:noProof/>
            <w:webHidden/>
          </w:rPr>
          <w:t>103</w:t>
        </w:r>
        <w:r>
          <w:rPr>
            <w:noProof/>
            <w:webHidden/>
          </w:rPr>
          <w:fldChar w:fldCharType="end"/>
        </w:r>
      </w:hyperlink>
    </w:p>
    <w:p w:rsidR="00385321" w:rsidRDefault="00385321" w14:paraId="0F0FBE2E" w14:textId="50ADF0DE">
      <w:pPr>
        <w:pStyle w:val="TOC1"/>
        <w:tabs>
          <w:tab w:val="right" w:leader="dot" w:pos="9350"/>
        </w:tabs>
        <w:rPr>
          <w:rFonts w:asciiTheme="minorHAnsi" w:hAnsiTheme="minorHAnsi" w:cstheme="minorBidi"/>
          <w:noProof/>
          <w:sz w:val="22"/>
          <w:szCs w:val="22"/>
        </w:rPr>
      </w:pPr>
      <w:hyperlink w:history="1" w:anchor="_Toc80089428">
        <w:r w:rsidRPr="009544F6">
          <w:rPr>
            <w:rStyle w:val="Hyperlink"/>
            <w:noProof/>
          </w:rPr>
          <w:t>Conclusions of Law</w:t>
        </w:r>
        <w:r>
          <w:rPr>
            <w:noProof/>
            <w:webHidden/>
          </w:rPr>
          <w:tab/>
        </w:r>
        <w:r>
          <w:rPr>
            <w:noProof/>
            <w:webHidden/>
          </w:rPr>
          <w:fldChar w:fldCharType="begin"/>
        </w:r>
        <w:r>
          <w:rPr>
            <w:noProof/>
            <w:webHidden/>
          </w:rPr>
          <w:instrText xml:space="preserve"> PAGEREF _Toc80089428 \h </w:instrText>
        </w:r>
        <w:r>
          <w:rPr>
            <w:noProof/>
            <w:webHidden/>
          </w:rPr>
        </w:r>
        <w:r>
          <w:rPr>
            <w:noProof/>
            <w:webHidden/>
          </w:rPr>
          <w:fldChar w:fldCharType="separate"/>
        </w:r>
        <w:r w:rsidR="00FF34BB">
          <w:rPr>
            <w:noProof/>
            <w:webHidden/>
          </w:rPr>
          <w:t>109</w:t>
        </w:r>
        <w:r>
          <w:rPr>
            <w:noProof/>
            <w:webHidden/>
          </w:rPr>
          <w:fldChar w:fldCharType="end"/>
        </w:r>
      </w:hyperlink>
    </w:p>
    <w:p w:rsidR="00385321" w:rsidRDefault="00385321" w14:paraId="69FFADEB" w14:textId="24CFA936">
      <w:pPr>
        <w:pStyle w:val="TOC1"/>
        <w:tabs>
          <w:tab w:val="right" w:leader="dot" w:pos="9350"/>
        </w:tabs>
        <w:rPr>
          <w:rFonts w:asciiTheme="minorHAnsi" w:hAnsiTheme="minorHAnsi" w:cstheme="minorBidi"/>
          <w:noProof/>
          <w:sz w:val="22"/>
          <w:szCs w:val="22"/>
        </w:rPr>
      </w:pPr>
      <w:hyperlink w:history="1" w:anchor="_Toc80089429">
        <w:r w:rsidRPr="009544F6">
          <w:rPr>
            <w:rStyle w:val="Hyperlink"/>
            <w:noProof/>
          </w:rPr>
          <w:t>ORDER</w:t>
        </w:r>
        <w:r>
          <w:rPr>
            <w:noProof/>
            <w:webHidden/>
          </w:rPr>
          <w:tab/>
        </w:r>
        <w:r>
          <w:rPr>
            <w:noProof/>
            <w:webHidden/>
          </w:rPr>
          <w:fldChar w:fldCharType="begin"/>
        </w:r>
        <w:r>
          <w:rPr>
            <w:noProof/>
            <w:webHidden/>
          </w:rPr>
          <w:instrText xml:space="preserve"> PAGEREF _Toc80089429 \h </w:instrText>
        </w:r>
        <w:r>
          <w:rPr>
            <w:noProof/>
            <w:webHidden/>
          </w:rPr>
        </w:r>
        <w:r>
          <w:rPr>
            <w:noProof/>
            <w:webHidden/>
          </w:rPr>
          <w:fldChar w:fldCharType="separate"/>
        </w:r>
        <w:r w:rsidR="00FF34BB">
          <w:rPr>
            <w:noProof/>
            <w:webHidden/>
          </w:rPr>
          <w:t>115</w:t>
        </w:r>
        <w:r>
          <w:rPr>
            <w:noProof/>
            <w:webHidden/>
          </w:rPr>
          <w:fldChar w:fldCharType="end"/>
        </w:r>
      </w:hyperlink>
    </w:p>
    <w:p w:rsidRPr="00D50119" w:rsidR="00385321" w:rsidP="007E0FEE" w:rsidRDefault="00385321" w14:paraId="6ED62133" w14:textId="71EA9D1E">
      <w:pPr>
        <w:tabs>
          <w:tab w:val="right" w:pos="9360"/>
        </w:tabs>
      </w:pPr>
      <w:r>
        <w:fldChar w:fldCharType="end"/>
      </w:r>
    </w:p>
    <w:p w:rsidRPr="00CA3AC1" w:rsidR="00D44DB6" w:rsidP="00CA3AC1" w:rsidRDefault="00CA3AC1" w14:paraId="7FF21B69" w14:textId="0ACE5AAD">
      <w:pPr>
        <w:spacing w:before="230" w:line="274" w:lineRule="exact"/>
        <w:ind w:left="1890" w:right="90" w:hanging="1890"/>
        <w:rPr>
          <w:rFonts w:ascii="Book Antiqua" w:hAnsi="Book Antiqua" w:cs="Arial"/>
          <w:iCs/>
          <w:sz w:val="26"/>
          <w:szCs w:val="26"/>
        </w:rPr>
      </w:pPr>
      <w:r w:rsidRPr="00CA3AC1">
        <w:rPr>
          <w:rFonts w:ascii="Book Antiqua" w:hAnsi="Book Antiqua" w:cs="Arial"/>
          <w:b/>
          <w:bCs/>
          <w:iCs/>
          <w:sz w:val="26"/>
          <w:szCs w:val="26"/>
        </w:rPr>
        <w:t>APPENDIX A</w:t>
      </w:r>
      <w:r w:rsidRPr="00CA3AC1">
        <w:rPr>
          <w:rFonts w:ascii="Book Antiqua" w:hAnsi="Book Antiqua" w:cs="Arial"/>
          <w:iCs/>
          <w:sz w:val="26"/>
          <w:szCs w:val="26"/>
        </w:rPr>
        <w:t xml:space="preserve"> - </w:t>
      </w:r>
      <w:r w:rsidRPr="00CA3AC1">
        <w:rPr>
          <w:rFonts w:ascii="Book Antiqua" w:hAnsi="Book Antiqua"/>
          <w:b/>
          <w:sz w:val="26"/>
          <w:szCs w:val="26"/>
        </w:rPr>
        <w:t xml:space="preserve">REVISED STAFF PROPOSAL Interim Rate </w:t>
      </w:r>
      <w:r w:rsidR="00385321">
        <w:rPr>
          <w:rFonts w:ascii="Book Antiqua" w:hAnsi="Book Antiqua"/>
          <w:b/>
          <w:sz w:val="26"/>
          <w:szCs w:val="26"/>
        </w:rPr>
        <w:br/>
      </w:r>
      <w:r w:rsidRPr="00CA3AC1">
        <w:rPr>
          <w:rFonts w:ascii="Book Antiqua" w:hAnsi="Book Antiqua"/>
          <w:b/>
          <w:sz w:val="26"/>
          <w:szCs w:val="26"/>
        </w:rPr>
        <w:t>Relief for Inmate Calling Services</w:t>
      </w:r>
    </w:p>
    <w:p w:rsidR="00CA3AC1" w:rsidP="00D44DB6" w:rsidRDefault="00CA3AC1" w14:paraId="4A365168" w14:textId="77777777">
      <w:pPr>
        <w:rPr>
          <w:rFonts w:cs="Arial"/>
          <w:iCs/>
          <w:szCs w:val="26"/>
        </w:rPr>
      </w:pPr>
    </w:p>
    <w:p w:rsidRPr="00CA3AC1" w:rsidR="00CA3AC1" w:rsidP="00D44DB6" w:rsidRDefault="00CA3AC1" w14:paraId="1101649F" w14:textId="448C0205">
      <w:pPr>
        <w:rPr>
          <w:rFonts w:cs="Arial"/>
          <w:iCs/>
          <w:szCs w:val="26"/>
        </w:rPr>
        <w:sectPr w:rsidRPr="00CA3AC1" w:rsidR="00CA3AC1"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p>
    <w:p w:rsidR="0098655A" w:rsidP="00D82A43" w:rsidRDefault="0007355B" w14:paraId="7D7DDC48" w14:textId="2DD72311">
      <w:pPr>
        <w:pStyle w:val="Main"/>
        <w:spacing w:after="240"/>
      </w:pPr>
      <w:bookmarkStart w:name="_Toc80089378" w:id="0"/>
      <w:r>
        <w:lastRenderedPageBreak/>
        <w:t xml:space="preserve">DECISION ADOPTING INTERIM RATE RELIEF </w:t>
      </w:r>
      <w:r w:rsidR="00F5468E">
        <w:br/>
      </w:r>
      <w:r w:rsidR="00D906EB">
        <w:t>FOR INCARCERATED PERSONS</w:t>
      </w:r>
      <w:r w:rsidR="0034024C">
        <w:t xml:space="preserve"> </w:t>
      </w:r>
      <w:r w:rsidR="00D906EB">
        <w:t>CALLING SERVICES</w:t>
      </w:r>
      <w:bookmarkEnd w:id="0"/>
    </w:p>
    <w:p w:rsidR="005A148C" w:rsidP="005A148C" w:rsidRDefault="005A148C" w14:paraId="6078C305" w14:textId="77777777">
      <w:pPr>
        <w:pStyle w:val="Dummy"/>
      </w:pPr>
      <w:bookmarkStart w:name="_Toc8123714" w:id="1"/>
      <w:bookmarkStart w:name="_Toc80089379" w:id="2"/>
      <w:r>
        <w:t>Summary</w:t>
      </w:r>
      <w:bookmarkEnd w:id="1"/>
      <w:bookmarkEnd w:id="2"/>
    </w:p>
    <w:p w:rsidR="00F92075" w:rsidP="00040561" w:rsidRDefault="005A148C" w14:paraId="1706DA61" w14:textId="5A6699BE">
      <w:pPr>
        <w:pStyle w:val="Standard"/>
        <w:ind w:firstLine="720"/>
        <w:rPr>
          <w:sz w:val="26"/>
          <w:szCs w:val="26"/>
        </w:rPr>
      </w:pPr>
      <w:r w:rsidRPr="00D351EE">
        <w:rPr>
          <w:sz w:val="26"/>
          <w:szCs w:val="26"/>
        </w:rPr>
        <w:t>Th</w:t>
      </w:r>
      <w:r w:rsidRPr="00D351EE" w:rsidR="00517422">
        <w:rPr>
          <w:sz w:val="26"/>
          <w:szCs w:val="26"/>
        </w:rPr>
        <w:t xml:space="preserve">is decision </w:t>
      </w:r>
      <w:r w:rsidRPr="00D351EE" w:rsidR="00A250A9">
        <w:rPr>
          <w:sz w:val="26"/>
          <w:szCs w:val="26"/>
        </w:rPr>
        <w:t>adopts interim caps on</w:t>
      </w:r>
      <w:r w:rsidRPr="00D351EE" w:rsidR="00BD29F3">
        <w:rPr>
          <w:sz w:val="26"/>
          <w:szCs w:val="26"/>
        </w:rPr>
        <w:t xml:space="preserve"> </w:t>
      </w:r>
      <w:r w:rsidRPr="00D351EE" w:rsidR="00A4183F">
        <w:rPr>
          <w:sz w:val="26"/>
          <w:szCs w:val="26"/>
        </w:rPr>
        <w:t>int</w:t>
      </w:r>
      <w:r w:rsidRPr="00D351EE" w:rsidR="009322AE">
        <w:rPr>
          <w:sz w:val="26"/>
          <w:szCs w:val="26"/>
        </w:rPr>
        <w:t>ra</w:t>
      </w:r>
      <w:r w:rsidRPr="00D351EE" w:rsidR="00A4183F">
        <w:rPr>
          <w:sz w:val="26"/>
          <w:szCs w:val="26"/>
        </w:rPr>
        <w:t>state rate</w:t>
      </w:r>
      <w:r w:rsidRPr="00D351EE" w:rsidR="00F262D7">
        <w:rPr>
          <w:sz w:val="26"/>
          <w:szCs w:val="26"/>
        </w:rPr>
        <w:t xml:space="preserve">s for incarcerated persons calling services (IPCS) </w:t>
      </w:r>
      <w:r w:rsidRPr="00D351EE" w:rsidR="00A250A9">
        <w:rPr>
          <w:sz w:val="26"/>
          <w:szCs w:val="26"/>
        </w:rPr>
        <w:t xml:space="preserve">of </w:t>
      </w:r>
      <w:r w:rsidR="00462121">
        <w:rPr>
          <w:sz w:val="26"/>
          <w:szCs w:val="26"/>
        </w:rPr>
        <w:t>seven</w:t>
      </w:r>
      <w:r w:rsidRPr="00D351EE" w:rsidR="00A250A9">
        <w:rPr>
          <w:sz w:val="26"/>
          <w:szCs w:val="26"/>
        </w:rPr>
        <w:t xml:space="preserve"> cents </w:t>
      </w:r>
      <w:r w:rsidR="003127E0">
        <w:rPr>
          <w:sz w:val="26"/>
          <w:szCs w:val="26"/>
        </w:rPr>
        <w:t xml:space="preserve">($0.07) </w:t>
      </w:r>
      <w:r w:rsidRPr="00D351EE" w:rsidR="00A4183F">
        <w:rPr>
          <w:sz w:val="26"/>
          <w:szCs w:val="26"/>
        </w:rPr>
        <w:t>per minute</w:t>
      </w:r>
      <w:r w:rsidR="00676FD6">
        <w:rPr>
          <w:sz w:val="26"/>
          <w:szCs w:val="26"/>
        </w:rPr>
        <w:t xml:space="preserve"> </w:t>
      </w:r>
      <w:r w:rsidRPr="00D351EE" w:rsidR="00A4183F">
        <w:rPr>
          <w:sz w:val="26"/>
          <w:szCs w:val="26"/>
        </w:rPr>
        <w:t>for debit</w:t>
      </w:r>
      <w:r w:rsidR="00462121">
        <w:rPr>
          <w:sz w:val="26"/>
          <w:szCs w:val="26"/>
        </w:rPr>
        <w:t>,</w:t>
      </w:r>
      <w:r w:rsidRPr="00D351EE" w:rsidR="00A4183F">
        <w:rPr>
          <w:sz w:val="26"/>
          <w:szCs w:val="26"/>
        </w:rPr>
        <w:t xml:space="preserve"> prepaid calls and collect calls</w:t>
      </w:r>
      <w:r w:rsidRPr="00D351EE" w:rsidR="00F262D7">
        <w:rPr>
          <w:sz w:val="26"/>
          <w:szCs w:val="26"/>
        </w:rPr>
        <w:t xml:space="preserve">.  </w:t>
      </w:r>
      <w:r w:rsidR="00D646E5">
        <w:rPr>
          <w:sz w:val="26"/>
          <w:szCs w:val="26"/>
        </w:rPr>
        <w:t xml:space="preserve">It </w:t>
      </w:r>
      <w:r w:rsidR="00CD4452">
        <w:rPr>
          <w:sz w:val="26"/>
          <w:szCs w:val="26"/>
        </w:rPr>
        <w:t xml:space="preserve">prohibits </w:t>
      </w:r>
      <w:r w:rsidR="000A3C7F">
        <w:rPr>
          <w:sz w:val="26"/>
          <w:szCs w:val="26"/>
        </w:rPr>
        <w:t xml:space="preserve">the </w:t>
      </w:r>
      <w:r w:rsidR="00CD4452">
        <w:rPr>
          <w:sz w:val="26"/>
          <w:szCs w:val="26"/>
        </w:rPr>
        <w:t xml:space="preserve">imposition of </w:t>
      </w:r>
      <w:r w:rsidR="00B43C2C">
        <w:rPr>
          <w:sz w:val="26"/>
          <w:szCs w:val="26"/>
        </w:rPr>
        <w:t>single-call</w:t>
      </w:r>
      <w:r w:rsidR="00CE113C">
        <w:rPr>
          <w:sz w:val="26"/>
          <w:szCs w:val="26"/>
        </w:rPr>
        <w:t xml:space="preserve">, paper bill, live agent, and automated payment fees </w:t>
      </w:r>
      <w:r w:rsidR="005412E1">
        <w:rPr>
          <w:sz w:val="26"/>
          <w:szCs w:val="26"/>
        </w:rPr>
        <w:t xml:space="preserve">in association with </w:t>
      </w:r>
      <w:r w:rsidR="008647CB">
        <w:rPr>
          <w:sz w:val="26"/>
          <w:szCs w:val="26"/>
        </w:rPr>
        <w:t xml:space="preserve">intrastate </w:t>
      </w:r>
      <w:r w:rsidR="00CE38D8">
        <w:rPr>
          <w:sz w:val="26"/>
          <w:szCs w:val="26"/>
        </w:rPr>
        <w:t xml:space="preserve">and jurisdictionally mixed </w:t>
      </w:r>
      <w:r w:rsidR="008647CB">
        <w:rPr>
          <w:sz w:val="26"/>
          <w:szCs w:val="26"/>
        </w:rPr>
        <w:t xml:space="preserve">IPCS </w:t>
      </w:r>
      <w:r w:rsidR="00CE113C">
        <w:rPr>
          <w:sz w:val="26"/>
          <w:szCs w:val="26"/>
        </w:rPr>
        <w:t xml:space="preserve">and requires the pass through, with no mark up, </w:t>
      </w:r>
      <w:r w:rsidR="00F616A0">
        <w:rPr>
          <w:sz w:val="26"/>
          <w:szCs w:val="26"/>
        </w:rPr>
        <w:t xml:space="preserve">of </w:t>
      </w:r>
      <w:r w:rsidRPr="00D351EE" w:rsidR="00CD0224">
        <w:rPr>
          <w:sz w:val="26"/>
          <w:szCs w:val="26"/>
        </w:rPr>
        <w:t xml:space="preserve">third-party financial </w:t>
      </w:r>
      <w:r w:rsidR="00825B21">
        <w:rPr>
          <w:sz w:val="26"/>
          <w:szCs w:val="26"/>
        </w:rPr>
        <w:t>t</w:t>
      </w:r>
      <w:r w:rsidRPr="00D351EE" w:rsidR="00CD0224">
        <w:rPr>
          <w:sz w:val="26"/>
          <w:szCs w:val="26"/>
        </w:rPr>
        <w:t>ransaction</w:t>
      </w:r>
      <w:r w:rsidR="00825B21">
        <w:rPr>
          <w:sz w:val="26"/>
          <w:szCs w:val="26"/>
        </w:rPr>
        <w:t xml:space="preserve"> fees</w:t>
      </w:r>
      <w:r w:rsidR="00366087">
        <w:rPr>
          <w:sz w:val="26"/>
          <w:szCs w:val="26"/>
        </w:rPr>
        <w:t xml:space="preserve">, up to a limit of $6.95 per transaction.  </w:t>
      </w:r>
      <w:r w:rsidR="007B267C">
        <w:rPr>
          <w:sz w:val="26"/>
          <w:szCs w:val="26"/>
        </w:rPr>
        <w:t xml:space="preserve">It </w:t>
      </w:r>
      <w:r w:rsidR="00D01E35">
        <w:rPr>
          <w:sz w:val="26"/>
          <w:szCs w:val="26"/>
        </w:rPr>
        <w:t>allows</w:t>
      </w:r>
      <w:r w:rsidR="003C1FAA">
        <w:rPr>
          <w:sz w:val="26"/>
          <w:szCs w:val="26"/>
        </w:rPr>
        <w:t xml:space="preserve"> the pass through, with no mark up, of </w:t>
      </w:r>
      <w:r w:rsidR="00825B21">
        <w:rPr>
          <w:sz w:val="26"/>
          <w:szCs w:val="26"/>
        </w:rPr>
        <w:t>government taxes and</w:t>
      </w:r>
      <w:r w:rsidRPr="00D351EE" w:rsidR="00CD0224">
        <w:rPr>
          <w:sz w:val="26"/>
          <w:szCs w:val="26"/>
        </w:rPr>
        <w:t xml:space="preserve"> fees</w:t>
      </w:r>
      <w:r w:rsidR="005D46CE">
        <w:rPr>
          <w:sz w:val="26"/>
          <w:szCs w:val="26"/>
        </w:rPr>
        <w:t xml:space="preserve"> for intrastate </w:t>
      </w:r>
      <w:r w:rsidR="008C0B97">
        <w:rPr>
          <w:sz w:val="26"/>
          <w:szCs w:val="26"/>
        </w:rPr>
        <w:t xml:space="preserve">and jurisdictionally mixed </w:t>
      </w:r>
      <w:r w:rsidR="005D46CE">
        <w:rPr>
          <w:sz w:val="26"/>
          <w:szCs w:val="26"/>
        </w:rPr>
        <w:t xml:space="preserve">IPCS.  It </w:t>
      </w:r>
      <w:r w:rsidR="00825B21">
        <w:rPr>
          <w:sz w:val="26"/>
          <w:szCs w:val="26"/>
        </w:rPr>
        <w:t xml:space="preserve">prohibits the imposition of any other type of </w:t>
      </w:r>
      <w:r w:rsidR="005D46CE">
        <w:rPr>
          <w:sz w:val="26"/>
          <w:szCs w:val="26"/>
        </w:rPr>
        <w:t xml:space="preserve">ancillary fee or service fee not explicitly approved in this decision. </w:t>
      </w:r>
      <w:r w:rsidR="00E95EF4">
        <w:rPr>
          <w:sz w:val="26"/>
          <w:szCs w:val="26"/>
        </w:rPr>
        <w:t xml:space="preserve"> This decision applies to </w:t>
      </w:r>
      <w:r w:rsidR="00E306BA">
        <w:rPr>
          <w:sz w:val="26"/>
          <w:szCs w:val="26"/>
        </w:rPr>
        <w:t xml:space="preserve">all </w:t>
      </w:r>
      <w:r w:rsidR="00E95EF4">
        <w:rPr>
          <w:sz w:val="26"/>
          <w:szCs w:val="26"/>
        </w:rPr>
        <w:t xml:space="preserve">telephone corporations providing </w:t>
      </w:r>
      <w:r w:rsidR="007753A6">
        <w:rPr>
          <w:sz w:val="26"/>
          <w:szCs w:val="26"/>
        </w:rPr>
        <w:t xml:space="preserve">intrastate </w:t>
      </w:r>
      <w:r w:rsidR="00E95EF4">
        <w:rPr>
          <w:sz w:val="26"/>
          <w:szCs w:val="26"/>
        </w:rPr>
        <w:t>IPCS</w:t>
      </w:r>
      <w:r w:rsidR="00E306BA">
        <w:rPr>
          <w:sz w:val="26"/>
          <w:szCs w:val="26"/>
        </w:rPr>
        <w:t xml:space="preserve"> </w:t>
      </w:r>
      <w:r w:rsidRPr="2836F5AD" w:rsidR="2A20BB5C">
        <w:rPr>
          <w:sz w:val="26"/>
          <w:szCs w:val="26"/>
        </w:rPr>
        <w:t>in the State of California</w:t>
      </w:r>
      <w:r w:rsidR="00E306BA">
        <w:rPr>
          <w:sz w:val="26"/>
          <w:szCs w:val="26"/>
        </w:rPr>
        <w:t>.</w:t>
      </w:r>
      <w:r w:rsidR="00E95EF4">
        <w:rPr>
          <w:sz w:val="26"/>
          <w:szCs w:val="26"/>
        </w:rPr>
        <w:t xml:space="preserve"> </w:t>
      </w:r>
    </w:p>
    <w:p w:rsidRPr="0036597F" w:rsidR="0036597F" w:rsidP="00472730" w:rsidRDefault="00817CA7" w14:paraId="2534ECB7" w14:textId="6D61C2EC">
      <w:pPr>
        <w:pStyle w:val="Standard"/>
        <w:ind w:firstLine="720"/>
        <w:rPr>
          <w:sz w:val="26"/>
          <w:szCs w:val="26"/>
        </w:rPr>
      </w:pPr>
      <w:r w:rsidRPr="00D351EE">
        <w:rPr>
          <w:sz w:val="26"/>
          <w:szCs w:val="26"/>
        </w:rPr>
        <w:t xml:space="preserve">This decision directs </w:t>
      </w:r>
      <w:r w:rsidR="00E306BA">
        <w:rPr>
          <w:sz w:val="26"/>
          <w:szCs w:val="26"/>
        </w:rPr>
        <w:t xml:space="preserve">telephone corporations providing </w:t>
      </w:r>
      <w:r w:rsidR="007753A6">
        <w:rPr>
          <w:sz w:val="26"/>
          <w:szCs w:val="26"/>
        </w:rPr>
        <w:t xml:space="preserve">intrastate </w:t>
      </w:r>
      <w:r w:rsidRPr="00D351EE">
        <w:rPr>
          <w:sz w:val="26"/>
          <w:szCs w:val="26"/>
        </w:rPr>
        <w:t>IPCS to implement th</w:t>
      </w:r>
      <w:r w:rsidRPr="00D351EE" w:rsidR="00E5284F">
        <w:rPr>
          <w:sz w:val="26"/>
          <w:szCs w:val="26"/>
        </w:rPr>
        <w:t>e</w:t>
      </w:r>
      <w:r w:rsidRPr="00D351EE">
        <w:rPr>
          <w:sz w:val="26"/>
          <w:szCs w:val="26"/>
        </w:rPr>
        <w:t xml:space="preserve"> </w:t>
      </w:r>
      <w:r w:rsidR="005D46CE">
        <w:rPr>
          <w:sz w:val="26"/>
          <w:szCs w:val="26"/>
        </w:rPr>
        <w:t xml:space="preserve">adopted </w:t>
      </w:r>
      <w:r w:rsidRPr="00D351EE">
        <w:rPr>
          <w:sz w:val="26"/>
          <w:szCs w:val="26"/>
        </w:rPr>
        <w:t xml:space="preserve">rate </w:t>
      </w:r>
      <w:r w:rsidR="00384253">
        <w:rPr>
          <w:sz w:val="26"/>
          <w:szCs w:val="26"/>
        </w:rPr>
        <w:t xml:space="preserve">cap </w:t>
      </w:r>
      <w:r w:rsidRPr="00D351EE" w:rsidR="00163623">
        <w:rPr>
          <w:sz w:val="26"/>
          <w:szCs w:val="26"/>
        </w:rPr>
        <w:t xml:space="preserve">and ancillary fee </w:t>
      </w:r>
      <w:r w:rsidR="00F92075">
        <w:rPr>
          <w:sz w:val="26"/>
          <w:szCs w:val="26"/>
        </w:rPr>
        <w:t>requirements</w:t>
      </w:r>
      <w:r w:rsidR="000E2947">
        <w:rPr>
          <w:sz w:val="26"/>
          <w:szCs w:val="26"/>
        </w:rPr>
        <w:t xml:space="preserve">, </w:t>
      </w:r>
      <w:r w:rsidR="00B543CE">
        <w:rPr>
          <w:sz w:val="26"/>
          <w:szCs w:val="26"/>
        </w:rPr>
        <w:t>submit</w:t>
      </w:r>
      <w:r w:rsidR="00DC1F85">
        <w:rPr>
          <w:sz w:val="26"/>
          <w:szCs w:val="26"/>
        </w:rPr>
        <w:t xml:space="preserve"> a Notice of Compliance</w:t>
      </w:r>
      <w:r w:rsidR="000E2947">
        <w:rPr>
          <w:sz w:val="26"/>
          <w:szCs w:val="26"/>
        </w:rPr>
        <w:t>,</w:t>
      </w:r>
      <w:r w:rsidR="00630837">
        <w:rPr>
          <w:sz w:val="26"/>
          <w:szCs w:val="26"/>
        </w:rPr>
        <w:t xml:space="preserve"> and </w:t>
      </w:r>
      <w:r w:rsidR="000E2947">
        <w:rPr>
          <w:sz w:val="26"/>
          <w:szCs w:val="26"/>
        </w:rPr>
        <w:t xml:space="preserve">submit </w:t>
      </w:r>
      <w:r w:rsidR="00630837">
        <w:rPr>
          <w:sz w:val="26"/>
          <w:szCs w:val="26"/>
        </w:rPr>
        <w:t>an Interim Rate Compliance Report</w:t>
      </w:r>
      <w:r w:rsidR="000E2947">
        <w:rPr>
          <w:sz w:val="26"/>
          <w:szCs w:val="26"/>
        </w:rPr>
        <w:t xml:space="preserve"> </w:t>
      </w:r>
      <w:r w:rsidRPr="00D351EE">
        <w:rPr>
          <w:sz w:val="26"/>
          <w:szCs w:val="26"/>
        </w:rPr>
        <w:t xml:space="preserve">within </w:t>
      </w:r>
      <w:r w:rsidR="00F92075">
        <w:rPr>
          <w:sz w:val="26"/>
          <w:szCs w:val="26"/>
        </w:rPr>
        <w:t>45</w:t>
      </w:r>
      <w:r w:rsidRPr="00D351EE">
        <w:rPr>
          <w:sz w:val="26"/>
          <w:szCs w:val="26"/>
        </w:rPr>
        <w:t xml:space="preserve"> days of issuance of this decision</w:t>
      </w:r>
      <w:r w:rsidR="00384253">
        <w:rPr>
          <w:sz w:val="26"/>
          <w:szCs w:val="26"/>
        </w:rPr>
        <w:t>.</w:t>
      </w:r>
      <w:r w:rsidR="008B13EC">
        <w:rPr>
          <w:rStyle w:val="FootnoteReference"/>
          <w:sz w:val="26"/>
          <w:szCs w:val="26"/>
        </w:rPr>
        <w:footnoteReference w:id="2"/>
      </w:r>
      <w:r w:rsidR="00384253">
        <w:rPr>
          <w:sz w:val="26"/>
          <w:szCs w:val="26"/>
        </w:rPr>
        <w:t xml:space="preserve">  </w:t>
      </w:r>
      <w:r w:rsidR="00DC1F85">
        <w:rPr>
          <w:sz w:val="26"/>
          <w:szCs w:val="26"/>
        </w:rPr>
        <w:t xml:space="preserve">It directs </w:t>
      </w:r>
      <w:r w:rsidR="00E306BA">
        <w:rPr>
          <w:sz w:val="26"/>
          <w:szCs w:val="26"/>
        </w:rPr>
        <w:t xml:space="preserve">telephone corporations providing </w:t>
      </w:r>
      <w:r w:rsidR="007753A6">
        <w:rPr>
          <w:sz w:val="26"/>
          <w:szCs w:val="26"/>
        </w:rPr>
        <w:t xml:space="preserve">intrastate </w:t>
      </w:r>
      <w:r w:rsidR="00DC1F85">
        <w:rPr>
          <w:sz w:val="26"/>
          <w:szCs w:val="26"/>
        </w:rPr>
        <w:t xml:space="preserve">IPCS to provide </w:t>
      </w:r>
      <w:r w:rsidRPr="001856C2" w:rsidR="00EE0ADE">
        <w:rPr>
          <w:sz w:val="26"/>
          <w:szCs w:val="26"/>
        </w:rPr>
        <w:t>a Plan for Notification to all current and prospective customers and account holders</w:t>
      </w:r>
      <w:r w:rsidR="00EE0ADE">
        <w:rPr>
          <w:sz w:val="26"/>
          <w:szCs w:val="26"/>
        </w:rPr>
        <w:t xml:space="preserve">, </w:t>
      </w:r>
      <w:r w:rsidRPr="001856C2" w:rsidR="001856C2">
        <w:rPr>
          <w:sz w:val="26"/>
          <w:szCs w:val="26"/>
        </w:rPr>
        <w:t xml:space="preserve">draft notices of the adopted ancillary fee requirements, terms and conditions, refund policies and customer service contacts for websites, bill inserts, and marketing materials to the </w:t>
      </w:r>
      <w:r w:rsidR="00B543CE">
        <w:rPr>
          <w:sz w:val="26"/>
          <w:szCs w:val="26"/>
        </w:rPr>
        <w:t>California Public Utilities Commission (</w:t>
      </w:r>
      <w:r w:rsidRPr="001856C2" w:rsidR="001856C2">
        <w:rPr>
          <w:sz w:val="26"/>
          <w:szCs w:val="26"/>
        </w:rPr>
        <w:t>Commission</w:t>
      </w:r>
      <w:r w:rsidR="00B543CE">
        <w:rPr>
          <w:sz w:val="26"/>
          <w:szCs w:val="26"/>
        </w:rPr>
        <w:t>)</w:t>
      </w:r>
      <w:r w:rsidRPr="001856C2" w:rsidR="001856C2">
        <w:rPr>
          <w:sz w:val="26"/>
          <w:szCs w:val="26"/>
        </w:rPr>
        <w:t xml:space="preserve"> for review no later than 30 days from Commission issuance of this decision.  </w:t>
      </w:r>
      <w:bookmarkStart w:name="_Hlk79153846" w:id="3"/>
      <w:r w:rsidR="00E4023A">
        <w:rPr>
          <w:sz w:val="26"/>
          <w:szCs w:val="26"/>
        </w:rPr>
        <w:t xml:space="preserve">The </w:t>
      </w:r>
      <w:r w:rsidR="009D7E8E">
        <w:rPr>
          <w:sz w:val="26"/>
          <w:szCs w:val="26"/>
        </w:rPr>
        <w:t xml:space="preserve">notices </w:t>
      </w:r>
      <w:r w:rsidR="005D157E">
        <w:rPr>
          <w:sz w:val="26"/>
          <w:szCs w:val="26"/>
        </w:rPr>
        <w:t xml:space="preserve">must </w:t>
      </w:r>
      <w:r w:rsidR="00925406">
        <w:rPr>
          <w:sz w:val="26"/>
          <w:szCs w:val="26"/>
        </w:rPr>
        <w:t xml:space="preserve">provide service-related information </w:t>
      </w:r>
      <w:r w:rsidR="00925406">
        <w:rPr>
          <w:sz w:val="26"/>
          <w:szCs w:val="26"/>
        </w:rPr>
        <w:lastRenderedPageBreak/>
        <w:t xml:space="preserve">in </w:t>
      </w:r>
      <w:r w:rsidR="009D7E8E">
        <w:rPr>
          <w:sz w:val="26"/>
          <w:szCs w:val="26"/>
        </w:rPr>
        <w:t xml:space="preserve">English, </w:t>
      </w:r>
      <w:r w:rsidR="00925406">
        <w:rPr>
          <w:sz w:val="26"/>
          <w:szCs w:val="26"/>
        </w:rPr>
        <w:t xml:space="preserve">Spanish and </w:t>
      </w:r>
      <w:r w:rsidR="009D7E8E">
        <w:rPr>
          <w:sz w:val="26"/>
          <w:szCs w:val="26"/>
        </w:rPr>
        <w:t xml:space="preserve">any </w:t>
      </w:r>
      <w:r w:rsidR="00925406">
        <w:rPr>
          <w:sz w:val="26"/>
          <w:szCs w:val="26"/>
        </w:rPr>
        <w:t>other languages prevalent in incarceration facilities</w:t>
      </w:r>
      <w:r w:rsidR="002E5F76">
        <w:rPr>
          <w:sz w:val="26"/>
          <w:szCs w:val="26"/>
        </w:rPr>
        <w:t xml:space="preserve"> and </w:t>
      </w:r>
      <w:r w:rsidR="005D157E">
        <w:rPr>
          <w:sz w:val="26"/>
          <w:szCs w:val="26"/>
        </w:rPr>
        <w:t>must</w:t>
      </w:r>
      <w:r w:rsidR="002E5F76">
        <w:rPr>
          <w:sz w:val="26"/>
          <w:szCs w:val="26"/>
        </w:rPr>
        <w:t xml:space="preserve"> </w:t>
      </w:r>
      <w:r w:rsidRPr="002E5F76" w:rsidR="002E5F76">
        <w:rPr>
          <w:sz w:val="26"/>
          <w:szCs w:val="26"/>
        </w:rPr>
        <w:t>inform the incarcerated of methods to lodge service quality complaints with the Commission</w:t>
      </w:r>
      <w:r w:rsidR="00925406">
        <w:rPr>
          <w:sz w:val="26"/>
          <w:szCs w:val="26"/>
        </w:rPr>
        <w:t xml:space="preserve">.  </w:t>
      </w:r>
      <w:bookmarkEnd w:id="3"/>
      <w:r w:rsidR="005D157E">
        <w:rPr>
          <w:sz w:val="26"/>
          <w:szCs w:val="26"/>
        </w:rPr>
        <w:t>This decision</w:t>
      </w:r>
      <w:r w:rsidR="004D2343">
        <w:rPr>
          <w:sz w:val="26"/>
          <w:szCs w:val="26"/>
        </w:rPr>
        <w:t xml:space="preserve"> directs </w:t>
      </w:r>
      <w:r w:rsidR="00BF0AFD">
        <w:rPr>
          <w:sz w:val="26"/>
          <w:szCs w:val="26"/>
        </w:rPr>
        <w:t xml:space="preserve">telephone corporations providing </w:t>
      </w:r>
      <w:r w:rsidR="007753A6">
        <w:rPr>
          <w:sz w:val="26"/>
          <w:szCs w:val="26"/>
        </w:rPr>
        <w:t xml:space="preserve">intrastate </w:t>
      </w:r>
      <w:r w:rsidRPr="0036597F" w:rsidR="0036597F">
        <w:rPr>
          <w:sz w:val="26"/>
          <w:szCs w:val="26"/>
        </w:rPr>
        <w:t xml:space="preserve">IPCS not explicitly identified in this decision </w:t>
      </w:r>
      <w:r w:rsidR="00BF0AFD">
        <w:rPr>
          <w:sz w:val="26"/>
          <w:szCs w:val="26"/>
        </w:rPr>
        <w:t xml:space="preserve">to </w:t>
      </w:r>
      <w:r w:rsidR="004D2343">
        <w:rPr>
          <w:sz w:val="26"/>
          <w:szCs w:val="26"/>
        </w:rPr>
        <w:t xml:space="preserve">take similar steps </w:t>
      </w:r>
      <w:r w:rsidR="001F486C">
        <w:rPr>
          <w:sz w:val="26"/>
          <w:szCs w:val="26"/>
        </w:rPr>
        <w:t>within</w:t>
      </w:r>
      <w:r w:rsidR="004D2343">
        <w:rPr>
          <w:sz w:val="26"/>
          <w:szCs w:val="26"/>
        </w:rPr>
        <w:t xml:space="preserve"> </w:t>
      </w:r>
      <w:r w:rsidR="001F486C">
        <w:rPr>
          <w:sz w:val="26"/>
          <w:szCs w:val="26"/>
        </w:rPr>
        <w:t xml:space="preserve">45 </w:t>
      </w:r>
      <w:r w:rsidRPr="0036597F" w:rsidR="0036597F">
        <w:rPr>
          <w:sz w:val="26"/>
          <w:szCs w:val="26"/>
        </w:rPr>
        <w:t>days</w:t>
      </w:r>
      <w:r w:rsidR="004D2343">
        <w:rPr>
          <w:sz w:val="26"/>
          <w:szCs w:val="26"/>
        </w:rPr>
        <w:t xml:space="preserve"> </w:t>
      </w:r>
      <w:r w:rsidR="001F486C">
        <w:rPr>
          <w:sz w:val="26"/>
          <w:szCs w:val="26"/>
        </w:rPr>
        <w:t xml:space="preserve">from </w:t>
      </w:r>
      <w:r w:rsidRPr="0036597F" w:rsidR="0036597F">
        <w:rPr>
          <w:sz w:val="26"/>
          <w:szCs w:val="26"/>
        </w:rPr>
        <w:t>executing a contract to provide IPCS in California</w:t>
      </w:r>
      <w:r w:rsidR="004D2343">
        <w:rPr>
          <w:sz w:val="26"/>
          <w:szCs w:val="26"/>
        </w:rPr>
        <w:t>.</w:t>
      </w:r>
    </w:p>
    <w:p w:rsidRPr="00D351EE" w:rsidR="00040561" w:rsidP="00040561" w:rsidRDefault="00E5284F" w14:paraId="77C5D677" w14:textId="26D8B090">
      <w:pPr>
        <w:pStyle w:val="Standard"/>
        <w:ind w:firstLine="720"/>
        <w:rPr>
          <w:sz w:val="26"/>
          <w:szCs w:val="26"/>
        </w:rPr>
      </w:pPr>
      <w:r w:rsidRPr="00D351EE">
        <w:rPr>
          <w:sz w:val="26"/>
          <w:szCs w:val="26"/>
        </w:rPr>
        <w:t xml:space="preserve">These rate </w:t>
      </w:r>
      <w:r w:rsidR="00F92075">
        <w:rPr>
          <w:sz w:val="26"/>
          <w:szCs w:val="26"/>
        </w:rPr>
        <w:t>caps and ancillary fee requirements wi</w:t>
      </w:r>
      <w:r w:rsidRPr="00D351EE">
        <w:rPr>
          <w:sz w:val="26"/>
          <w:szCs w:val="26"/>
        </w:rPr>
        <w:t>ll remain in effect until the Commission adopts a subsequent decision in this proceeding.</w:t>
      </w:r>
    </w:p>
    <w:p w:rsidRPr="00D351EE" w:rsidR="002D32A3" w:rsidP="00040561" w:rsidRDefault="002D32A3" w14:paraId="5AF82202" w14:textId="27796935">
      <w:pPr>
        <w:pStyle w:val="Standard"/>
        <w:ind w:firstLine="720"/>
        <w:rPr>
          <w:sz w:val="26"/>
          <w:szCs w:val="26"/>
        </w:rPr>
      </w:pPr>
      <w:r w:rsidRPr="00D351EE">
        <w:rPr>
          <w:sz w:val="26"/>
          <w:szCs w:val="26"/>
        </w:rPr>
        <w:t xml:space="preserve">This proceeding remains open. </w:t>
      </w:r>
    </w:p>
    <w:p w:rsidRPr="00121089" w:rsidR="005A148C" w:rsidP="00A55ACD" w:rsidRDefault="002C7FE9" w14:paraId="6DEE612A" w14:textId="77777777">
      <w:pPr>
        <w:pStyle w:val="Heading1"/>
        <w:numPr>
          <w:ilvl w:val="0"/>
          <w:numId w:val="1"/>
        </w:numPr>
      </w:pPr>
      <w:bookmarkStart w:name="_Toc8123715" w:id="4"/>
      <w:bookmarkStart w:name="_Toc80089380" w:id="5"/>
      <w:r w:rsidRPr="00121089">
        <w:t>Background</w:t>
      </w:r>
      <w:bookmarkEnd w:id="4"/>
      <w:bookmarkEnd w:id="5"/>
    </w:p>
    <w:p w:rsidR="002D1AB1" w:rsidP="002D1AB1" w:rsidRDefault="005A6C99" w14:paraId="7CBABBBD" w14:textId="64A52F61">
      <w:pPr>
        <w:pStyle w:val="Standard"/>
        <w:ind w:firstLine="720"/>
        <w:rPr>
          <w:sz w:val="26"/>
          <w:szCs w:val="26"/>
        </w:rPr>
      </w:pPr>
      <w:r w:rsidRPr="00D351EE">
        <w:rPr>
          <w:sz w:val="26"/>
          <w:szCs w:val="26"/>
        </w:rPr>
        <w:t xml:space="preserve">The </w:t>
      </w:r>
      <w:r w:rsidR="00CB7874">
        <w:rPr>
          <w:sz w:val="26"/>
          <w:szCs w:val="26"/>
        </w:rPr>
        <w:t>California Public Utilities Commission (</w:t>
      </w:r>
      <w:r w:rsidRPr="00D351EE">
        <w:rPr>
          <w:sz w:val="26"/>
          <w:szCs w:val="26"/>
        </w:rPr>
        <w:t>Commission</w:t>
      </w:r>
      <w:r w:rsidR="00CB7874">
        <w:rPr>
          <w:sz w:val="26"/>
          <w:szCs w:val="26"/>
        </w:rPr>
        <w:t>)</w:t>
      </w:r>
      <w:r w:rsidRPr="00D351EE">
        <w:rPr>
          <w:sz w:val="26"/>
          <w:szCs w:val="26"/>
        </w:rPr>
        <w:t xml:space="preserve"> </w:t>
      </w:r>
      <w:r w:rsidRPr="00D351EE" w:rsidR="00A46C1E">
        <w:rPr>
          <w:sz w:val="26"/>
          <w:szCs w:val="26"/>
        </w:rPr>
        <w:t xml:space="preserve">opened </w:t>
      </w:r>
      <w:r w:rsidRPr="00D351EE" w:rsidR="002C7CA6">
        <w:rPr>
          <w:sz w:val="26"/>
          <w:szCs w:val="26"/>
        </w:rPr>
        <w:t xml:space="preserve">Rulemaking (R.) 20-10-002 </w:t>
      </w:r>
      <w:r w:rsidRPr="00D351EE">
        <w:rPr>
          <w:sz w:val="26"/>
          <w:szCs w:val="26"/>
        </w:rPr>
        <w:t xml:space="preserve">to </w:t>
      </w:r>
      <w:r w:rsidRPr="00D351EE">
        <w:rPr>
          <w:i/>
          <w:iCs/>
          <w:sz w:val="26"/>
          <w:szCs w:val="26"/>
        </w:rPr>
        <w:t>Consider Regulating Telecommunications Services Used by Incarcerated People</w:t>
      </w:r>
      <w:r w:rsidRPr="00D351EE">
        <w:rPr>
          <w:sz w:val="26"/>
          <w:szCs w:val="26"/>
        </w:rPr>
        <w:t xml:space="preserve"> on October 8, 2020. </w:t>
      </w:r>
      <w:r w:rsidR="00C6293D">
        <w:rPr>
          <w:sz w:val="26"/>
          <w:szCs w:val="26"/>
        </w:rPr>
        <w:t xml:space="preserve"> </w:t>
      </w:r>
      <w:r w:rsidRPr="00D351EE">
        <w:rPr>
          <w:sz w:val="26"/>
          <w:szCs w:val="26"/>
        </w:rPr>
        <w:t xml:space="preserve">The purpose of this rulemaking is to ensure that incarcerated people in California pay just and reasonable rates for intrastate calling services, under just and reasonable terms and conditions. </w:t>
      </w:r>
      <w:r w:rsidR="00591243">
        <w:rPr>
          <w:sz w:val="26"/>
          <w:szCs w:val="26"/>
        </w:rPr>
        <w:t xml:space="preserve">As discussed in the </w:t>
      </w:r>
      <w:r w:rsidR="0052370A">
        <w:rPr>
          <w:sz w:val="26"/>
          <w:szCs w:val="26"/>
        </w:rPr>
        <w:t>Order Instituting Rulemaking</w:t>
      </w:r>
      <w:r w:rsidR="00015B4C">
        <w:rPr>
          <w:sz w:val="26"/>
          <w:szCs w:val="26"/>
        </w:rPr>
        <w:t xml:space="preserve"> (OIR)</w:t>
      </w:r>
      <w:r w:rsidR="0052370A">
        <w:rPr>
          <w:sz w:val="26"/>
          <w:szCs w:val="26"/>
        </w:rPr>
        <w:t xml:space="preserve">, </w:t>
      </w:r>
      <w:r w:rsidR="004113A3">
        <w:rPr>
          <w:sz w:val="26"/>
          <w:szCs w:val="26"/>
        </w:rPr>
        <w:t xml:space="preserve">previous </w:t>
      </w:r>
      <w:r w:rsidR="0052370A">
        <w:rPr>
          <w:sz w:val="26"/>
          <w:szCs w:val="26"/>
        </w:rPr>
        <w:t xml:space="preserve">studies of </w:t>
      </w:r>
      <w:r w:rsidR="0002226A">
        <w:rPr>
          <w:sz w:val="26"/>
          <w:szCs w:val="26"/>
        </w:rPr>
        <w:t>incarcerated person’s calling service (</w:t>
      </w:r>
      <w:r w:rsidR="0052370A">
        <w:rPr>
          <w:sz w:val="26"/>
          <w:szCs w:val="26"/>
        </w:rPr>
        <w:t>IPCS</w:t>
      </w:r>
      <w:r w:rsidR="0002226A">
        <w:rPr>
          <w:sz w:val="26"/>
          <w:szCs w:val="26"/>
        </w:rPr>
        <w:t>)</w:t>
      </w:r>
      <w:r w:rsidR="0052370A">
        <w:rPr>
          <w:sz w:val="26"/>
          <w:szCs w:val="26"/>
        </w:rPr>
        <w:t xml:space="preserve"> rates found </w:t>
      </w:r>
      <w:r w:rsidR="00853881">
        <w:rPr>
          <w:sz w:val="26"/>
          <w:szCs w:val="26"/>
        </w:rPr>
        <w:t xml:space="preserve">high and </w:t>
      </w:r>
      <w:r w:rsidR="0052370A">
        <w:rPr>
          <w:sz w:val="26"/>
          <w:szCs w:val="26"/>
        </w:rPr>
        <w:t>wide</w:t>
      </w:r>
      <w:r w:rsidR="00853881">
        <w:rPr>
          <w:sz w:val="26"/>
          <w:szCs w:val="26"/>
        </w:rPr>
        <w:t>ly</w:t>
      </w:r>
      <w:r w:rsidR="0052370A">
        <w:rPr>
          <w:sz w:val="26"/>
          <w:szCs w:val="26"/>
        </w:rPr>
        <w:t xml:space="preserve"> </w:t>
      </w:r>
      <w:r w:rsidR="00526ECE">
        <w:rPr>
          <w:sz w:val="26"/>
          <w:szCs w:val="26"/>
        </w:rPr>
        <w:t>differing rates</w:t>
      </w:r>
      <w:r w:rsidR="0052370A">
        <w:rPr>
          <w:sz w:val="26"/>
          <w:szCs w:val="26"/>
        </w:rPr>
        <w:t xml:space="preserve"> charged in California</w:t>
      </w:r>
      <w:r w:rsidR="0002226A">
        <w:rPr>
          <w:sz w:val="26"/>
          <w:szCs w:val="26"/>
        </w:rPr>
        <w:t>.</w:t>
      </w:r>
      <w:r w:rsidR="0002226A">
        <w:rPr>
          <w:rStyle w:val="FootnoteReference"/>
          <w:sz w:val="26"/>
          <w:szCs w:val="26"/>
        </w:rPr>
        <w:footnoteReference w:id="3"/>
      </w:r>
      <w:r w:rsidR="0052370A">
        <w:rPr>
          <w:sz w:val="26"/>
          <w:szCs w:val="26"/>
        </w:rPr>
        <w:t xml:space="preserve"> </w:t>
      </w:r>
      <w:r w:rsidR="00526ECE">
        <w:rPr>
          <w:sz w:val="26"/>
          <w:szCs w:val="26"/>
        </w:rPr>
        <w:t xml:space="preserve"> </w:t>
      </w:r>
      <w:r w:rsidR="007F770C">
        <w:rPr>
          <w:sz w:val="26"/>
          <w:szCs w:val="26"/>
        </w:rPr>
        <w:t>Egregiously</w:t>
      </w:r>
      <w:r w:rsidR="00ED2215">
        <w:rPr>
          <w:sz w:val="26"/>
          <w:szCs w:val="26"/>
        </w:rPr>
        <w:t xml:space="preserve"> high rates and </w:t>
      </w:r>
      <w:r w:rsidR="007B7033">
        <w:rPr>
          <w:sz w:val="26"/>
          <w:szCs w:val="26"/>
        </w:rPr>
        <w:t xml:space="preserve">fees and associated practices impede incarcerated person’s ability to communicate with loved ones and financially burden </w:t>
      </w:r>
      <w:r w:rsidR="007F770C">
        <w:rPr>
          <w:sz w:val="26"/>
          <w:szCs w:val="26"/>
        </w:rPr>
        <w:t xml:space="preserve">incarcerated persons and their families.  </w:t>
      </w:r>
    </w:p>
    <w:p w:rsidRPr="00D351EE" w:rsidR="002F0E68" w:rsidP="00040561" w:rsidRDefault="007C5C31" w14:paraId="6CF95DE8" w14:textId="301798D8">
      <w:pPr>
        <w:pStyle w:val="Standard"/>
        <w:ind w:firstLine="720"/>
        <w:rPr>
          <w:sz w:val="26"/>
          <w:szCs w:val="26"/>
        </w:rPr>
      </w:pPr>
      <w:r w:rsidRPr="007C5C31">
        <w:rPr>
          <w:sz w:val="26"/>
          <w:szCs w:val="26"/>
        </w:rPr>
        <w:t>The criminal justice system places an undue financial burden on low</w:t>
      </w:r>
      <w:r w:rsidR="004636F7">
        <w:rPr>
          <w:sz w:val="26"/>
          <w:szCs w:val="26"/>
        </w:rPr>
        <w:noBreakHyphen/>
      </w:r>
      <w:r w:rsidRPr="007C5C31">
        <w:rPr>
          <w:sz w:val="26"/>
          <w:szCs w:val="26"/>
        </w:rPr>
        <w:t>income families and communities of color who face disproportionate rates of incarceration</w:t>
      </w:r>
      <w:r w:rsidR="000E2947">
        <w:rPr>
          <w:sz w:val="26"/>
          <w:szCs w:val="26"/>
        </w:rPr>
        <w:t xml:space="preserve"> </w:t>
      </w:r>
      <w:r w:rsidRPr="007C5C31">
        <w:rPr>
          <w:sz w:val="26"/>
          <w:szCs w:val="26"/>
        </w:rPr>
        <w:t>through costs imposed on incarcerated people and their families as part of being in prison or in jail</w:t>
      </w:r>
      <w:r>
        <w:rPr>
          <w:sz w:val="26"/>
          <w:szCs w:val="26"/>
        </w:rPr>
        <w:t xml:space="preserve">.  </w:t>
      </w:r>
      <w:r w:rsidR="00B7728B">
        <w:rPr>
          <w:sz w:val="26"/>
          <w:szCs w:val="26"/>
        </w:rPr>
        <w:t>Studies show that as many as 34</w:t>
      </w:r>
      <w:r w:rsidR="00015B4C">
        <w:rPr>
          <w:sz w:val="26"/>
          <w:szCs w:val="26"/>
        </w:rPr>
        <w:t> </w:t>
      </w:r>
      <w:r w:rsidR="00B7728B">
        <w:rPr>
          <w:sz w:val="26"/>
          <w:szCs w:val="26"/>
        </w:rPr>
        <w:t xml:space="preserve">percent of families go into debt to stay in contact with an incarcerated family member </w:t>
      </w:r>
      <w:r w:rsidRPr="002D1AB1" w:rsidR="002D1AB1">
        <w:rPr>
          <w:sz w:val="26"/>
          <w:szCs w:val="26"/>
        </w:rPr>
        <w:t xml:space="preserve">and </w:t>
      </w:r>
      <w:r w:rsidRPr="002D1AB1" w:rsidR="002D1AB1">
        <w:rPr>
          <w:sz w:val="26"/>
          <w:szCs w:val="26"/>
        </w:rPr>
        <w:lastRenderedPageBreak/>
        <w:t>the cost of maintaining contact with incarcerated persons falls to families and disproportionally on low-income women of color</w:t>
      </w:r>
      <w:r w:rsidR="002D1AB1">
        <w:rPr>
          <w:sz w:val="26"/>
          <w:szCs w:val="26"/>
        </w:rPr>
        <w:t>.</w:t>
      </w:r>
      <w:r w:rsidR="00781460">
        <w:rPr>
          <w:rStyle w:val="FootnoteReference"/>
          <w:sz w:val="26"/>
          <w:szCs w:val="26"/>
        </w:rPr>
        <w:footnoteReference w:id="4"/>
      </w:r>
      <w:r w:rsidR="00EC1C57">
        <w:rPr>
          <w:sz w:val="26"/>
          <w:szCs w:val="26"/>
        </w:rPr>
        <w:t xml:space="preserve">  However,</w:t>
      </w:r>
      <w:r w:rsidR="00B7728B">
        <w:rPr>
          <w:sz w:val="26"/>
          <w:szCs w:val="26"/>
        </w:rPr>
        <w:t xml:space="preserve"> i</w:t>
      </w:r>
      <w:r w:rsidR="00B95E1C">
        <w:rPr>
          <w:sz w:val="26"/>
          <w:szCs w:val="26"/>
        </w:rPr>
        <w:t xml:space="preserve">ncarcerated </w:t>
      </w:r>
      <w:r w:rsidR="00A824AE">
        <w:rPr>
          <w:sz w:val="26"/>
          <w:szCs w:val="26"/>
        </w:rPr>
        <w:t xml:space="preserve">people who have regular contact with family members </w:t>
      </w:r>
      <w:r w:rsidR="00775255">
        <w:rPr>
          <w:sz w:val="26"/>
          <w:szCs w:val="26"/>
        </w:rPr>
        <w:t>are more likely to succeed after release and have lower recidivism rates</w:t>
      </w:r>
      <w:r w:rsidR="00B82803">
        <w:rPr>
          <w:sz w:val="26"/>
          <w:szCs w:val="26"/>
        </w:rPr>
        <w:t xml:space="preserve"> because </w:t>
      </w:r>
      <w:r w:rsidR="00C2419F">
        <w:rPr>
          <w:sz w:val="26"/>
          <w:szCs w:val="26"/>
        </w:rPr>
        <w:t xml:space="preserve">they </w:t>
      </w:r>
      <w:r w:rsidR="00B82803">
        <w:rPr>
          <w:sz w:val="26"/>
          <w:szCs w:val="26"/>
        </w:rPr>
        <w:t>maintain vital support networks</w:t>
      </w:r>
      <w:r w:rsidR="00362884">
        <w:rPr>
          <w:sz w:val="26"/>
          <w:szCs w:val="26"/>
        </w:rPr>
        <w:t>.</w:t>
      </w:r>
      <w:r w:rsidR="00775255">
        <w:rPr>
          <w:rStyle w:val="FootnoteReference"/>
          <w:sz w:val="26"/>
          <w:szCs w:val="26"/>
        </w:rPr>
        <w:footnoteReference w:id="5"/>
      </w:r>
      <w:r w:rsidR="00362884">
        <w:rPr>
          <w:sz w:val="26"/>
          <w:szCs w:val="26"/>
        </w:rPr>
        <w:t xml:space="preserve">  </w:t>
      </w:r>
      <w:r w:rsidR="0096519C">
        <w:rPr>
          <w:sz w:val="26"/>
          <w:szCs w:val="26"/>
        </w:rPr>
        <w:t>A 2015 study found that incarcerated people ha</w:t>
      </w:r>
      <w:r w:rsidR="000E5AE4">
        <w:rPr>
          <w:sz w:val="26"/>
          <w:szCs w:val="26"/>
        </w:rPr>
        <w:t xml:space="preserve">d </w:t>
      </w:r>
      <w:r w:rsidR="0096519C">
        <w:rPr>
          <w:sz w:val="26"/>
          <w:szCs w:val="26"/>
        </w:rPr>
        <w:t>a median</w:t>
      </w:r>
      <w:r w:rsidR="000E5AE4">
        <w:rPr>
          <w:sz w:val="26"/>
          <w:szCs w:val="26"/>
        </w:rPr>
        <w:t xml:space="preserve"> </w:t>
      </w:r>
      <w:r w:rsidR="00235E50">
        <w:rPr>
          <w:sz w:val="26"/>
          <w:szCs w:val="26"/>
        </w:rPr>
        <w:t>annual income of less than $20,000 prior to their incarceration.</w:t>
      </w:r>
      <w:r w:rsidR="00235E50">
        <w:rPr>
          <w:rStyle w:val="FootnoteReference"/>
          <w:sz w:val="26"/>
          <w:szCs w:val="26"/>
        </w:rPr>
        <w:footnoteReference w:id="6"/>
      </w:r>
      <w:r w:rsidR="00235E50">
        <w:rPr>
          <w:sz w:val="26"/>
          <w:szCs w:val="26"/>
        </w:rPr>
        <w:t xml:space="preserve"> </w:t>
      </w:r>
      <w:r w:rsidR="0096519C">
        <w:rPr>
          <w:sz w:val="26"/>
          <w:szCs w:val="26"/>
        </w:rPr>
        <w:t xml:space="preserve"> </w:t>
      </w:r>
    </w:p>
    <w:p w:rsidRPr="00D351EE" w:rsidR="00DC4258" w:rsidP="00125513" w:rsidRDefault="00387D80" w14:paraId="5B8F2672" w14:textId="20ED0AF1">
      <w:pPr>
        <w:pStyle w:val="Standard"/>
        <w:ind w:firstLine="720"/>
        <w:rPr>
          <w:sz w:val="26"/>
          <w:szCs w:val="26"/>
        </w:rPr>
      </w:pPr>
      <w:r w:rsidRPr="00D351EE">
        <w:rPr>
          <w:sz w:val="26"/>
          <w:szCs w:val="26"/>
        </w:rPr>
        <w:t xml:space="preserve">IPCS in California are generally provided by private communications companies under contract with the entity that oversees or owns the </w:t>
      </w:r>
      <w:r w:rsidRPr="00D351EE" w:rsidR="00DC4258">
        <w:rPr>
          <w:sz w:val="26"/>
          <w:szCs w:val="26"/>
        </w:rPr>
        <w:t xml:space="preserve">correctional or detention </w:t>
      </w:r>
      <w:r w:rsidRPr="00D351EE">
        <w:rPr>
          <w:sz w:val="26"/>
          <w:szCs w:val="26"/>
        </w:rPr>
        <w:t>facility.</w:t>
      </w:r>
      <w:r w:rsidRPr="00D351EE" w:rsidR="00DC4258">
        <w:rPr>
          <w:rStyle w:val="FootnoteReference"/>
          <w:sz w:val="26"/>
          <w:szCs w:val="26"/>
        </w:rPr>
        <w:footnoteReference w:id="7"/>
      </w:r>
      <w:r w:rsidRPr="00D351EE">
        <w:rPr>
          <w:sz w:val="26"/>
          <w:szCs w:val="26"/>
        </w:rPr>
        <w:t xml:space="preserve"> </w:t>
      </w:r>
      <w:r w:rsidRPr="00D351EE" w:rsidR="00DC4258">
        <w:rPr>
          <w:sz w:val="26"/>
          <w:szCs w:val="26"/>
        </w:rPr>
        <w:t xml:space="preserve"> </w:t>
      </w:r>
      <w:r w:rsidRPr="00D351EE">
        <w:rPr>
          <w:sz w:val="26"/>
          <w:szCs w:val="26"/>
        </w:rPr>
        <w:t>While incarceration facilities may be owned or operated, either in whole part, by a private company, the facilities still are ultimately governed under contract with federal, state, county, or city government entities.</w:t>
      </w:r>
      <w:r w:rsidRPr="00D351EE" w:rsidR="00DC4258">
        <w:rPr>
          <w:rStyle w:val="FootnoteReference"/>
          <w:sz w:val="26"/>
          <w:szCs w:val="26"/>
        </w:rPr>
        <w:footnoteReference w:id="8"/>
      </w:r>
      <w:r w:rsidRPr="00D351EE">
        <w:rPr>
          <w:sz w:val="26"/>
          <w:szCs w:val="26"/>
        </w:rPr>
        <w:t xml:space="preserve"> </w:t>
      </w:r>
      <w:r w:rsidRPr="00D351EE" w:rsidR="00DC4258">
        <w:rPr>
          <w:sz w:val="26"/>
          <w:szCs w:val="26"/>
        </w:rPr>
        <w:t xml:space="preserve"> </w:t>
      </w:r>
    </w:p>
    <w:p w:rsidR="003C6AF7" w:rsidP="00040561" w:rsidRDefault="00DC4258" w14:paraId="75AB966D" w14:textId="60F12028">
      <w:pPr>
        <w:pStyle w:val="Standard"/>
        <w:ind w:firstLine="720"/>
        <w:rPr>
          <w:sz w:val="26"/>
          <w:szCs w:val="26"/>
        </w:rPr>
      </w:pPr>
      <w:r w:rsidRPr="00D351EE">
        <w:rPr>
          <w:sz w:val="26"/>
          <w:szCs w:val="26"/>
        </w:rPr>
        <w:t>Some 3</w:t>
      </w:r>
      <w:r w:rsidR="000322B2">
        <w:rPr>
          <w:sz w:val="26"/>
          <w:szCs w:val="26"/>
        </w:rPr>
        <w:t>5</w:t>
      </w:r>
      <w:r w:rsidR="00F13C39">
        <w:rPr>
          <w:sz w:val="26"/>
          <w:szCs w:val="26"/>
        </w:rPr>
        <w:t>4</w:t>
      </w:r>
      <w:r w:rsidR="000D0488">
        <w:rPr>
          <w:sz w:val="26"/>
          <w:szCs w:val="26"/>
        </w:rPr>
        <w:t xml:space="preserve"> </w:t>
      </w:r>
      <w:r w:rsidRPr="00D351EE" w:rsidR="00485483">
        <w:rPr>
          <w:sz w:val="26"/>
          <w:szCs w:val="26"/>
        </w:rPr>
        <w:t xml:space="preserve">federal, state, and local </w:t>
      </w:r>
      <w:r w:rsidRPr="00D351EE">
        <w:rPr>
          <w:sz w:val="26"/>
          <w:szCs w:val="26"/>
        </w:rPr>
        <w:t>correctional and detention facilities exist in California</w:t>
      </w:r>
      <w:r w:rsidR="00EF2563">
        <w:rPr>
          <w:sz w:val="26"/>
          <w:szCs w:val="26"/>
        </w:rPr>
        <w:t xml:space="preserve">, detaining or incarcerating some </w:t>
      </w:r>
      <w:r w:rsidR="00F73BFE">
        <w:rPr>
          <w:sz w:val="26"/>
          <w:szCs w:val="26"/>
        </w:rPr>
        <w:t>1</w:t>
      </w:r>
      <w:r w:rsidR="007C4BAE">
        <w:rPr>
          <w:sz w:val="26"/>
          <w:szCs w:val="26"/>
        </w:rPr>
        <w:t>72,543</w:t>
      </w:r>
      <w:r w:rsidR="00EF2563">
        <w:rPr>
          <w:sz w:val="26"/>
          <w:szCs w:val="26"/>
        </w:rPr>
        <w:t xml:space="preserve"> </w:t>
      </w:r>
      <w:r w:rsidR="001400C5">
        <w:rPr>
          <w:sz w:val="26"/>
          <w:szCs w:val="26"/>
        </w:rPr>
        <w:t xml:space="preserve">– 183,011 </w:t>
      </w:r>
      <w:r w:rsidR="00EF2563">
        <w:rPr>
          <w:sz w:val="26"/>
          <w:szCs w:val="26"/>
        </w:rPr>
        <w:t>persons</w:t>
      </w:r>
      <w:r w:rsidRPr="00D351EE" w:rsidR="002974A8">
        <w:rPr>
          <w:sz w:val="26"/>
          <w:szCs w:val="26"/>
        </w:rPr>
        <w:t>.</w:t>
      </w:r>
      <w:r w:rsidR="00CB1E3D">
        <w:rPr>
          <w:rStyle w:val="FootnoteReference"/>
          <w:sz w:val="26"/>
          <w:szCs w:val="26"/>
        </w:rPr>
        <w:footnoteReference w:id="9"/>
      </w:r>
      <w:r w:rsidR="003C6AF7">
        <w:rPr>
          <w:sz w:val="26"/>
          <w:szCs w:val="26"/>
        </w:rPr>
        <w:t xml:space="preserve"> </w:t>
      </w:r>
      <w:r w:rsidR="00CB1E3D">
        <w:rPr>
          <w:sz w:val="26"/>
          <w:szCs w:val="26"/>
        </w:rPr>
        <w:t xml:space="preserve"> </w:t>
      </w:r>
      <w:r w:rsidR="003C6AF7">
        <w:rPr>
          <w:sz w:val="26"/>
          <w:szCs w:val="26"/>
        </w:rPr>
        <w:lastRenderedPageBreak/>
        <w:t>Commission Staff have identified the f</w:t>
      </w:r>
      <w:r w:rsidR="000D0488">
        <w:rPr>
          <w:sz w:val="26"/>
          <w:szCs w:val="26"/>
        </w:rPr>
        <w:t>ollowing total</w:t>
      </w:r>
      <w:r w:rsidR="003C6AF7">
        <w:rPr>
          <w:sz w:val="26"/>
          <w:szCs w:val="26"/>
        </w:rPr>
        <w:t xml:space="preserve"> </w:t>
      </w:r>
      <w:r w:rsidR="00F773FF">
        <w:rPr>
          <w:sz w:val="26"/>
          <w:szCs w:val="26"/>
        </w:rPr>
        <w:t xml:space="preserve">number of </w:t>
      </w:r>
      <w:proofErr w:type="gramStart"/>
      <w:r w:rsidR="003C6AF7">
        <w:rPr>
          <w:sz w:val="26"/>
          <w:szCs w:val="26"/>
        </w:rPr>
        <w:t>correctional facilities</w:t>
      </w:r>
      <w:proofErr w:type="gramEnd"/>
      <w:r w:rsidR="003C6AF7">
        <w:rPr>
          <w:sz w:val="26"/>
          <w:szCs w:val="26"/>
        </w:rPr>
        <w:t xml:space="preserve"> in California</w:t>
      </w:r>
      <w:r w:rsidR="00F773FF">
        <w:rPr>
          <w:sz w:val="26"/>
          <w:szCs w:val="26"/>
        </w:rPr>
        <w:t xml:space="preserve"> and total incarcerated population in California</w:t>
      </w:r>
      <w:r w:rsidR="003C6AF7">
        <w:rPr>
          <w:sz w:val="26"/>
          <w:szCs w:val="26"/>
        </w:rPr>
        <w:t>:</w:t>
      </w:r>
    </w:p>
    <w:p w:rsidRPr="00602553" w:rsidR="00CB1E3D" w:rsidP="007411EF" w:rsidRDefault="00B52091" w14:paraId="7AE1BE3F" w14:textId="0B0D1CE9">
      <w:pPr>
        <w:pStyle w:val="Standard"/>
        <w:ind w:firstLine="720"/>
        <w:rPr>
          <w:b/>
          <w:bCs/>
          <w:sz w:val="26"/>
          <w:szCs w:val="26"/>
        </w:rPr>
      </w:pPr>
      <w:r w:rsidRPr="00602553">
        <w:rPr>
          <w:b/>
          <w:bCs/>
          <w:sz w:val="26"/>
          <w:szCs w:val="26"/>
        </w:rPr>
        <w:t xml:space="preserve">Table 1:  Summary of California </w:t>
      </w:r>
      <w:r w:rsidRPr="00602553" w:rsidR="00823949">
        <w:rPr>
          <w:b/>
          <w:bCs/>
          <w:sz w:val="26"/>
          <w:szCs w:val="26"/>
        </w:rPr>
        <w:t>Incarceration Facilities</w:t>
      </w:r>
      <w:r w:rsidRPr="00602553" w:rsidR="006F758A">
        <w:rPr>
          <w:rStyle w:val="FootnoteReference"/>
          <w:b/>
          <w:bCs/>
          <w:sz w:val="26"/>
          <w:szCs w:val="26"/>
        </w:rPr>
        <w:footnoteReference w:id="10"/>
      </w:r>
    </w:p>
    <w:tbl>
      <w:tblPr>
        <w:tblW w:w="8178" w:type="dxa"/>
        <w:tblInd w:w="2" w:type="dxa"/>
        <w:tblCellMar>
          <w:left w:w="0" w:type="dxa"/>
          <w:right w:w="0" w:type="dxa"/>
        </w:tblCellMar>
        <w:tblLook w:val="04A0" w:firstRow="1" w:lastRow="0" w:firstColumn="1" w:lastColumn="0" w:noHBand="0" w:noVBand="1"/>
      </w:tblPr>
      <w:tblGrid>
        <w:gridCol w:w="2206"/>
        <w:gridCol w:w="3373"/>
        <w:gridCol w:w="2599"/>
      </w:tblGrid>
      <w:tr w:rsidRPr="00823949" w:rsidR="00CB1E3D" w:rsidTr="00472730" w14:paraId="13FDED6F" w14:textId="77777777">
        <w:trPr>
          <w:trHeight w:val="315"/>
        </w:trPr>
        <w:tc>
          <w:tcPr>
            <w:tcW w:w="2206" w:type="dxa"/>
            <w:tcBorders>
              <w:top w:val="single" w:color="auto" w:sz="8" w:space="0"/>
              <w:left w:val="single" w:color="auto" w:sz="8" w:space="0"/>
              <w:bottom w:val="single" w:color="auto" w:sz="8" w:space="0"/>
              <w:right w:val="single" w:color="auto" w:sz="8" w:space="0"/>
            </w:tcBorders>
            <w:shd w:val="clear" w:color="auto" w:fill="DDEBF7"/>
            <w:noWrap/>
            <w:tcMar>
              <w:top w:w="0" w:type="dxa"/>
              <w:left w:w="108" w:type="dxa"/>
              <w:bottom w:w="0" w:type="dxa"/>
              <w:right w:w="108" w:type="dxa"/>
            </w:tcMar>
            <w:vAlign w:val="bottom"/>
            <w:hideMark/>
          </w:tcPr>
          <w:p w:rsidRPr="00823949" w:rsidR="00CB1E3D" w:rsidP="00472730" w:rsidRDefault="00CB1E3D" w14:paraId="414C6C3A" w14:textId="05D11AE1">
            <w:pPr>
              <w:pStyle w:val="Standard"/>
              <w:spacing w:line="240" w:lineRule="auto"/>
              <w:rPr>
                <w:sz w:val="26"/>
                <w:szCs w:val="26"/>
              </w:rPr>
            </w:pPr>
            <w:r w:rsidRPr="00823949">
              <w:rPr>
                <w:sz w:val="26"/>
                <w:szCs w:val="26"/>
              </w:rPr>
              <w:t>Governing Authority</w:t>
            </w:r>
          </w:p>
        </w:tc>
        <w:tc>
          <w:tcPr>
            <w:tcW w:w="3373" w:type="dxa"/>
            <w:tcBorders>
              <w:top w:val="single" w:color="auto" w:sz="8" w:space="0"/>
              <w:left w:val="nil"/>
              <w:bottom w:val="single" w:color="auto" w:sz="8" w:space="0"/>
              <w:right w:val="single" w:color="auto" w:sz="8" w:space="0"/>
            </w:tcBorders>
            <w:shd w:val="clear" w:color="auto" w:fill="DDEBF7"/>
            <w:noWrap/>
            <w:tcMar>
              <w:top w:w="0" w:type="dxa"/>
              <w:left w:w="108" w:type="dxa"/>
              <w:bottom w:w="0" w:type="dxa"/>
              <w:right w:w="108" w:type="dxa"/>
            </w:tcMar>
            <w:vAlign w:val="bottom"/>
            <w:hideMark/>
          </w:tcPr>
          <w:p w:rsidRPr="00823949" w:rsidR="00CB1E3D" w:rsidP="00472730" w:rsidRDefault="00CB1E3D" w14:paraId="2BE0B1EE" w14:textId="77777777">
            <w:pPr>
              <w:pStyle w:val="Standard"/>
              <w:spacing w:line="240" w:lineRule="auto"/>
              <w:rPr>
                <w:sz w:val="26"/>
                <w:szCs w:val="26"/>
              </w:rPr>
            </w:pPr>
            <w:r w:rsidRPr="00823949">
              <w:rPr>
                <w:sz w:val="26"/>
                <w:szCs w:val="26"/>
              </w:rPr>
              <w:t>Approximate Number of facilities</w:t>
            </w:r>
          </w:p>
        </w:tc>
        <w:tc>
          <w:tcPr>
            <w:tcW w:w="2599" w:type="dxa"/>
            <w:tcBorders>
              <w:top w:val="single" w:color="auto" w:sz="8" w:space="0"/>
              <w:left w:val="nil"/>
              <w:bottom w:val="single" w:color="auto" w:sz="8" w:space="0"/>
              <w:right w:val="single" w:color="auto" w:sz="8" w:space="0"/>
            </w:tcBorders>
            <w:shd w:val="clear" w:color="auto" w:fill="DDEBF7"/>
            <w:noWrap/>
            <w:tcMar>
              <w:top w:w="0" w:type="dxa"/>
              <w:left w:w="108" w:type="dxa"/>
              <w:bottom w:w="0" w:type="dxa"/>
              <w:right w:w="108" w:type="dxa"/>
            </w:tcMar>
            <w:vAlign w:val="bottom"/>
            <w:hideMark/>
          </w:tcPr>
          <w:p w:rsidRPr="00823949" w:rsidR="00CB1E3D" w:rsidP="00472730" w:rsidRDefault="00CB1E3D" w14:paraId="6616CE87" w14:textId="5F87CA78">
            <w:pPr>
              <w:pStyle w:val="Standard"/>
              <w:spacing w:line="240" w:lineRule="auto"/>
              <w:rPr>
                <w:sz w:val="26"/>
                <w:szCs w:val="26"/>
              </w:rPr>
            </w:pPr>
            <w:r w:rsidRPr="00823949">
              <w:rPr>
                <w:sz w:val="26"/>
                <w:szCs w:val="26"/>
              </w:rPr>
              <w:t>Estimated Average Daily Population of Incarcerated</w:t>
            </w:r>
            <w:r w:rsidR="005F1504">
              <w:rPr>
                <w:rStyle w:val="FootnoteReference"/>
                <w:sz w:val="26"/>
                <w:szCs w:val="26"/>
              </w:rPr>
              <w:footnoteReference w:id="11"/>
            </w:r>
          </w:p>
        </w:tc>
      </w:tr>
      <w:tr w:rsidRPr="00823949" w:rsidR="00CB1E3D" w:rsidTr="00472730" w14:paraId="7ABE99C0" w14:textId="77777777">
        <w:trPr>
          <w:trHeight w:val="300"/>
        </w:trPr>
        <w:tc>
          <w:tcPr>
            <w:tcW w:w="2206" w:type="dxa"/>
            <w:tcBorders>
              <w:top w:val="nil"/>
              <w:left w:val="single" w:color="auto" w:sz="8" w:space="0"/>
              <w:bottom w:val="nil"/>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0F8A6D61" w14:textId="77777777">
            <w:pPr>
              <w:pStyle w:val="Standard"/>
              <w:spacing w:line="240" w:lineRule="auto"/>
              <w:jc w:val="center"/>
              <w:rPr>
                <w:sz w:val="26"/>
                <w:szCs w:val="26"/>
              </w:rPr>
            </w:pPr>
            <w:r w:rsidRPr="00823949">
              <w:rPr>
                <w:sz w:val="26"/>
                <w:szCs w:val="26"/>
              </w:rPr>
              <w:t>Federal</w:t>
            </w:r>
          </w:p>
        </w:tc>
        <w:tc>
          <w:tcPr>
            <w:tcW w:w="3373" w:type="dxa"/>
            <w:tcBorders>
              <w:top w:val="nil"/>
              <w:left w:val="nil"/>
              <w:bottom w:val="nil"/>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4C92E29A" w14:textId="77777777">
            <w:pPr>
              <w:pStyle w:val="Standard"/>
              <w:spacing w:line="240" w:lineRule="auto"/>
              <w:jc w:val="center"/>
              <w:rPr>
                <w:sz w:val="26"/>
                <w:szCs w:val="26"/>
              </w:rPr>
            </w:pPr>
            <w:r w:rsidRPr="00823949">
              <w:rPr>
                <w:sz w:val="26"/>
                <w:szCs w:val="26"/>
              </w:rPr>
              <w:t>16</w:t>
            </w:r>
          </w:p>
        </w:tc>
        <w:tc>
          <w:tcPr>
            <w:tcW w:w="2599" w:type="dxa"/>
            <w:tcBorders>
              <w:top w:val="nil"/>
              <w:left w:val="nil"/>
              <w:bottom w:val="nil"/>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3A0C08E9" w14:textId="77777777">
            <w:pPr>
              <w:pStyle w:val="Standard"/>
              <w:spacing w:line="240" w:lineRule="auto"/>
              <w:jc w:val="center"/>
              <w:rPr>
                <w:sz w:val="26"/>
                <w:szCs w:val="26"/>
              </w:rPr>
            </w:pPr>
            <w:r w:rsidRPr="00823949">
              <w:rPr>
                <w:sz w:val="26"/>
                <w:szCs w:val="26"/>
              </w:rPr>
              <w:t>11,480</w:t>
            </w:r>
          </w:p>
        </w:tc>
      </w:tr>
      <w:tr w:rsidRPr="00823949" w:rsidR="00CB1E3D" w:rsidTr="00472730" w14:paraId="01D5918F" w14:textId="77777777">
        <w:trPr>
          <w:trHeight w:val="300"/>
        </w:trPr>
        <w:tc>
          <w:tcPr>
            <w:tcW w:w="2206" w:type="dxa"/>
            <w:tcBorders>
              <w:top w:val="nil"/>
              <w:left w:val="single" w:color="auto" w:sz="8" w:space="0"/>
              <w:bottom w:val="nil"/>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7D1D430C" w14:textId="77777777">
            <w:pPr>
              <w:pStyle w:val="Standard"/>
              <w:spacing w:line="240" w:lineRule="auto"/>
              <w:jc w:val="center"/>
              <w:rPr>
                <w:sz w:val="26"/>
                <w:szCs w:val="26"/>
              </w:rPr>
            </w:pPr>
            <w:r w:rsidRPr="00823949">
              <w:rPr>
                <w:sz w:val="26"/>
                <w:szCs w:val="26"/>
              </w:rPr>
              <w:t>State</w:t>
            </w:r>
          </w:p>
        </w:tc>
        <w:tc>
          <w:tcPr>
            <w:tcW w:w="3373" w:type="dxa"/>
            <w:tcBorders>
              <w:top w:val="nil"/>
              <w:left w:val="nil"/>
              <w:bottom w:val="nil"/>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66A21D91" w14:textId="77777777">
            <w:pPr>
              <w:pStyle w:val="Standard"/>
              <w:spacing w:line="240" w:lineRule="auto"/>
              <w:jc w:val="center"/>
              <w:rPr>
                <w:sz w:val="26"/>
                <w:szCs w:val="26"/>
              </w:rPr>
            </w:pPr>
            <w:r w:rsidRPr="00823949">
              <w:rPr>
                <w:sz w:val="26"/>
                <w:szCs w:val="26"/>
              </w:rPr>
              <w:t>89</w:t>
            </w:r>
          </w:p>
        </w:tc>
        <w:tc>
          <w:tcPr>
            <w:tcW w:w="2599" w:type="dxa"/>
            <w:tcBorders>
              <w:top w:val="nil"/>
              <w:left w:val="nil"/>
              <w:bottom w:val="nil"/>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74552767" w14:textId="77777777">
            <w:pPr>
              <w:pStyle w:val="Standard"/>
              <w:spacing w:line="240" w:lineRule="auto"/>
              <w:jc w:val="center"/>
              <w:rPr>
                <w:sz w:val="26"/>
                <w:szCs w:val="26"/>
              </w:rPr>
            </w:pPr>
            <w:r w:rsidRPr="00823949">
              <w:rPr>
                <w:sz w:val="26"/>
                <w:szCs w:val="26"/>
              </w:rPr>
              <w:t>94,553</w:t>
            </w:r>
          </w:p>
        </w:tc>
      </w:tr>
      <w:tr w:rsidRPr="00823949" w:rsidR="00CB1E3D" w:rsidTr="00472730" w14:paraId="0455B06F" w14:textId="77777777">
        <w:trPr>
          <w:trHeight w:val="300"/>
        </w:trPr>
        <w:tc>
          <w:tcPr>
            <w:tcW w:w="2206" w:type="dxa"/>
            <w:tcBorders>
              <w:top w:val="nil"/>
              <w:left w:val="single" w:color="auto" w:sz="8" w:space="0"/>
              <w:bottom w:val="single" w:color="auto" w:sz="4" w:space="0"/>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793DC73B" w14:textId="77777777">
            <w:pPr>
              <w:pStyle w:val="Standard"/>
              <w:spacing w:line="240" w:lineRule="auto"/>
              <w:jc w:val="center"/>
              <w:rPr>
                <w:sz w:val="26"/>
                <w:szCs w:val="26"/>
              </w:rPr>
            </w:pPr>
            <w:r w:rsidRPr="00823949">
              <w:rPr>
                <w:sz w:val="26"/>
                <w:szCs w:val="26"/>
              </w:rPr>
              <w:t>County/Local</w:t>
            </w:r>
          </w:p>
        </w:tc>
        <w:tc>
          <w:tcPr>
            <w:tcW w:w="3373" w:type="dxa"/>
            <w:tcBorders>
              <w:top w:val="nil"/>
              <w:left w:val="nil"/>
              <w:bottom w:val="single" w:color="auto" w:sz="4" w:space="0"/>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521109B0" w14:textId="77777777">
            <w:pPr>
              <w:pStyle w:val="Standard"/>
              <w:spacing w:line="240" w:lineRule="auto"/>
              <w:jc w:val="center"/>
              <w:rPr>
                <w:sz w:val="26"/>
                <w:szCs w:val="26"/>
              </w:rPr>
            </w:pPr>
            <w:r w:rsidRPr="00823949">
              <w:rPr>
                <w:sz w:val="26"/>
                <w:szCs w:val="26"/>
              </w:rPr>
              <w:t>249</w:t>
            </w:r>
          </w:p>
        </w:tc>
        <w:tc>
          <w:tcPr>
            <w:tcW w:w="2599" w:type="dxa"/>
            <w:tcBorders>
              <w:top w:val="nil"/>
              <w:left w:val="nil"/>
              <w:bottom w:val="single" w:color="auto" w:sz="4" w:space="0"/>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72AD7B07" w14:textId="77777777">
            <w:pPr>
              <w:pStyle w:val="Standard"/>
              <w:spacing w:line="240" w:lineRule="auto"/>
              <w:jc w:val="center"/>
              <w:rPr>
                <w:sz w:val="26"/>
                <w:szCs w:val="26"/>
              </w:rPr>
            </w:pPr>
            <w:r w:rsidRPr="00823949">
              <w:rPr>
                <w:sz w:val="26"/>
                <w:szCs w:val="26"/>
              </w:rPr>
              <w:t>76,978</w:t>
            </w:r>
          </w:p>
        </w:tc>
      </w:tr>
      <w:tr w:rsidRPr="00823949" w:rsidR="00CB1E3D" w:rsidTr="00472730" w14:paraId="7F5D65E9" w14:textId="77777777">
        <w:trPr>
          <w:trHeight w:val="315"/>
        </w:trPr>
        <w:tc>
          <w:tcPr>
            <w:tcW w:w="2206" w:type="dxa"/>
            <w:tcBorders>
              <w:top w:val="single" w:color="auto" w:sz="4"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665E5396" w14:textId="77777777">
            <w:pPr>
              <w:pStyle w:val="Standard"/>
              <w:spacing w:line="240" w:lineRule="auto"/>
              <w:jc w:val="center"/>
              <w:rPr>
                <w:sz w:val="26"/>
                <w:szCs w:val="26"/>
              </w:rPr>
            </w:pPr>
            <w:r w:rsidRPr="00823949">
              <w:rPr>
                <w:sz w:val="26"/>
                <w:szCs w:val="26"/>
              </w:rPr>
              <w:t>Total</w:t>
            </w:r>
          </w:p>
        </w:tc>
        <w:tc>
          <w:tcPr>
            <w:tcW w:w="3373" w:type="dxa"/>
            <w:tcBorders>
              <w:top w:val="single" w:color="auto" w:sz="4" w:space="0"/>
              <w:left w:val="nil"/>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4BB98359" w14:textId="77777777">
            <w:pPr>
              <w:pStyle w:val="Standard"/>
              <w:spacing w:line="240" w:lineRule="auto"/>
              <w:jc w:val="center"/>
              <w:rPr>
                <w:sz w:val="26"/>
                <w:szCs w:val="26"/>
              </w:rPr>
            </w:pPr>
            <w:r w:rsidRPr="00823949">
              <w:rPr>
                <w:sz w:val="26"/>
                <w:szCs w:val="26"/>
              </w:rPr>
              <w:t>354</w:t>
            </w:r>
          </w:p>
        </w:tc>
        <w:tc>
          <w:tcPr>
            <w:tcW w:w="2599" w:type="dxa"/>
            <w:tcBorders>
              <w:top w:val="single" w:color="auto" w:sz="4" w:space="0"/>
              <w:left w:val="nil"/>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823949" w:rsidR="00CB1E3D" w:rsidP="00472730" w:rsidRDefault="00CB1E3D" w14:paraId="26F0CFB7" w14:textId="77777777">
            <w:pPr>
              <w:pStyle w:val="Standard"/>
              <w:spacing w:line="240" w:lineRule="auto"/>
              <w:jc w:val="center"/>
              <w:rPr>
                <w:sz w:val="26"/>
                <w:szCs w:val="26"/>
              </w:rPr>
            </w:pPr>
            <w:r w:rsidRPr="00823949">
              <w:rPr>
                <w:sz w:val="26"/>
                <w:szCs w:val="26"/>
              </w:rPr>
              <w:t>183,011</w:t>
            </w:r>
          </w:p>
        </w:tc>
      </w:tr>
    </w:tbl>
    <w:p w:rsidRPr="00D351EE" w:rsidR="00040561" w:rsidP="000806C6" w:rsidRDefault="00387D80" w14:paraId="626B009D" w14:textId="144F72EF">
      <w:pPr>
        <w:pStyle w:val="Standard"/>
        <w:spacing w:before="240"/>
        <w:ind w:firstLine="720"/>
        <w:rPr>
          <w:sz w:val="26"/>
          <w:szCs w:val="26"/>
        </w:rPr>
      </w:pPr>
      <w:r w:rsidRPr="00387D80">
        <w:rPr>
          <w:sz w:val="26"/>
          <w:szCs w:val="26"/>
        </w:rPr>
        <w:t xml:space="preserve">The </w:t>
      </w:r>
      <w:r w:rsidR="00D7303F">
        <w:rPr>
          <w:sz w:val="26"/>
          <w:szCs w:val="26"/>
        </w:rPr>
        <w:t>F</w:t>
      </w:r>
      <w:r w:rsidRPr="00387D80">
        <w:rPr>
          <w:sz w:val="26"/>
          <w:szCs w:val="26"/>
        </w:rPr>
        <w:t xml:space="preserve">ederal Bureau of Prisons operates federal prisons </w:t>
      </w:r>
      <w:r w:rsidRPr="00D351EE" w:rsidR="00B11356">
        <w:rPr>
          <w:sz w:val="26"/>
          <w:szCs w:val="26"/>
        </w:rPr>
        <w:t xml:space="preserve">and </w:t>
      </w:r>
      <w:r w:rsidRPr="00387D80">
        <w:rPr>
          <w:sz w:val="26"/>
          <w:szCs w:val="26"/>
        </w:rPr>
        <w:t>detention centers</w:t>
      </w:r>
      <w:r w:rsidRPr="00D351EE" w:rsidR="00B11356">
        <w:rPr>
          <w:sz w:val="26"/>
          <w:szCs w:val="26"/>
        </w:rPr>
        <w:t xml:space="preserve"> </w:t>
      </w:r>
      <w:r w:rsidRPr="00D351EE" w:rsidR="002974A8">
        <w:rPr>
          <w:sz w:val="26"/>
          <w:szCs w:val="26"/>
        </w:rPr>
        <w:t>a</w:t>
      </w:r>
      <w:r w:rsidR="001400C5">
        <w:rPr>
          <w:sz w:val="26"/>
          <w:szCs w:val="26"/>
        </w:rPr>
        <w:t xml:space="preserve">s well as </w:t>
      </w:r>
      <w:r w:rsidRPr="00387D80">
        <w:rPr>
          <w:sz w:val="26"/>
          <w:szCs w:val="26"/>
        </w:rPr>
        <w:t>federal immigrant detention facilities and military prisons.</w:t>
      </w:r>
      <w:r w:rsidRPr="00D351EE" w:rsidR="00DC4258">
        <w:rPr>
          <w:rStyle w:val="FootnoteReference"/>
          <w:sz w:val="26"/>
          <w:szCs w:val="26"/>
        </w:rPr>
        <w:footnoteReference w:id="12"/>
      </w:r>
      <w:r w:rsidRPr="00D351EE" w:rsidR="00040561">
        <w:rPr>
          <w:sz w:val="26"/>
          <w:szCs w:val="26"/>
        </w:rPr>
        <w:t xml:space="preserve">  </w:t>
      </w:r>
      <w:r w:rsidRPr="00BA00C3" w:rsidR="00BA00C3">
        <w:rPr>
          <w:sz w:val="26"/>
          <w:szCs w:val="26"/>
        </w:rPr>
        <w:t xml:space="preserve">The State of California incarcerates individuals in state prisons, correctional facilities, vocational institutions, medical facilities, four juvenile facilities, and </w:t>
      </w:r>
      <w:r w:rsidR="00504177">
        <w:rPr>
          <w:sz w:val="26"/>
          <w:szCs w:val="26"/>
        </w:rPr>
        <w:t xml:space="preserve">approximately </w:t>
      </w:r>
      <w:r w:rsidRPr="00BA00C3" w:rsidR="00BA00C3">
        <w:rPr>
          <w:sz w:val="26"/>
          <w:szCs w:val="26"/>
        </w:rPr>
        <w:t>43 “Conservation Camps.”</w:t>
      </w:r>
      <w:r w:rsidRPr="00D351EE" w:rsidR="00D64F5A">
        <w:rPr>
          <w:rStyle w:val="FootnoteReference"/>
          <w:sz w:val="26"/>
          <w:szCs w:val="26"/>
        </w:rPr>
        <w:footnoteReference w:id="13"/>
      </w:r>
      <w:r w:rsidRPr="00D351EE" w:rsidR="00D64F5A">
        <w:rPr>
          <w:sz w:val="26"/>
          <w:szCs w:val="26"/>
        </w:rPr>
        <w:t xml:space="preserve">  </w:t>
      </w:r>
      <w:r w:rsidRPr="00BA00C3" w:rsidR="00BA00C3">
        <w:rPr>
          <w:sz w:val="26"/>
          <w:szCs w:val="26"/>
        </w:rPr>
        <w:t xml:space="preserve">The California Department of Corrections and Rehabilitation </w:t>
      </w:r>
      <w:r w:rsidR="000E2947">
        <w:rPr>
          <w:sz w:val="26"/>
          <w:szCs w:val="26"/>
        </w:rPr>
        <w:t xml:space="preserve">(CDCR) </w:t>
      </w:r>
      <w:r w:rsidRPr="00BA00C3" w:rsidR="00BA00C3">
        <w:rPr>
          <w:sz w:val="26"/>
          <w:szCs w:val="26"/>
        </w:rPr>
        <w:t>oversees these state facilities and provides calling services to people who are incarcerated through a single statewide contract</w:t>
      </w:r>
      <w:r w:rsidR="000E2947">
        <w:rPr>
          <w:sz w:val="26"/>
          <w:szCs w:val="26"/>
        </w:rPr>
        <w:t xml:space="preserve"> currently held by </w:t>
      </w:r>
      <w:r w:rsidRPr="00BA00C3" w:rsidR="00BA00C3">
        <w:rPr>
          <w:sz w:val="26"/>
          <w:szCs w:val="26"/>
        </w:rPr>
        <w:t>the</w:t>
      </w:r>
      <w:r w:rsidR="00180D7E">
        <w:rPr>
          <w:sz w:val="26"/>
          <w:szCs w:val="26"/>
        </w:rPr>
        <w:t xml:space="preserve"> IPCS provider</w:t>
      </w:r>
      <w:r w:rsidRPr="00BA00C3" w:rsidR="00BA00C3">
        <w:rPr>
          <w:sz w:val="26"/>
          <w:szCs w:val="26"/>
        </w:rPr>
        <w:t xml:space="preserve"> Global Tel*Link</w:t>
      </w:r>
      <w:r w:rsidR="00180D7E">
        <w:rPr>
          <w:sz w:val="26"/>
          <w:szCs w:val="26"/>
        </w:rPr>
        <w:t xml:space="preserve"> (GTL)</w:t>
      </w:r>
      <w:r w:rsidRPr="00BA00C3" w:rsidR="00BA00C3">
        <w:rPr>
          <w:sz w:val="26"/>
          <w:szCs w:val="26"/>
        </w:rPr>
        <w:t>.</w:t>
      </w:r>
      <w:r w:rsidRPr="00D351EE" w:rsidR="00D64F5A">
        <w:rPr>
          <w:rStyle w:val="FootnoteReference"/>
          <w:sz w:val="26"/>
          <w:szCs w:val="26"/>
        </w:rPr>
        <w:footnoteReference w:id="14"/>
      </w:r>
      <w:r w:rsidRPr="00BA00C3" w:rsidR="00BA00C3">
        <w:rPr>
          <w:sz w:val="26"/>
          <w:szCs w:val="26"/>
        </w:rPr>
        <w:t xml:space="preserve"> </w:t>
      </w:r>
    </w:p>
    <w:p w:rsidRPr="00D351EE" w:rsidR="00040561" w:rsidP="00040561" w:rsidRDefault="00BA00C3" w14:paraId="03F03DEC" w14:textId="57AF8813">
      <w:pPr>
        <w:pStyle w:val="Standard"/>
        <w:ind w:firstLine="720"/>
        <w:rPr>
          <w:sz w:val="26"/>
          <w:szCs w:val="26"/>
        </w:rPr>
      </w:pPr>
      <w:r w:rsidRPr="00BA00C3">
        <w:rPr>
          <w:sz w:val="26"/>
          <w:szCs w:val="26"/>
        </w:rPr>
        <w:lastRenderedPageBreak/>
        <w:t>California counties operate county jails for adults, including court holding facilities, temporary holding facilities and long</w:t>
      </w:r>
      <w:r w:rsidRPr="00D351EE" w:rsidR="001B2D50">
        <w:rPr>
          <w:sz w:val="26"/>
          <w:szCs w:val="26"/>
        </w:rPr>
        <w:t>-</w:t>
      </w:r>
      <w:r w:rsidRPr="001B2D50" w:rsidR="001B2D50">
        <w:rPr>
          <w:sz w:val="26"/>
          <w:szCs w:val="26"/>
        </w:rPr>
        <w:t>term jails.</w:t>
      </w:r>
      <w:r w:rsidRPr="00D351EE" w:rsidR="001B2D50">
        <w:rPr>
          <w:rStyle w:val="FootnoteReference"/>
          <w:sz w:val="26"/>
          <w:szCs w:val="26"/>
        </w:rPr>
        <w:footnoteReference w:id="15"/>
      </w:r>
      <w:r w:rsidRPr="001B2D50" w:rsidR="001B2D50">
        <w:rPr>
          <w:sz w:val="26"/>
          <w:szCs w:val="26"/>
        </w:rPr>
        <w:t xml:space="preserve"> </w:t>
      </w:r>
      <w:r w:rsidR="00DB040A">
        <w:rPr>
          <w:sz w:val="26"/>
          <w:szCs w:val="26"/>
        </w:rPr>
        <w:t xml:space="preserve"> </w:t>
      </w:r>
      <w:r w:rsidRPr="001B2D50" w:rsidR="001B2D50">
        <w:rPr>
          <w:sz w:val="26"/>
          <w:szCs w:val="26"/>
        </w:rPr>
        <w:t xml:space="preserve">California counties also manage </w:t>
      </w:r>
      <w:r w:rsidR="00504177">
        <w:rPr>
          <w:sz w:val="26"/>
          <w:szCs w:val="26"/>
        </w:rPr>
        <w:t>approximately</w:t>
      </w:r>
      <w:r w:rsidRPr="001B2D50" w:rsidR="001B2D50">
        <w:rPr>
          <w:sz w:val="26"/>
          <w:szCs w:val="26"/>
        </w:rPr>
        <w:t xml:space="preserve"> 70 juvenile detention centers and camps.</w:t>
      </w:r>
      <w:r w:rsidRPr="00D351EE" w:rsidR="001B2D50">
        <w:rPr>
          <w:rStyle w:val="FootnoteReference"/>
          <w:sz w:val="26"/>
          <w:szCs w:val="26"/>
        </w:rPr>
        <w:footnoteReference w:id="16"/>
      </w:r>
      <w:r w:rsidRPr="001B2D50" w:rsidR="001B2D50">
        <w:rPr>
          <w:sz w:val="26"/>
          <w:szCs w:val="26"/>
        </w:rPr>
        <w:t xml:space="preserve"> </w:t>
      </w:r>
      <w:r w:rsidR="000E2947">
        <w:rPr>
          <w:sz w:val="26"/>
          <w:szCs w:val="26"/>
        </w:rPr>
        <w:t xml:space="preserve"> </w:t>
      </w:r>
      <w:r w:rsidRPr="001B2D50" w:rsidR="001B2D50">
        <w:rPr>
          <w:sz w:val="26"/>
          <w:szCs w:val="26"/>
        </w:rPr>
        <w:t xml:space="preserve">California cities </w:t>
      </w:r>
      <w:r w:rsidR="00306C34">
        <w:rPr>
          <w:sz w:val="26"/>
          <w:szCs w:val="26"/>
        </w:rPr>
        <w:t>a</w:t>
      </w:r>
      <w:r w:rsidRPr="001B2D50" w:rsidR="001B2D50">
        <w:rPr>
          <w:sz w:val="26"/>
          <w:szCs w:val="26"/>
        </w:rPr>
        <w:t xml:space="preserve">lso </w:t>
      </w:r>
      <w:r w:rsidR="000E2947">
        <w:rPr>
          <w:sz w:val="26"/>
          <w:szCs w:val="26"/>
        </w:rPr>
        <w:t xml:space="preserve">sometimes </w:t>
      </w:r>
      <w:r w:rsidRPr="001B2D50" w:rsidR="001B2D50">
        <w:rPr>
          <w:sz w:val="26"/>
          <w:szCs w:val="26"/>
        </w:rPr>
        <w:t xml:space="preserve">operate jails or holding facilities. </w:t>
      </w:r>
      <w:r w:rsidR="00DB040A">
        <w:rPr>
          <w:sz w:val="26"/>
          <w:szCs w:val="26"/>
        </w:rPr>
        <w:t xml:space="preserve"> </w:t>
      </w:r>
      <w:r w:rsidRPr="00D351EE" w:rsidR="001B2D50">
        <w:rPr>
          <w:sz w:val="26"/>
          <w:szCs w:val="26"/>
        </w:rPr>
        <w:t>Fifty</w:t>
      </w:r>
      <w:r w:rsidRPr="00D351EE" w:rsidR="00307F2B">
        <w:rPr>
          <w:sz w:val="26"/>
          <w:szCs w:val="26"/>
        </w:rPr>
        <w:t>-</w:t>
      </w:r>
      <w:r w:rsidRPr="00D351EE" w:rsidR="001B2D50">
        <w:rPr>
          <w:sz w:val="26"/>
          <w:szCs w:val="26"/>
        </w:rPr>
        <w:t xml:space="preserve">eight </w:t>
      </w:r>
      <w:r w:rsidRPr="001B2D50" w:rsidR="001B2D50">
        <w:rPr>
          <w:sz w:val="26"/>
          <w:szCs w:val="26"/>
        </w:rPr>
        <w:t xml:space="preserve">county sheriffs and probation chiefs negotiate their contracts independently with </w:t>
      </w:r>
      <w:r w:rsidR="005E6F98">
        <w:rPr>
          <w:sz w:val="26"/>
          <w:szCs w:val="26"/>
        </w:rPr>
        <w:t xml:space="preserve">IPCS </w:t>
      </w:r>
      <w:r w:rsidRPr="001B2D50" w:rsidR="001B2D50">
        <w:rPr>
          <w:sz w:val="26"/>
          <w:szCs w:val="26"/>
        </w:rPr>
        <w:t>providers.</w:t>
      </w:r>
      <w:r w:rsidRPr="00D351EE" w:rsidR="001B2D50">
        <w:rPr>
          <w:rStyle w:val="FootnoteReference"/>
          <w:sz w:val="26"/>
          <w:szCs w:val="26"/>
        </w:rPr>
        <w:footnoteReference w:id="17"/>
      </w:r>
    </w:p>
    <w:p w:rsidRPr="00D351EE" w:rsidR="00040561" w:rsidP="00040561" w:rsidRDefault="00307F2B" w14:paraId="27FA29D3" w14:textId="7673319A">
      <w:pPr>
        <w:pStyle w:val="Standard"/>
        <w:ind w:firstLine="720"/>
        <w:rPr>
          <w:sz w:val="26"/>
          <w:szCs w:val="26"/>
        </w:rPr>
      </w:pPr>
      <w:r w:rsidRPr="00D351EE">
        <w:rPr>
          <w:sz w:val="26"/>
          <w:szCs w:val="26"/>
        </w:rPr>
        <w:t xml:space="preserve">This rulemaking builds on work by the </w:t>
      </w:r>
      <w:r w:rsidR="000E2947">
        <w:rPr>
          <w:sz w:val="26"/>
          <w:szCs w:val="26"/>
        </w:rPr>
        <w:t>Federal Communications Commission (</w:t>
      </w:r>
      <w:r w:rsidRPr="00D351EE">
        <w:rPr>
          <w:sz w:val="26"/>
          <w:szCs w:val="26"/>
        </w:rPr>
        <w:t>FCC</w:t>
      </w:r>
      <w:r w:rsidR="000E2947">
        <w:rPr>
          <w:sz w:val="26"/>
          <w:szCs w:val="26"/>
        </w:rPr>
        <w:t>)</w:t>
      </w:r>
      <w:r w:rsidRPr="00D351EE">
        <w:rPr>
          <w:sz w:val="26"/>
          <w:szCs w:val="26"/>
        </w:rPr>
        <w:t xml:space="preserve"> to regulate interstate in</w:t>
      </w:r>
      <w:r w:rsidR="007A039F">
        <w:rPr>
          <w:sz w:val="26"/>
          <w:szCs w:val="26"/>
        </w:rPr>
        <w:t xml:space="preserve">carcerated person’s </w:t>
      </w:r>
      <w:r w:rsidRPr="00D351EE">
        <w:rPr>
          <w:sz w:val="26"/>
          <w:szCs w:val="26"/>
        </w:rPr>
        <w:t>communication services.</w:t>
      </w:r>
      <w:r w:rsidR="00E04266">
        <w:rPr>
          <w:sz w:val="26"/>
          <w:szCs w:val="26"/>
        </w:rPr>
        <w:t xml:space="preserve"> </w:t>
      </w:r>
      <w:r w:rsidRPr="00D351EE">
        <w:rPr>
          <w:sz w:val="26"/>
          <w:szCs w:val="26"/>
        </w:rPr>
        <w:t xml:space="preserve"> </w:t>
      </w:r>
      <w:r w:rsidRPr="00D351EE" w:rsidR="005A6C99">
        <w:rPr>
          <w:sz w:val="26"/>
          <w:szCs w:val="26"/>
        </w:rPr>
        <w:t xml:space="preserve">In 2012, the FCC opened a rulemaking </w:t>
      </w:r>
      <w:r w:rsidRPr="00D351EE" w:rsidR="005A6C99">
        <w:rPr>
          <w:i/>
          <w:iCs/>
          <w:sz w:val="26"/>
          <w:szCs w:val="26"/>
        </w:rPr>
        <w:t xml:space="preserve">In the Matter of Rates for Interstate Inmate </w:t>
      </w:r>
      <w:r w:rsidRPr="00D351EE" w:rsidR="00941CA2">
        <w:rPr>
          <w:i/>
          <w:iCs/>
          <w:sz w:val="26"/>
          <w:szCs w:val="26"/>
        </w:rPr>
        <w:t>Calling Services,</w:t>
      </w:r>
      <w:r w:rsidRPr="00D351EE" w:rsidR="00941CA2">
        <w:rPr>
          <w:sz w:val="26"/>
          <w:szCs w:val="26"/>
        </w:rPr>
        <w:t xml:space="preserve"> WC Docket No. 12-375. </w:t>
      </w:r>
      <w:r w:rsidRPr="00D351EE">
        <w:rPr>
          <w:sz w:val="26"/>
          <w:szCs w:val="26"/>
        </w:rPr>
        <w:t xml:space="preserve"> </w:t>
      </w:r>
      <w:r w:rsidRPr="00D351EE" w:rsidR="00941CA2">
        <w:rPr>
          <w:sz w:val="26"/>
          <w:szCs w:val="26"/>
        </w:rPr>
        <w:t xml:space="preserve">The FCC did so to address concerns regarding a lack of competition in the </w:t>
      </w:r>
      <w:r w:rsidR="00C6603C">
        <w:rPr>
          <w:sz w:val="26"/>
          <w:szCs w:val="26"/>
        </w:rPr>
        <w:t>incarcerated person’s</w:t>
      </w:r>
      <w:r w:rsidRPr="00D351EE" w:rsidR="00941CA2">
        <w:rPr>
          <w:sz w:val="26"/>
          <w:szCs w:val="26"/>
        </w:rPr>
        <w:t xml:space="preserve"> communication services market, </w:t>
      </w:r>
      <w:r w:rsidR="00C6603C">
        <w:rPr>
          <w:sz w:val="26"/>
          <w:szCs w:val="26"/>
        </w:rPr>
        <w:t xml:space="preserve">which they said </w:t>
      </w:r>
      <w:r w:rsidRPr="00D351EE" w:rsidR="00941CA2">
        <w:rPr>
          <w:sz w:val="26"/>
          <w:szCs w:val="26"/>
        </w:rPr>
        <w:t>result</w:t>
      </w:r>
      <w:r w:rsidR="00C6603C">
        <w:rPr>
          <w:sz w:val="26"/>
          <w:szCs w:val="26"/>
        </w:rPr>
        <w:t xml:space="preserve">ed </w:t>
      </w:r>
      <w:r w:rsidRPr="00D351EE" w:rsidR="00941CA2">
        <w:rPr>
          <w:sz w:val="26"/>
          <w:szCs w:val="26"/>
        </w:rPr>
        <w:t xml:space="preserve">in “locational monopolies” </w:t>
      </w:r>
      <w:r w:rsidR="00C6603C">
        <w:rPr>
          <w:sz w:val="26"/>
          <w:szCs w:val="26"/>
        </w:rPr>
        <w:t xml:space="preserve">serving </w:t>
      </w:r>
      <w:r w:rsidRPr="00D351EE" w:rsidR="00941CA2">
        <w:rPr>
          <w:sz w:val="26"/>
          <w:szCs w:val="26"/>
        </w:rPr>
        <w:t>a “captive consumer base of inmates.”</w:t>
      </w:r>
      <w:r w:rsidRPr="00D351EE" w:rsidR="00941CA2">
        <w:rPr>
          <w:rStyle w:val="FootnoteReference"/>
          <w:sz w:val="26"/>
          <w:szCs w:val="26"/>
        </w:rPr>
        <w:footnoteReference w:id="18"/>
      </w:r>
      <w:r w:rsidRPr="00D351EE" w:rsidR="00941CA2">
        <w:rPr>
          <w:sz w:val="26"/>
          <w:szCs w:val="26"/>
        </w:rPr>
        <w:t xml:space="preserve">  The 2012 FCC rulemaking resulted in </w:t>
      </w:r>
      <w:r w:rsidR="005E482B">
        <w:rPr>
          <w:sz w:val="26"/>
          <w:szCs w:val="26"/>
        </w:rPr>
        <w:t xml:space="preserve">a 2013 </w:t>
      </w:r>
      <w:r w:rsidRPr="0003494E" w:rsidR="001D2130">
        <w:rPr>
          <w:i/>
          <w:iCs/>
          <w:sz w:val="26"/>
          <w:szCs w:val="26"/>
        </w:rPr>
        <w:t xml:space="preserve">Report and Order and Further notice of Proposed </w:t>
      </w:r>
      <w:r w:rsidRPr="0003494E" w:rsidR="001D2130">
        <w:rPr>
          <w:i/>
          <w:iCs/>
          <w:sz w:val="26"/>
          <w:szCs w:val="26"/>
        </w:rPr>
        <w:lastRenderedPageBreak/>
        <w:t>Rulemaking</w:t>
      </w:r>
      <w:r w:rsidR="001D2130">
        <w:rPr>
          <w:sz w:val="26"/>
          <w:szCs w:val="26"/>
        </w:rPr>
        <w:t xml:space="preserve"> (2013 Order) </w:t>
      </w:r>
      <w:r w:rsidR="00F1068A">
        <w:rPr>
          <w:sz w:val="26"/>
          <w:szCs w:val="26"/>
        </w:rPr>
        <w:t xml:space="preserve">adopting interim interstate </w:t>
      </w:r>
      <w:r w:rsidR="00632D0F">
        <w:rPr>
          <w:sz w:val="26"/>
          <w:szCs w:val="26"/>
        </w:rPr>
        <w:t xml:space="preserve">IPCS </w:t>
      </w:r>
      <w:r w:rsidR="00F1068A">
        <w:rPr>
          <w:sz w:val="26"/>
          <w:szCs w:val="26"/>
        </w:rPr>
        <w:t xml:space="preserve">rate caps of $0.21 per minute for </w:t>
      </w:r>
      <w:r w:rsidR="00632D0F">
        <w:rPr>
          <w:sz w:val="26"/>
          <w:szCs w:val="26"/>
        </w:rPr>
        <w:t>debit and prepaid calls and $0.25 per minute for collect calls</w:t>
      </w:r>
      <w:r w:rsidRPr="00D351EE" w:rsidR="00941CA2">
        <w:rPr>
          <w:sz w:val="26"/>
          <w:szCs w:val="26"/>
        </w:rPr>
        <w:t>.</w:t>
      </w:r>
      <w:r w:rsidRPr="00D351EE" w:rsidR="00941CA2">
        <w:rPr>
          <w:rStyle w:val="FootnoteReference"/>
          <w:sz w:val="26"/>
          <w:szCs w:val="26"/>
        </w:rPr>
        <w:footnoteReference w:id="19"/>
      </w:r>
      <w:r w:rsidRPr="00D351EE" w:rsidR="00941CA2">
        <w:rPr>
          <w:sz w:val="26"/>
          <w:szCs w:val="26"/>
        </w:rPr>
        <w:t xml:space="preserve"> </w:t>
      </w:r>
      <w:r w:rsidRPr="00D351EE" w:rsidR="00FB7348">
        <w:rPr>
          <w:sz w:val="26"/>
          <w:szCs w:val="26"/>
        </w:rPr>
        <w:t xml:space="preserve"> </w:t>
      </w:r>
    </w:p>
    <w:p w:rsidRPr="00D351EE" w:rsidR="00040561" w:rsidP="00040561" w:rsidRDefault="00941CA2" w14:paraId="73709D2E" w14:textId="45090297">
      <w:pPr>
        <w:pStyle w:val="Standard"/>
        <w:ind w:firstLine="720"/>
        <w:rPr>
          <w:sz w:val="26"/>
          <w:szCs w:val="26"/>
        </w:rPr>
      </w:pPr>
      <w:r w:rsidRPr="00D351EE">
        <w:rPr>
          <w:sz w:val="26"/>
          <w:szCs w:val="26"/>
        </w:rPr>
        <w:t xml:space="preserve">In 2015, the FCC approved its </w:t>
      </w:r>
      <w:r w:rsidRPr="03772EA8">
        <w:rPr>
          <w:i/>
          <w:iCs/>
          <w:sz w:val="26"/>
          <w:szCs w:val="26"/>
        </w:rPr>
        <w:t xml:space="preserve">Second Report and Order and Third Further Notice of Proposed Rulemaking </w:t>
      </w:r>
      <w:r w:rsidRPr="00D351EE">
        <w:rPr>
          <w:sz w:val="26"/>
          <w:szCs w:val="26"/>
        </w:rPr>
        <w:t>(</w:t>
      </w:r>
      <w:r w:rsidR="009D1C75">
        <w:rPr>
          <w:sz w:val="26"/>
          <w:szCs w:val="26"/>
        </w:rPr>
        <w:t xml:space="preserve">2015 </w:t>
      </w:r>
      <w:r w:rsidRPr="00D351EE">
        <w:rPr>
          <w:sz w:val="26"/>
          <w:szCs w:val="26"/>
        </w:rPr>
        <w:t>Order)</w:t>
      </w:r>
      <w:r w:rsidRPr="00D351EE" w:rsidR="00F03856">
        <w:rPr>
          <w:sz w:val="26"/>
          <w:szCs w:val="26"/>
        </w:rPr>
        <w:t xml:space="preserve">.  In this, the FCC </w:t>
      </w:r>
      <w:r w:rsidRPr="00D351EE">
        <w:rPr>
          <w:sz w:val="26"/>
          <w:szCs w:val="26"/>
        </w:rPr>
        <w:t>stated that “there is little dispute that the [</w:t>
      </w:r>
      <w:r w:rsidRPr="00D351EE" w:rsidR="006117BC">
        <w:rPr>
          <w:sz w:val="26"/>
          <w:szCs w:val="26"/>
        </w:rPr>
        <w:t>IPCS</w:t>
      </w:r>
      <w:r w:rsidRPr="00D351EE">
        <w:rPr>
          <w:sz w:val="26"/>
          <w:szCs w:val="26"/>
        </w:rPr>
        <w:t>] market is a prime example of market failure.”</w:t>
      </w:r>
      <w:r w:rsidRPr="00D351EE">
        <w:rPr>
          <w:rStyle w:val="FootnoteReference"/>
          <w:sz w:val="26"/>
          <w:szCs w:val="26"/>
        </w:rPr>
        <w:footnoteReference w:id="20"/>
      </w:r>
      <w:r w:rsidRPr="00D351EE" w:rsidR="00FB7348">
        <w:rPr>
          <w:sz w:val="26"/>
          <w:szCs w:val="26"/>
        </w:rPr>
        <w:t xml:space="preserve"> </w:t>
      </w:r>
      <w:r w:rsidRPr="00D351EE">
        <w:rPr>
          <w:sz w:val="26"/>
          <w:szCs w:val="26"/>
        </w:rPr>
        <w:t xml:space="preserve">Among other things, the </w:t>
      </w:r>
      <w:r w:rsidR="00286963">
        <w:rPr>
          <w:sz w:val="26"/>
          <w:szCs w:val="26"/>
        </w:rPr>
        <w:t xml:space="preserve">FCC’s </w:t>
      </w:r>
      <w:r w:rsidRPr="00D351EE">
        <w:rPr>
          <w:sz w:val="26"/>
          <w:szCs w:val="26"/>
        </w:rPr>
        <w:t>2015 Order imposed or updated fee caps on both interstate and intrastate inmate communication rates and ancillary fees.</w:t>
      </w:r>
      <w:r w:rsidRPr="00D351EE">
        <w:rPr>
          <w:rStyle w:val="FootnoteReference"/>
          <w:sz w:val="26"/>
          <w:szCs w:val="26"/>
        </w:rPr>
        <w:footnoteReference w:id="21"/>
      </w:r>
      <w:r w:rsidRPr="00D351EE">
        <w:rPr>
          <w:sz w:val="26"/>
          <w:szCs w:val="26"/>
        </w:rPr>
        <w:t xml:space="preserve">  </w:t>
      </w:r>
    </w:p>
    <w:p w:rsidRPr="00D351EE" w:rsidR="00040561" w:rsidP="00472730" w:rsidRDefault="00941CA2" w14:paraId="077179C7" w14:textId="53B6755E">
      <w:pPr>
        <w:pStyle w:val="Standard"/>
        <w:ind w:firstLine="720"/>
        <w:rPr>
          <w:sz w:val="26"/>
          <w:szCs w:val="26"/>
        </w:rPr>
      </w:pPr>
      <w:r w:rsidRPr="00D351EE">
        <w:rPr>
          <w:sz w:val="26"/>
          <w:szCs w:val="26"/>
        </w:rPr>
        <w:t>In 2017, the U</w:t>
      </w:r>
      <w:r w:rsidR="003F01C8">
        <w:rPr>
          <w:sz w:val="26"/>
          <w:szCs w:val="26"/>
        </w:rPr>
        <w:t>nited States</w:t>
      </w:r>
      <w:r w:rsidRPr="00D351EE">
        <w:rPr>
          <w:sz w:val="26"/>
          <w:szCs w:val="26"/>
        </w:rPr>
        <w:t xml:space="preserve"> Court of Appeals for the D</w:t>
      </w:r>
      <w:r w:rsidR="006B7847">
        <w:rPr>
          <w:sz w:val="26"/>
          <w:szCs w:val="26"/>
        </w:rPr>
        <w:t xml:space="preserve">istrict of Columbia </w:t>
      </w:r>
      <w:r w:rsidRPr="00D351EE">
        <w:rPr>
          <w:sz w:val="26"/>
          <w:szCs w:val="26"/>
        </w:rPr>
        <w:t xml:space="preserve"> Circuit (</w:t>
      </w:r>
      <w:r w:rsidR="00851A1D">
        <w:rPr>
          <w:sz w:val="26"/>
          <w:szCs w:val="26"/>
        </w:rPr>
        <w:t xml:space="preserve">D.C. </w:t>
      </w:r>
      <w:r w:rsidR="003B5021">
        <w:rPr>
          <w:sz w:val="26"/>
          <w:szCs w:val="26"/>
        </w:rPr>
        <w:t>Circuit</w:t>
      </w:r>
      <w:r w:rsidRPr="00D351EE">
        <w:rPr>
          <w:sz w:val="26"/>
          <w:szCs w:val="26"/>
        </w:rPr>
        <w:t>) struck down the portion of the 2015 FCC Order that attempted to impose intrastate rate caps as beyond the FCC’s statutory authority.</w:t>
      </w:r>
      <w:r w:rsidRPr="00D351EE">
        <w:rPr>
          <w:rStyle w:val="FootnoteReference"/>
          <w:sz w:val="26"/>
          <w:szCs w:val="26"/>
        </w:rPr>
        <w:footnoteReference w:id="22"/>
      </w:r>
      <w:r w:rsidRPr="00D351EE">
        <w:rPr>
          <w:sz w:val="26"/>
          <w:szCs w:val="26"/>
        </w:rPr>
        <w:t xml:space="preserve">  The </w:t>
      </w:r>
      <w:r w:rsidR="00851A1D">
        <w:rPr>
          <w:sz w:val="26"/>
          <w:szCs w:val="26"/>
        </w:rPr>
        <w:t xml:space="preserve">D.C. </w:t>
      </w:r>
      <w:r w:rsidR="003B5021">
        <w:rPr>
          <w:sz w:val="26"/>
          <w:szCs w:val="26"/>
        </w:rPr>
        <w:t>Circuit</w:t>
      </w:r>
      <w:r w:rsidRPr="00D351EE">
        <w:rPr>
          <w:sz w:val="26"/>
          <w:szCs w:val="26"/>
        </w:rPr>
        <w:t xml:space="preserve"> also vacated the FCC’s 2015 </w:t>
      </w:r>
      <w:r w:rsidRPr="00D351EE" w:rsidR="00FB7348">
        <w:rPr>
          <w:sz w:val="26"/>
          <w:szCs w:val="26"/>
        </w:rPr>
        <w:t>rate caps</w:t>
      </w:r>
      <w:r w:rsidR="001A7244">
        <w:rPr>
          <w:sz w:val="26"/>
          <w:szCs w:val="26"/>
        </w:rPr>
        <w:t xml:space="preserve">, but the </w:t>
      </w:r>
      <w:r w:rsidR="00C01D40">
        <w:rPr>
          <w:sz w:val="26"/>
          <w:szCs w:val="26"/>
        </w:rPr>
        <w:t>ancillary service fee caps adopted in 2015 remained in place.</w:t>
      </w:r>
      <w:r w:rsidR="00C01D40">
        <w:rPr>
          <w:rStyle w:val="FootnoteReference"/>
          <w:sz w:val="26"/>
          <w:szCs w:val="26"/>
        </w:rPr>
        <w:footnoteReference w:id="23"/>
      </w:r>
      <w:r w:rsidR="00AE172F">
        <w:rPr>
          <w:sz w:val="26"/>
          <w:szCs w:val="26"/>
        </w:rPr>
        <w:t xml:space="preserve">  The FCC estimates that r</w:t>
      </w:r>
      <w:r w:rsidRPr="00AE172F" w:rsidR="00AE172F">
        <w:rPr>
          <w:sz w:val="26"/>
          <w:szCs w:val="26"/>
        </w:rPr>
        <w:t>oughly 20 percent of IPCS calls nationally are interstate calls and 80 percent are intrastate calls.</w:t>
      </w:r>
      <w:r w:rsidRPr="00AE172F" w:rsidR="00AE172F">
        <w:rPr>
          <w:sz w:val="26"/>
          <w:szCs w:val="26"/>
          <w:vertAlign w:val="superscript"/>
        </w:rPr>
        <w:footnoteReference w:id="24"/>
      </w:r>
    </w:p>
    <w:p w:rsidRPr="00D351EE" w:rsidR="007E23A4" w:rsidRDefault="007E23A4" w14:paraId="17534760" w14:textId="46E1407A">
      <w:pPr>
        <w:pStyle w:val="Standard"/>
        <w:ind w:firstLine="720"/>
        <w:rPr>
          <w:sz w:val="26"/>
          <w:szCs w:val="26"/>
        </w:rPr>
      </w:pPr>
      <w:r w:rsidRPr="00D351EE">
        <w:rPr>
          <w:sz w:val="26"/>
          <w:szCs w:val="26"/>
        </w:rPr>
        <w:t xml:space="preserve">In California, </w:t>
      </w:r>
      <w:r w:rsidR="00E602D1">
        <w:rPr>
          <w:sz w:val="26"/>
          <w:szCs w:val="26"/>
        </w:rPr>
        <w:t xml:space="preserve">Senator </w:t>
      </w:r>
      <w:r w:rsidR="00DB0A45">
        <w:rPr>
          <w:sz w:val="26"/>
          <w:szCs w:val="26"/>
        </w:rPr>
        <w:t>Holly</w:t>
      </w:r>
      <w:r w:rsidR="00E602D1">
        <w:rPr>
          <w:sz w:val="26"/>
          <w:szCs w:val="26"/>
        </w:rPr>
        <w:t xml:space="preserve"> Mitchell introduced </w:t>
      </w:r>
      <w:r w:rsidRPr="00D351EE">
        <w:rPr>
          <w:sz w:val="26"/>
          <w:szCs w:val="26"/>
        </w:rPr>
        <w:t>Senate Bill (SB) 555</w:t>
      </w:r>
      <w:r w:rsidR="00E602D1">
        <w:rPr>
          <w:sz w:val="26"/>
          <w:szCs w:val="26"/>
        </w:rPr>
        <w:t xml:space="preserve"> on February 22, 2019</w:t>
      </w:r>
      <w:r w:rsidR="001D4803">
        <w:rPr>
          <w:sz w:val="26"/>
          <w:szCs w:val="26"/>
        </w:rPr>
        <w:t xml:space="preserve">, and </w:t>
      </w:r>
      <w:r>
        <w:rPr>
          <w:sz w:val="26"/>
          <w:szCs w:val="26"/>
        </w:rPr>
        <w:t xml:space="preserve">the Legislature </w:t>
      </w:r>
      <w:r w:rsidR="00FF6AE0">
        <w:rPr>
          <w:sz w:val="26"/>
          <w:szCs w:val="26"/>
        </w:rPr>
        <w:t>adopted SB 555</w:t>
      </w:r>
      <w:r w:rsidR="001D4803">
        <w:rPr>
          <w:sz w:val="26"/>
          <w:szCs w:val="26"/>
        </w:rPr>
        <w:t xml:space="preserve"> in September 2020.  SB 555</w:t>
      </w:r>
      <w:r w:rsidR="00FF6AE0">
        <w:rPr>
          <w:sz w:val="26"/>
          <w:szCs w:val="26"/>
        </w:rPr>
        <w:t xml:space="preserve"> </w:t>
      </w:r>
      <w:r w:rsidRPr="00D351EE">
        <w:rPr>
          <w:sz w:val="26"/>
          <w:szCs w:val="26"/>
        </w:rPr>
        <w:t>capped</w:t>
      </w:r>
      <w:r>
        <w:rPr>
          <w:sz w:val="26"/>
          <w:szCs w:val="26"/>
        </w:rPr>
        <w:t xml:space="preserve"> </w:t>
      </w:r>
      <w:r w:rsidRPr="0069590B">
        <w:rPr>
          <w:sz w:val="26"/>
          <w:szCs w:val="26"/>
        </w:rPr>
        <w:t xml:space="preserve">rates for telephone communication services for incarcerated people at five cents </w:t>
      </w:r>
      <w:r w:rsidR="00B14067">
        <w:rPr>
          <w:sz w:val="26"/>
          <w:szCs w:val="26"/>
        </w:rPr>
        <w:t xml:space="preserve">($0.05) </w:t>
      </w:r>
      <w:r w:rsidRPr="0069590B">
        <w:rPr>
          <w:sz w:val="26"/>
          <w:szCs w:val="26"/>
        </w:rPr>
        <w:t xml:space="preserve">per minute and capped rates for video communications services at twenty-five cents </w:t>
      </w:r>
      <w:r w:rsidR="00B14067">
        <w:rPr>
          <w:sz w:val="26"/>
          <w:szCs w:val="26"/>
        </w:rPr>
        <w:t xml:space="preserve">($0.25) </w:t>
      </w:r>
      <w:r w:rsidRPr="0069590B">
        <w:rPr>
          <w:sz w:val="26"/>
          <w:szCs w:val="26"/>
        </w:rPr>
        <w:t xml:space="preserve">per minute. </w:t>
      </w:r>
      <w:r w:rsidRPr="00D351EE">
        <w:rPr>
          <w:sz w:val="26"/>
          <w:szCs w:val="26"/>
        </w:rPr>
        <w:t xml:space="preserve"> </w:t>
      </w:r>
      <w:r w:rsidRPr="0069590B">
        <w:rPr>
          <w:sz w:val="26"/>
          <w:szCs w:val="26"/>
        </w:rPr>
        <w:t>The bill</w:t>
      </w:r>
      <w:r w:rsidR="00E91B21">
        <w:rPr>
          <w:sz w:val="26"/>
          <w:szCs w:val="26"/>
        </w:rPr>
        <w:t xml:space="preserve"> prohibited </w:t>
      </w:r>
      <w:r w:rsidR="00E928D2">
        <w:rPr>
          <w:sz w:val="26"/>
          <w:szCs w:val="26"/>
        </w:rPr>
        <w:t xml:space="preserve">several types of </w:t>
      </w:r>
      <w:r w:rsidR="00E928D2">
        <w:rPr>
          <w:sz w:val="26"/>
          <w:szCs w:val="26"/>
        </w:rPr>
        <w:lastRenderedPageBreak/>
        <w:t xml:space="preserve">ancillary </w:t>
      </w:r>
      <w:r w:rsidRPr="0069590B">
        <w:rPr>
          <w:sz w:val="26"/>
          <w:szCs w:val="26"/>
        </w:rPr>
        <w:t>fees</w:t>
      </w:r>
      <w:r w:rsidR="00E928D2">
        <w:rPr>
          <w:sz w:val="26"/>
          <w:szCs w:val="26"/>
        </w:rPr>
        <w:t>,</w:t>
      </w:r>
      <w:r w:rsidR="00D768B3">
        <w:rPr>
          <w:sz w:val="26"/>
          <w:szCs w:val="26"/>
        </w:rPr>
        <w:t xml:space="preserve"> required any </w:t>
      </w:r>
      <w:r w:rsidR="00A11B3E">
        <w:rPr>
          <w:sz w:val="26"/>
          <w:szCs w:val="26"/>
        </w:rPr>
        <w:t>“</w:t>
      </w:r>
      <w:r w:rsidR="00B14067">
        <w:rPr>
          <w:sz w:val="26"/>
          <w:szCs w:val="26"/>
        </w:rPr>
        <w:t xml:space="preserve">site </w:t>
      </w:r>
      <w:r w:rsidR="00D768B3">
        <w:rPr>
          <w:sz w:val="26"/>
          <w:szCs w:val="26"/>
        </w:rPr>
        <w:t>commissions</w:t>
      </w:r>
      <w:r w:rsidR="00A11B3E">
        <w:rPr>
          <w:sz w:val="26"/>
          <w:szCs w:val="26"/>
        </w:rPr>
        <w:t>”</w:t>
      </w:r>
      <w:r w:rsidR="00D768B3">
        <w:rPr>
          <w:sz w:val="26"/>
          <w:szCs w:val="26"/>
        </w:rPr>
        <w:t xml:space="preserve"> </w:t>
      </w:r>
      <w:r w:rsidR="00E928D2">
        <w:rPr>
          <w:sz w:val="26"/>
          <w:szCs w:val="26"/>
        </w:rPr>
        <w:t xml:space="preserve">paid by IPCS providers </w:t>
      </w:r>
      <w:r w:rsidR="00D768B3">
        <w:rPr>
          <w:sz w:val="26"/>
          <w:szCs w:val="26"/>
        </w:rPr>
        <w:t xml:space="preserve">to be used solely for the benefit of </w:t>
      </w:r>
      <w:r w:rsidR="00577EEB">
        <w:rPr>
          <w:sz w:val="26"/>
          <w:szCs w:val="26"/>
        </w:rPr>
        <w:t>incarcerated people</w:t>
      </w:r>
      <w:r w:rsidR="00E928D2">
        <w:rPr>
          <w:sz w:val="26"/>
          <w:szCs w:val="26"/>
        </w:rPr>
        <w:t xml:space="preserve">, and </w:t>
      </w:r>
      <w:r w:rsidRPr="0069590B">
        <w:rPr>
          <w:sz w:val="26"/>
          <w:szCs w:val="26"/>
        </w:rPr>
        <w:t>require</w:t>
      </w:r>
      <w:r>
        <w:rPr>
          <w:sz w:val="26"/>
          <w:szCs w:val="26"/>
        </w:rPr>
        <w:t>d</w:t>
      </w:r>
      <w:r w:rsidRPr="0069590B">
        <w:rPr>
          <w:sz w:val="26"/>
          <w:szCs w:val="26"/>
        </w:rPr>
        <w:t xml:space="preserve"> counties to award contracts to providers offering the lowest cost for quality services.</w:t>
      </w:r>
      <w:r w:rsidR="00204AC5">
        <w:rPr>
          <w:rStyle w:val="FootnoteReference"/>
          <w:sz w:val="26"/>
          <w:szCs w:val="26"/>
        </w:rPr>
        <w:footnoteReference w:id="25"/>
      </w:r>
      <w:r w:rsidR="000E1DE8">
        <w:rPr>
          <w:sz w:val="26"/>
          <w:szCs w:val="26"/>
        </w:rPr>
        <w:t xml:space="preserve">  </w:t>
      </w:r>
      <w:r w:rsidR="009451F5">
        <w:rPr>
          <w:sz w:val="26"/>
          <w:szCs w:val="26"/>
        </w:rPr>
        <w:t xml:space="preserve">Penal Code </w:t>
      </w:r>
      <w:r w:rsidR="008C6FDD">
        <w:rPr>
          <w:sz w:val="26"/>
          <w:szCs w:val="26"/>
        </w:rPr>
        <w:t xml:space="preserve">4025 authorizes </w:t>
      </w:r>
      <w:r w:rsidR="00FC05CB">
        <w:rPr>
          <w:sz w:val="26"/>
          <w:szCs w:val="26"/>
        </w:rPr>
        <w:t>sheriffs</w:t>
      </w:r>
      <w:r w:rsidR="00334FD5">
        <w:rPr>
          <w:sz w:val="26"/>
          <w:szCs w:val="26"/>
        </w:rPr>
        <w:t>’</w:t>
      </w:r>
      <w:r w:rsidR="00FC05CB">
        <w:rPr>
          <w:sz w:val="26"/>
          <w:szCs w:val="26"/>
        </w:rPr>
        <w:t xml:space="preserve"> departments to place </w:t>
      </w:r>
      <w:r w:rsidR="00A11B3E">
        <w:rPr>
          <w:sz w:val="26"/>
          <w:szCs w:val="26"/>
        </w:rPr>
        <w:t>commissions</w:t>
      </w:r>
      <w:r w:rsidR="00FC05CB">
        <w:rPr>
          <w:sz w:val="26"/>
          <w:szCs w:val="26"/>
        </w:rPr>
        <w:t xml:space="preserve"> collected from IPCS providers in an inmate welfare fund that is to be used </w:t>
      </w:r>
      <w:r w:rsidR="00A11B3E">
        <w:rPr>
          <w:sz w:val="26"/>
          <w:szCs w:val="26"/>
        </w:rPr>
        <w:t>“primarily” for the benefit of incarcerated people</w:t>
      </w:r>
      <w:r w:rsidR="00F03B88">
        <w:rPr>
          <w:sz w:val="26"/>
          <w:szCs w:val="26"/>
        </w:rPr>
        <w:t>.</w:t>
      </w:r>
      <w:r w:rsidR="001A6E3B">
        <w:rPr>
          <w:rStyle w:val="FootnoteReference"/>
          <w:sz w:val="26"/>
          <w:szCs w:val="26"/>
        </w:rPr>
        <w:footnoteReference w:id="26"/>
      </w:r>
    </w:p>
    <w:p w:rsidR="007E23A4" w:rsidP="007E23A4" w:rsidRDefault="007E23A4" w14:paraId="70E5E4A5" w14:textId="0B3C62C9">
      <w:pPr>
        <w:pStyle w:val="Standard"/>
        <w:ind w:firstLine="720"/>
        <w:rPr>
          <w:sz w:val="26"/>
          <w:szCs w:val="26"/>
        </w:rPr>
      </w:pPr>
      <w:r w:rsidRPr="0069590B">
        <w:rPr>
          <w:sz w:val="26"/>
          <w:szCs w:val="26"/>
        </w:rPr>
        <w:t xml:space="preserve">Governor Newsom vetoed </w:t>
      </w:r>
      <w:r>
        <w:rPr>
          <w:sz w:val="26"/>
          <w:szCs w:val="26"/>
        </w:rPr>
        <w:t>SB 555</w:t>
      </w:r>
      <w:r w:rsidRPr="0069590B">
        <w:rPr>
          <w:sz w:val="26"/>
          <w:szCs w:val="26"/>
        </w:rPr>
        <w:t xml:space="preserve"> </w:t>
      </w:r>
      <w:r>
        <w:rPr>
          <w:sz w:val="26"/>
          <w:szCs w:val="26"/>
        </w:rPr>
        <w:t>in late 2020.  T</w:t>
      </w:r>
      <w:r w:rsidRPr="0069590B">
        <w:rPr>
          <w:sz w:val="26"/>
          <w:szCs w:val="26"/>
        </w:rPr>
        <w:t>he Governor’s veto message said that he “strongly support[ed] the goals of the bill” but feared reductions to the inmate welfare fund would have the “unintended consequence of reducing important rehabilitative and educational programs for individuals in custody.”</w:t>
      </w:r>
      <w:r w:rsidRPr="00D351EE">
        <w:rPr>
          <w:rStyle w:val="FootnoteReference"/>
          <w:sz w:val="26"/>
          <w:szCs w:val="26"/>
        </w:rPr>
        <w:footnoteReference w:id="27"/>
      </w:r>
    </w:p>
    <w:p w:rsidR="00F71A47" w:rsidP="00F71A47" w:rsidRDefault="000A0767" w14:paraId="4002C8BC" w14:textId="5FFEBEE3">
      <w:pPr>
        <w:pStyle w:val="Standard"/>
        <w:ind w:firstLine="720"/>
        <w:rPr>
          <w:sz w:val="26"/>
          <w:szCs w:val="26"/>
        </w:rPr>
      </w:pPr>
      <w:r w:rsidRPr="00D351EE">
        <w:rPr>
          <w:sz w:val="26"/>
          <w:szCs w:val="26"/>
        </w:rPr>
        <w:t xml:space="preserve">In response to the COVID-19 pandemic, the FCC in mid- 2020 </w:t>
      </w:r>
      <w:r>
        <w:rPr>
          <w:sz w:val="26"/>
          <w:szCs w:val="26"/>
        </w:rPr>
        <w:t>ask</w:t>
      </w:r>
      <w:r w:rsidRPr="00D351EE">
        <w:rPr>
          <w:sz w:val="26"/>
          <w:szCs w:val="26"/>
        </w:rPr>
        <w:t xml:space="preserve">ed the National Association of Regulatory Utility Commissioners (NARUC) and state regulatory commissions </w:t>
      </w:r>
      <w:r>
        <w:rPr>
          <w:sz w:val="26"/>
          <w:szCs w:val="26"/>
        </w:rPr>
        <w:t xml:space="preserve">to act </w:t>
      </w:r>
      <w:r w:rsidRPr="00D351EE">
        <w:rPr>
          <w:sz w:val="26"/>
          <w:szCs w:val="26"/>
        </w:rPr>
        <w:t>on intrastate inmate communication services rates to enable more affordable communications for the incarcerated and their families.</w:t>
      </w:r>
      <w:r w:rsidRPr="00D351EE">
        <w:rPr>
          <w:rStyle w:val="FootnoteReference"/>
          <w:sz w:val="26"/>
          <w:szCs w:val="26"/>
        </w:rPr>
        <w:footnoteReference w:id="28"/>
      </w:r>
      <w:r w:rsidRPr="00D351EE">
        <w:rPr>
          <w:sz w:val="26"/>
          <w:szCs w:val="26"/>
        </w:rPr>
        <w:t xml:space="preserve">  Shortly thereafter, NARUC asked state utility commissions to review the rates and terms under which telecommunications services are provided to </w:t>
      </w:r>
      <w:r w:rsidRPr="00D351EE">
        <w:rPr>
          <w:sz w:val="26"/>
          <w:szCs w:val="26"/>
        </w:rPr>
        <w:lastRenderedPageBreak/>
        <w:t>incarcerated people “and act, where appropriate.”</w:t>
      </w:r>
      <w:r w:rsidRPr="00D351EE">
        <w:rPr>
          <w:rStyle w:val="FootnoteReference"/>
          <w:sz w:val="26"/>
          <w:szCs w:val="26"/>
        </w:rPr>
        <w:footnoteReference w:id="29"/>
      </w:r>
      <w:r w:rsidR="00F71A47">
        <w:rPr>
          <w:sz w:val="26"/>
          <w:szCs w:val="26"/>
        </w:rPr>
        <w:t xml:space="preserve">  On October 8, 2020, t</w:t>
      </w:r>
      <w:r w:rsidRPr="00D351EE" w:rsidR="00F71A47">
        <w:rPr>
          <w:sz w:val="26"/>
          <w:szCs w:val="26"/>
        </w:rPr>
        <w:t xml:space="preserve">he Commission opened </w:t>
      </w:r>
      <w:r w:rsidR="00F71A47">
        <w:rPr>
          <w:sz w:val="26"/>
          <w:szCs w:val="26"/>
        </w:rPr>
        <w:t>R.</w:t>
      </w:r>
      <w:r w:rsidRPr="00D351EE" w:rsidR="00F71A47">
        <w:rPr>
          <w:sz w:val="26"/>
          <w:szCs w:val="26"/>
        </w:rPr>
        <w:t>20-10-002</w:t>
      </w:r>
      <w:r w:rsidR="00F71A47">
        <w:rPr>
          <w:sz w:val="26"/>
          <w:szCs w:val="26"/>
        </w:rPr>
        <w:t>.</w:t>
      </w:r>
    </w:p>
    <w:p w:rsidRPr="00D351EE" w:rsidR="00664314" w:rsidP="00F71A47" w:rsidRDefault="00664314" w14:paraId="4AEDE2F5" w14:textId="3BB05617">
      <w:pPr>
        <w:pStyle w:val="Standard"/>
        <w:ind w:firstLine="720"/>
        <w:rPr>
          <w:sz w:val="26"/>
          <w:szCs w:val="26"/>
        </w:rPr>
      </w:pPr>
      <w:r w:rsidRPr="00177C37">
        <w:rPr>
          <w:sz w:val="26"/>
          <w:szCs w:val="26"/>
        </w:rPr>
        <w:t xml:space="preserve">On March </w:t>
      </w:r>
      <w:r w:rsidR="0097460D">
        <w:rPr>
          <w:sz w:val="26"/>
          <w:szCs w:val="26"/>
        </w:rPr>
        <w:t>1</w:t>
      </w:r>
      <w:r w:rsidRPr="00177C37" w:rsidR="00DF102C">
        <w:rPr>
          <w:sz w:val="26"/>
          <w:szCs w:val="26"/>
        </w:rPr>
        <w:t>, 2021</w:t>
      </w:r>
      <w:r w:rsidRPr="00177C37">
        <w:rPr>
          <w:sz w:val="26"/>
          <w:szCs w:val="26"/>
        </w:rPr>
        <w:t xml:space="preserve">, the </w:t>
      </w:r>
      <w:r w:rsidRPr="00177C37" w:rsidR="00177C37">
        <w:rPr>
          <w:sz w:val="26"/>
          <w:szCs w:val="26"/>
        </w:rPr>
        <w:t xml:space="preserve">CCDR </w:t>
      </w:r>
      <w:r w:rsidRPr="00177C37" w:rsidR="0074281D">
        <w:rPr>
          <w:sz w:val="26"/>
          <w:szCs w:val="26"/>
        </w:rPr>
        <w:t>announc</w:t>
      </w:r>
      <w:r w:rsidR="00C35E6E">
        <w:rPr>
          <w:sz w:val="26"/>
          <w:szCs w:val="26"/>
        </w:rPr>
        <w:t xml:space="preserve">ed </w:t>
      </w:r>
      <w:r w:rsidRPr="00177C37" w:rsidR="0074281D">
        <w:rPr>
          <w:sz w:val="26"/>
          <w:szCs w:val="26"/>
        </w:rPr>
        <w:t xml:space="preserve">it had negotiated a statewide contract with </w:t>
      </w:r>
      <w:r w:rsidR="00C35E6E">
        <w:rPr>
          <w:sz w:val="26"/>
          <w:szCs w:val="26"/>
        </w:rPr>
        <w:t>the IPCS provider G</w:t>
      </w:r>
      <w:r w:rsidRPr="00177C37" w:rsidR="0074281D">
        <w:rPr>
          <w:sz w:val="26"/>
          <w:szCs w:val="26"/>
        </w:rPr>
        <w:t>TL to provide intrastate IPCS rates at the price of $0.025 per minute</w:t>
      </w:r>
      <w:r w:rsidRPr="00177C37" w:rsidR="00192F09">
        <w:rPr>
          <w:sz w:val="26"/>
          <w:szCs w:val="26"/>
        </w:rPr>
        <w:t xml:space="preserve"> to 90 state-run facilitie</w:t>
      </w:r>
      <w:r w:rsidR="00035AA0">
        <w:rPr>
          <w:sz w:val="26"/>
          <w:szCs w:val="26"/>
        </w:rPr>
        <w:t>s, effective through 2026</w:t>
      </w:r>
      <w:r w:rsidRPr="00177C37" w:rsidR="0074281D">
        <w:rPr>
          <w:sz w:val="26"/>
          <w:szCs w:val="26"/>
        </w:rPr>
        <w:t>.</w:t>
      </w:r>
      <w:r w:rsidRPr="00177C37" w:rsidR="0074281D">
        <w:rPr>
          <w:rStyle w:val="FootnoteReference"/>
          <w:sz w:val="26"/>
          <w:szCs w:val="26"/>
        </w:rPr>
        <w:footnoteReference w:id="30"/>
      </w:r>
      <w:r w:rsidR="0074281D">
        <w:rPr>
          <w:sz w:val="26"/>
          <w:szCs w:val="26"/>
        </w:rPr>
        <w:t xml:space="preserve">  </w:t>
      </w:r>
    </w:p>
    <w:p w:rsidR="00681457" w:rsidP="00040561" w:rsidRDefault="00FB7348" w14:paraId="6C024D0C" w14:textId="7F31B132">
      <w:pPr>
        <w:pStyle w:val="Standard"/>
        <w:ind w:firstLine="720"/>
        <w:rPr>
          <w:sz w:val="26"/>
          <w:szCs w:val="26"/>
        </w:rPr>
      </w:pPr>
      <w:r w:rsidRPr="00D351EE">
        <w:rPr>
          <w:sz w:val="26"/>
          <w:szCs w:val="26"/>
        </w:rPr>
        <w:t xml:space="preserve">On </w:t>
      </w:r>
      <w:r w:rsidR="00826D3A">
        <w:rPr>
          <w:sz w:val="26"/>
          <w:szCs w:val="26"/>
        </w:rPr>
        <w:t>May 24, 2021</w:t>
      </w:r>
      <w:r w:rsidRPr="00D351EE">
        <w:rPr>
          <w:sz w:val="26"/>
          <w:szCs w:val="26"/>
        </w:rPr>
        <w:t xml:space="preserve">, the FCC </w:t>
      </w:r>
      <w:r w:rsidR="00826D3A">
        <w:rPr>
          <w:sz w:val="26"/>
          <w:szCs w:val="26"/>
        </w:rPr>
        <w:t xml:space="preserve">adopted </w:t>
      </w:r>
      <w:r w:rsidR="00397E58">
        <w:rPr>
          <w:sz w:val="26"/>
          <w:szCs w:val="26"/>
        </w:rPr>
        <w:t xml:space="preserve">a </w:t>
      </w:r>
      <w:r w:rsidRPr="00655C7D" w:rsidR="00397E58">
        <w:rPr>
          <w:i/>
          <w:iCs/>
          <w:sz w:val="26"/>
          <w:szCs w:val="26"/>
        </w:rPr>
        <w:t>Third Report and Order, Order on Reconsideration, and Fifth Further Notice of Proposed Rulemaking</w:t>
      </w:r>
      <w:r w:rsidR="00397E58">
        <w:rPr>
          <w:sz w:val="26"/>
          <w:szCs w:val="26"/>
        </w:rPr>
        <w:t xml:space="preserve"> </w:t>
      </w:r>
      <w:r w:rsidRPr="00D351EE">
        <w:rPr>
          <w:sz w:val="26"/>
          <w:szCs w:val="26"/>
        </w:rPr>
        <w:t>(</w:t>
      </w:r>
      <w:r w:rsidR="001F6843">
        <w:rPr>
          <w:sz w:val="26"/>
          <w:szCs w:val="26"/>
        </w:rPr>
        <w:t xml:space="preserve">FCC </w:t>
      </w:r>
      <w:r w:rsidR="004F2765">
        <w:rPr>
          <w:sz w:val="26"/>
          <w:szCs w:val="26"/>
        </w:rPr>
        <w:t>Third</w:t>
      </w:r>
      <w:r w:rsidR="00C35E6E">
        <w:rPr>
          <w:sz w:val="26"/>
          <w:szCs w:val="26"/>
        </w:rPr>
        <w:t xml:space="preserve"> </w:t>
      </w:r>
      <w:r w:rsidR="00BA4CF8">
        <w:rPr>
          <w:sz w:val="26"/>
          <w:szCs w:val="26"/>
        </w:rPr>
        <w:t>Order</w:t>
      </w:r>
      <w:r w:rsidRPr="00D351EE">
        <w:rPr>
          <w:sz w:val="26"/>
          <w:szCs w:val="26"/>
        </w:rPr>
        <w:t>)</w:t>
      </w:r>
      <w:r w:rsidRPr="00D351EE" w:rsidR="00750DDA">
        <w:rPr>
          <w:sz w:val="26"/>
          <w:szCs w:val="26"/>
        </w:rPr>
        <w:t>.  T</w:t>
      </w:r>
      <w:r w:rsidRPr="00D351EE">
        <w:rPr>
          <w:sz w:val="26"/>
          <w:szCs w:val="26"/>
        </w:rPr>
        <w:t>he FCC</w:t>
      </w:r>
      <w:r w:rsidR="00FF530E">
        <w:rPr>
          <w:sz w:val="26"/>
          <w:szCs w:val="26"/>
        </w:rPr>
        <w:t xml:space="preserve">’s </w:t>
      </w:r>
      <w:r w:rsidR="004F2765">
        <w:rPr>
          <w:sz w:val="26"/>
          <w:szCs w:val="26"/>
        </w:rPr>
        <w:t xml:space="preserve">Third </w:t>
      </w:r>
      <w:r w:rsidR="00FF530E">
        <w:rPr>
          <w:sz w:val="26"/>
          <w:szCs w:val="26"/>
        </w:rPr>
        <w:t>Order</w:t>
      </w:r>
      <w:r w:rsidR="00681457">
        <w:rPr>
          <w:sz w:val="26"/>
          <w:szCs w:val="26"/>
        </w:rPr>
        <w:t>:</w:t>
      </w:r>
    </w:p>
    <w:p w:rsidRPr="00E32B2F" w:rsidR="00E32B2F" w:rsidP="00245FB8" w:rsidRDefault="003B6E49" w14:paraId="3B29F57F" w14:textId="3AAB0DBC">
      <w:pPr>
        <w:pStyle w:val="ListBullet"/>
        <w:spacing w:line="240" w:lineRule="auto"/>
        <w:ind w:right="1440"/>
        <w:rPr>
          <w:sz w:val="26"/>
          <w:szCs w:val="26"/>
        </w:rPr>
      </w:pPr>
      <w:r>
        <w:rPr>
          <w:sz w:val="26"/>
          <w:szCs w:val="26"/>
        </w:rPr>
        <w:t>L</w:t>
      </w:r>
      <w:r w:rsidRPr="00681457" w:rsidR="00CC58C4">
        <w:rPr>
          <w:sz w:val="26"/>
          <w:szCs w:val="26"/>
        </w:rPr>
        <w:t>owers</w:t>
      </w:r>
      <w:r w:rsidRPr="00681457" w:rsidR="00A362AD">
        <w:rPr>
          <w:sz w:val="26"/>
          <w:szCs w:val="26"/>
        </w:rPr>
        <w:t xml:space="preserve"> interstate interim rate caps to new interim caps </w:t>
      </w:r>
      <w:r w:rsidR="00F03B88">
        <w:rPr>
          <w:sz w:val="26"/>
          <w:szCs w:val="26"/>
        </w:rPr>
        <w:t xml:space="preserve">for all calls </w:t>
      </w:r>
      <w:r w:rsidRPr="00681457" w:rsidR="00A362AD">
        <w:rPr>
          <w:sz w:val="26"/>
          <w:szCs w:val="26"/>
        </w:rPr>
        <w:t xml:space="preserve">of $0.12 per minute for prisons and $0.14 per minute for jails with populations of 1,000 or </w:t>
      </w:r>
      <w:proofErr w:type="gramStart"/>
      <w:r w:rsidRPr="00681457" w:rsidR="00A362AD">
        <w:rPr>
          <w:sz w:val="26"/>
          <w:szCs w:val="26"/>
        </w:rPr>
        <w:t>more</w:t>
      </w:r>
      <w:r w:rsidRPr="00681457" w:rsidR="00175790">
        <w:rPr>
          <w:sz w:val="26"/>
          <w:szCs w:val="26"/>
        </w:rPr>
        <w:t>;</w:t>
      </w:r>
      <w:proofErr w:type="gramEnd"/>
    </w:p>
    <w:p w:rsidR="00681457" w:rsidP="00245FB8" w:rsidRDefault="00E32B2F" w14:paraId="74B79902" w14:textId="5C8DDADA">
      <w:pPr>
        <w:pStyle w:val="ListBullet"/>
        <w:spacing w:line="240" w:lineRule="auto"/>
        <w:ind w:right="1440"/>
        <w:rPr>
          <w:sz w:val="26"/>
          <w:szCs w:val="26"/>
        </w:rPr>
      </w:pPr>
      <w:r>
        <w:rPr>
          <w:sz w:val="26"/>
          <w:szCs w:val="26"/>
        </w:rPr>
        <w:t>For prisons and larger jails, r</w:t>
      </w:r>
      <w:r w:rsidRPr="00681457" w:rsidR="00A362AD">
        <w:rPr>
          <w:sz w:val="26"/>
          <w:szCs w:val="26"/>
        </w:rPr>
        <w:t>eform</w:t>
      </w:r>
      <w:r w:rsidRPr="00681457" w:rsidR="00175790">
        <w:rPr>
          <w:sz w:val="26"/>
          <w:szCs w:val="26"/>
        </w:rPr>
        <w:t>s</w:t>
      </w:r>
      <w:r w:rsidRPr="00681457" w:rsidR="00A362AD">
        <w:rPr>
          <w:sz w:val="26"/>
          <w:szCs w:val="26"/>
        </w:rPr>
        <w:t xml:space="preserve"> treatment of site commission payments, allowing </w:t>
      </w:r>
      <w:r w:rsidR="004E3BCA">
        <w:rPr>
          <w:sz w:val="26"/>
          <w:szCs w:val="26"/>
        </w:rPr>
        <w:t xml:space="preserve">(1) </w:t>
      </w:r>
      <w:r w:rsidRPr="00681457" w:rsidR="0026513E">
        <w:rPr>
          <w:sz w:val="26"/>
          <w:szCs w:val="26"/>
        </w:rPr>
        <w:t xml:space="preserve">revenue collection of an additional </w:t>
      </w:r>
      <w:r w:rsidRPr="00681457" w:rsidR="00A362AD">
        <w:rPr>
          <w:sz w:val="26"/>
          <w:szCs w:val="26"/>
        </w:rPr>
        <w:t xml:space="preserve">$0.02 </w:t>
      </w:r>
      <w:r w:rsidRPr="00681457" w:rsidR="00B325B6">
        <w:rPr>
          <w:sz w:val="26"/>
          <w:szCs w:val="26"/>
        </w:rPr>
        <w:t xml:space="preserve">per minute </w:t>
      </w:r>
      <w:r w:rsidRPr="00681457" w:rsidR="00AC40ED">
        <w:rPr>
          <w:sz w:val="26"/>
          <w:szCs w:val="26"/>
        </w:rPr>
        <w:t xml:space="preserve">for site commission payments </w:t>
      </w:r>
      <w:r w:rsidR="006613C7">
        <w:rPr>
          <w:sz w:val="26"/>
          <w:szCs w:val="26"/>
        </w:rPr>
        <w:t>that are reasonably related to the facility</w:t>
      </w:r>
      <w:r w:rsidR="004E3BCA">
        <w:rPr>
          <w:sz w:val="26"/>
          <w:szCs w:val="26"/>
        </w:rPr>
        <w:t xml:space="preserve">’s cost of enabling IPCS and </w:t>
      </w:r>
      <w:r w:rsidRPr="00681457" w:rsidR="00AC40ED">
        <w:rPr>
          <w:sz w:val="26"/>
          <w:szCs w:val="26"/>
        </w:rPr>
        <w:t xml:space="preserve">where these </w:t>
      </w:r>
      <w:r w:rsidRPr="00681457" w:rsidR="00FF788A">
        <w:rPr>
          <w:sz w:val="26"/>
          <w:szCs w:val="26"/>
        </w:rPr>
        <w:t>result from contractual obliga</w:t>
      </w:r>
      <w:r w:rsidRPr="00681457" w:rsidR="00D171E9">
        <w:rPr>
          <w:sz w:val="26"/>
          <w:szCs w:val="26"/>
        </w:rPr>
        <w:t>tions or negotiations</w:t>
      </w:r>
      <w:r w:rsidR="00335585">
        <w:rPr>
          <w:sz w:val="26"/>
          <w:szCs w:val="26"/>
        </w:rPr>
        <w:t>;</w:t>
      </w:r>
      <w:r w:rsidR="00746CD3">
        <w:rPr>
          <w:sz w:val="26"/>
          <w:szCs w:val="26"/>
        </w:rPr>
        <w:t xml:space="preserve"> </w:t>
      </w:r>
      <w:proofErr w:type="gramStart"/>
      <w:r w:rsidR="00746CD3">
        <w:rPr>
          <w:sz w:val="26"/>
          <w:szCs w:val="26"/>
        </w:rPr>
        <w:t>and</w:t>
      </w:r>
      <w:r w:rsidR="00335585">
        <w:rPr>
          <w:sz w:val="26"/>
          <w:szCs w:val="26"/>
        </w:rPr>
        <w:t>,</w:t>
      </w:r>
      <w:proofErr w:type="gramEnd"/>
      <w:r w:rsidR="00746CD3">
        <w:rPr>
          <w:sz w:val="26"/>
          <w:szCs w:val="26"/>
        </w:rPr>
        <w:t xml:space="preserve"> </w:t>
      </w:r>
      <w:r w:rsidR="004E3BCA">
        <w:rPr>
          <w:sz w:val="26"/>
          <w:szCs w:val="26"/>
        </w:rPr>
        <w:t xml:space="preserve">(2) </w:t>
      </w:r>
      <w:r w:rsidR="00746CD3">
        <w:rPr>
          <w:sz w:val="26"/>
          <w:szCs w:val="26"/>
        </w:rPr>
        <w:t>the pass-through without markup of any site commission</w:t>
      </w:r>
      <w:r w:rsidR="00AE3528">
        <w:rPr>
          <w:sz w:val="26"/>
          <w:szCs w:val="26"/>
        </w:rPr>
        <w:t xml:space="preserve"> payments</w:t>
      </w:r>
      <w:r w:rsidR="00335585">
        <w:rPr>
          <w:sz w:val="26"/>
          <w:szCs w:val="26"/>
        </w:rPr>
        <w:t xml:space="preserve"> </w:t>
      </w:r>
      <w:r w:rsidR="00335585">
        <w:rPr>
          <w:sz w:val="26"/>
          <w:szCs w:val="26"/>
        </w:rPr>
        <w:lastRenderedPageBreak/>
        <w:t>required under codified law or regulations</w:t>
      </w:r>
      <w:r w:rsidR="00837337">
        <w:rPr>
          <w:sz w:val="26"/>
          <w:szCs w:val="26"/>
        </w:rPr>
        <w:t xml:space="preserve"> up to a total rate cap of $0.21 per minute</w:t>
      </w:r>
      <w:r w:rsidR="007F5951">
        <w:rPr>
          <w:sz w:val="26"/>
          <w:szCs w:val="26"/>
        </w:rPr>
        <w:t>;</w:t>
      </w:r>
      <w:r w:rsidRPr="00681457" w:rsidR="00585188">
        <w:rPr>
          <w:rStyle w:val="FootnoteReference"/>
          <w:sz w:val="26"/>
          <w:szCs w:val="26"/>
        </w:rPr>
        <w:footnoteReference w:id="31"/>
      </w:r>
      <w:r w:rsidRPr="00681457" w:rsidR="00175790">
        <w:rPr>
          <w:sz w:val="26"/>
          <w:szCs w:val="26"/>
        </w:rPr>
        <w:t xml:space="preserve"> </w:t>
      </w:r>
    </w:p>
    <w:p w:rsidR="00E32B2F" w:rsidP="00245FB8" w:rsidRDefault="00E32B2F" w14:paraId="2C6A815D" w14:textId="62E47095">
      <w:pPr>
        <w:pStyle w:val="ListBullet"/>
        <w:spacing w:line="240" w:lineRule="auto"/>
        <w:ind w:right="1440"/>
        <w:rPr>
          <w:sz w:val="26"/>
          <w:szCs w:val="26"/>
        </w:rPr>
      </w:pPr>
      <w:r>
        <w:rPr>
          <w:sz w:val="26"/>
          <w:szCs w:val="26"/>
        </w:rPr>
        <w:t>For jails with populations less than 1,000, retains the per</w:t>
      </w:r>
      <w:r w:rsidR="0039242E">
        <w:rPr>
          <w:sz w:val="26"/>
          <w:szCs w:val="26"/>
        </w:rPr>
        <w:noBreakHyphen/>
      </w:r>
      <w:r>
        <w:rPr>
          <w:sz w:val="26"/>
          <w:szCs w:val="26"/>
        </w:rPr>
        <w:t xml:space="preserve">minute rate cap of $0.21 per minute </w:t>
      </w:r>
      <w:r w:rsidR="00F03B88">
        <w:rPr>
          <w:sz w:val="26"/>
          <w:szCs w:val="26"/>
        </w:rPr>
        <w:t xml:space="preserve">adopted in 2013 </w:t>
      </w:r>
      <w:r>
        <w:rPr>
          <w:sz w:val="26"/>
          <w:szCs w:val="26"/>
        </w:rPr>
        <w:t xml:space="preserve">for all calls, and prohibits collection of revenues beyond that level for site </w:t>
      </w:r>
      <w:proofErr w:type="gramStart"/>
      <w:r>
        <w:rPr>
          <w:sz w:val="26"/>
          <w:szCs w:val="26"/>
        </w:rPr>
        <w:t>commissions;</w:t>
      </w:r>
      <w:proofErr w:type="gramEnd"/>
    </w:p>
    <w:p w:rsidRPr="00681457" w:rsidR="003B6E49" w:rsidP="00245FB8" w:rsidRDefault="003B6E49" w14:paraId="396945C8" w14:textId="6C56AE4F">
      <w:pPr>
        <w:pStyle w:val="ListBullet"/>
        <w:spacing w:line="240" w:lineRule="auto"/>
        <w:ind w:right="1440"/>
        <w:rPr>
          <w:sz w:val="26"/>
          <w:szCs w:val="26"/>
        </w:rPr>
      </w:pPr>
      <w:r>
        <w:rPr>
          <w:sz w:val="26"/>
          <w:szCs w:val="26"/>
        </w:rPr>
        <w:t>R</w:t>
      </w:r>
      <w:r w:rsidRPr="00681457">
        <w:rPr>
          <w:sz w:val="26"/>
          <w:szCs w:val="26"/>
        </w:rPr>
        <w:t xml:space="preserve">eforms ancillary service charge rules for third-party financial transaction and single-call fees by capping allowable pass-through charges at $6.95 per </w:t>
      </w:r>
      <w:r w:rsidR="00AE2039">
        <w:rPr>
          <w:sz w:val="26"/>
          <w:szCs w:val="26"/>
        </w:rPr>
        <w:t>transaction</w:t>
      </w:r>
      <w:r w:rsidRPr="00681457">
        <w:rPr>
          <w:sz w:val="26"/>
          <w:szCs w:val="26"/>
        </w:rPr>
        <w:t>;</w:t>
      </w:r>
      <w:r>
        <w:rPr>
          <w:rStyle w:val="FootnoteReference"/>
          <w:sz w:val="26"/>
          <w:szCs w:val="26"/>
        </w:rPr>
        <w:footnoteReference w:id="32"/>
      </w:r>
      <w:r w:rsidRPr="00121981">
        <w:rPr>
          <w:sz w:val="26"/>
          <w:szCs w:val="26"/>
          <w:vertAlign w:val="superscript"/>
        </w:rPr>
        <w:t xml:space="preserve"> </w:t>
      </w:r>
    </w:p>
    <w:p w:rsidR="003B6E49" w:rsidP="00245FB8" w:rsidRDefault="003B6E49" w14:paraId="2B1400A3" w14:textId="5C5BA741">
      <w:pPr>
        <w:pStyle w:val="ListBullet"/>
        <w:spacing w:line="240" w:lineRule="auto"/>
        <w:ind w:right="1440"/>
        <w:rPr>
          <w:sz w:val="26"/>
          <w:szCs w:val="26"/>
        </w:rPr>
      </w:pPr>
      <w:r>
        <w:rPr>
          <w:sz w:val="26"/>
          <w:szCs w:val="26"/>
        </w:rPr>
        <w:t>R</w:t>
      </w:r>
      <w:r w:rsidRPr="00681457">
        <w:rPr>
          <w:sz w:val="26"/>
          <w:szCs w:val="26"/>
        </w:rPr>
        <w:t xml:space="preserve">eaffirms that the jurisdictional nature of a telephone call for purposes of charging consumers depends on the physical location of the originating and terminating endpoints of the </w:t>
      </w:r>
      <w:proofErr w:type="gramStart"/>
      <w:r w:rsidRPr="00681457">
        <w:rPr>
          <w:sz w:val="26"/>
          <w:szCs w:val="26"/>
        </w:rPr>
        <w:t>call</w:t>
      </w:r>
      <w:r>
        <w:rPr>
          <w:sz w:val="26"/>
          <w:szCs w:val="26"/>
        </w:rPr>
        <w:t>;</w:t>
      </w:r>
      <w:proofErr w:type="gramEnd"/>
      <w:r w:rsidRPr="00681457">
        <w:rPr>
          <w:sz w:val="26"/>
          <w:szCs w:val="26"/>
        </w:rPr>
        <w:t xml:space="preserve"> </w:t>
      </w:r>
    </w:p>
    <w:p w:rsidRPr="003B6E49" w:rsidR="00135A7B" w:rsidP="00245FB8" w:rsidRDefault="000D1093" w14:paraId="432C52C9" w14:textId="73AE99B3">
      <w:pPr>
        <w:pStyle w:val="ListBullet"/>
        <w:spacing w:line="240" w:lineRule="auto"/>
        <w:ind w:right="1440"/>
        <w:rPr>
          <w:sz w:val="26"/>
          <w:szCs w:val="26"/>
        </w:rPr>
      </w:pPr>
      <w:r>
        <w:rPr>
          <w:sz w:val="26"/>
          <w:szCs w:val="26"/>
        </w:rPr>
        <w:t xml:space="preserve">Updates the waiver application process to </w:t>
      </w:r>
      <w:r w:rsidR="001537FD">
        <w:rPr>
          <w:sz w:val="26"/>
          <w:szCs w:val="26"/>
        </w:rPr>
        <w:t xml:space="preserve">apply to </w:t>
      </w:r>
      <w:r>
        <w:rPr>
          <w:sz w:val="26"/>
          <w:szCs w:val="26"/>
        </w:rPr>
        <w:t>a</w:t>
      </w:r>
      <w:r w:rsidR="00A543F9">
        <w:rPr>
          <w:sz w:val="26"/>
          <w:szCs w:val="26"/>
        </w:rPr>
        <w:t>n individual</w:t>
      </w:r>
      <w:r>
        <w:rPr>
          <w:sz w:val="26"/>
          <w:szCs w:val="26"/>
        </w:rPr>
        <w:t xml:space="preserve"> facility</w:t>
      </w:r>
      <w:r w:rsidR="00A543F9">
        <w:rPr>
          <w:sz w:val="26"/>
          <w:szCs w:val="26"/>
        </w:rPr>
        <w:t xml:space="preserve"> or under a specific contract</w:t>
      </w:r>
      <w:r>
        <w:rPr>
          <w:sz w:val="26"/>
          <w:szCs w:val="26"/>
        </w:rPr>
        <w:t>;</w:t>
      </w:r>
      <w:r w:rsidR="00A543F9">
        <w:rPr>
          <w:rStyle w:val="FootnoteReference"/>
          <w:sz w:val="26"/>
          <w:szCs w:val="26"/>
        </w:rPr>
        <w:footnoteReference w:id="33"/>
      </w:r>
    </w:p>
    <w:p w:rsidRPr="00681457" w:rsidR="00681457" w:rsidP="00245FB8" w:rsidRDefault="003B6E49" w14:paraId="59002C7C" w14:textId="6C251DEB">
      <w:pPr>
        <w:pStyle w:val="ListBullet"/>
        <w:spacing w:line="240" w:lineRule="auto"/>
        <w:ind w:right="1440"/>
        <w:rPr>
          <w:sz w:val="26"/>
          <w:szCs w:val="26"/>
        </w:rPr>
      </w:pPr>
      <w:r>
        <w:rPr>
          <w:sz w:val="26"/>
          <w:szCs w:val="26"/>
        </w:rPr>
        <w:t>C</w:t>
      </w:r>
      <w:r w:rsidRPr="00681457" w:rsidR="00A362AD">
        <w:rPr>
          <w:sz w:val="26"/>
          <w:szCs w:val="26"/>
        </w:rPr>
        <w:t>ap</w:t>
      </w:r>
      <w:r w:rsidRPr="00681457" w:rsidR="00EF3A0A">
        <w:rPr>
          <w:sz w:val="26"/>
          <w:szCs w:val="26"/>
        </w:rPr>
        <w:t>s</w:t>
      </w:r>
      <w:r w:rsidRPr="00681457" w:rsidR="00157B71">
        <w:rPr>
          <w:sz w:val="26"/>
          <w:szCs w:val="26"/>
        </w:rPr>
        <w:t xml:space="preserve"> </w:t>
      </w:r>
      <w:r w:rsidRPr="00681457" w:rsidR="00A362AD">
        <w:rPr>
          <w:sz w:val="26"/>
          <w:szCs w:val="26"/>
        </w:rPr>
        <w:t xml:space="preserve">international calling </w:t>
      </w:r>
      <w:proofErr w:type="gramStart"/>
      <w:r w:rsidRPr="00681457" w:rsidR="00A362AD">
        <w:rPr>
          <w:sz w:val="26"/>
          <w:szCs w:val="26"/>
        </w:rPr>
        <w:t>rates</w:t>
      </w:r>
      <w:r w:rsidRPr="00681457" w:rsidR="00EF3A0A">
        <w:rPr>
          <w:sz w:val="26"/>
          <w:szCs w:val="26"/>
        </w:rPr>
        <w:t>;</w:t>
      </w:r>
      <w:proofErr w:type="gramEnd"/>
      <w:r w:rsidRPr="00681457" w:rsidR="00EF3A0A">
        <w:rPr>
          <w:sz w:val="26"/>
          <w:szCs w:val="26"/>
        </w:rPr>
        <w:t xml:space="preserve"> </w:t>
      </w:r>
    </w:p>
    <w:p w:rsidRPr="00681457" w:rsidR="00681457" w:rsidP="00245FB8" w:rsidRDefault="003B6E49" w14:paraId="6316D6EF" w14:textId="2AE947F5">
      <w:pPr>
        <w:pStyle w:val="ListBullet"/>
        <w:spacing w:line="240" w:lineRule="auto"/>
        <w:ind w:right="1440"/>
        <w:rPr>
          <w:sz w:val="26"/>
          <w:szCs w:val="26"/>
        </w:rPr>
      </w:pPr>
      <w:r>
        <w:rPr>
          <w:sz w:val="26"/>
          <w:szCs w:val="26"/>
        </w:rPr>
        <w:t>A</w:t>
      </w:r>
      <w:r w:rsidRPr="00681457" w:rsidR="00A362AD">
        <w:rPr>
          <w:sz w:val="26"/>
          <w:szCs w:val="26"/>
        </w:rPr>
        <w:t>dopt</w:t>
      </w:r>
      <w:r w:rsidRPr="00681457" w:rsidR="00681457">
        <w:rPr>
          <w:sz w:val="26"/>
          <w:szCs w:val="26"/>
        </w:rPr>
        <w:t>s</w:t>
      </w:r>
      <w:r w:rsidRPr="00681457" w:rsidR="00A362AD">
        <w:rPr>
          <w:sz w:val="26"/>
          <w:szCs w:val="26"/>
        </w:rPr>
        <w:t xml:space="preserve"> a new mandatory data collection to gather data to set permanent rates</w:t>
      </w:r>
      <w:r w:rsidRPr="00681457" w:rsidR="001D7EC9">
        <w:rPr>
          <w:sz w:val="26"/>
          <w:szCs w:val="26"/>
        </w:rPr>
        <w:t xml:space="preserve">; </w:t>
      </w:r>
      <w:r>
        <w:rPr>
          <w:sz w:val="26"/>
          <w:szCs w:val="26"/>
        </w:rPr>
        <w:t>and,</w:t>
      </w:r>
    </w:p>
    <w:p w:rsidRPr="00681457" w:rsidR="00681457" w:rsidP="00245FB8" w:rsidRDefault="003B6E49" w14:paraId="0B4EED27" w14:textId="378D3AA8">
      <w:pPr>
        <w:pStyle w:val="ListBullet"/>
        <w:spacing w:line="240" w:lineRule="auto"/>
        <w:ind w:right="1440"/>
        <w:rPr>
          <w:sz w:val="26"/>
          <w:szCs w:val="26"/>
        </w:rPr>
      </w:pPr>
      <w:r>
        <w:rPr>
          <w:sz w:val="26"/>
          <w:szCs w:val="26"/>
        </w:rPr>
        <w:t>R</w:t>
      </w:r>
      <w:r w:rsidRPr="00681457" w:rsidR="00A362AD">
        <w:rPr>
          <w:sz w:val="26"/>
          <w:szCs w:val="26"/>
        </w:rPr>
        <w:t>eaffirm providers’ obligations regarding access for incarcerated people with disabilities</w:t>
      </w:r>
      <w:r>
        <w:rPr>
          <w:sz w:val="26"/>
          <w:szCs w:val="26"/>
        </w:rPr>
        <w:t>.</w:t>
      </w:r>
      <w:r w:rsidRPr="00681457">
        <w:rPr>
          <w:rStyle w:val="FootnoteReference"/>
          <w:sz w:val="26"/>
          <w:szCs w:val="26"/>
        </w:rPr>
        <w:footnoteReference w:id="34"/>
      </w:r>
      <w:r w:rsidRPr="00121981">
        <w:rPr>
          <w:sz w:val="26"/>
          <w:szCs w:val="26"/>
          <w:vertAlign w:val="superscript"/>
        </w:rPr>
        <w:t xml:space="preserve"> </w:t>
      </w:r>
      <w:r w:rsidRPr="00681457" w:rsidR="00C13657">
        <w:rPr>
          <w:sz w:val="26"/>
          <w:szCs w:val="26"/>
        </w:rPr>
        <w:t xml:space="preserve"> </w:t>
      </w:r>
    </w:p>
    <w:p w:rsidR="002C7CA6" w:rsidP="002C7CA6" w:rsidRDefault="00BD1DB2" w14:paraId="68CC9A66" w14:textId="3067F177">
      <w:pPr>
        <w:pStyle w:val="Heading2"/>
      </w:pPr>
      <w:bookmarkStart w:name="_Toc80089381" w:id="7"/>
      <w:r>
        <w:lastRenderedPageBreak/>
        <w:t>1.2</w:t>
      </w:r>
      <w:r>
        <w:tab/>
      </w:r>
      <w:r w:rsidR="002C7CA6">
        <w:t>Procedural Background</w:t>
      </w:r>
      <w:bookmarkEnd w:id="7"/>
      <w:r w:rsidR="002C7CA6">
        <w:t xml:space="preserve"> </w:t>
      </w:r>
    </w:p>
    <w:p w:rsidR="001B0090" w:rsidP="004853BC" w:rsidRDefault="002C7CA6" w14:paraId="3045C715" w14:textId="1BBA7B2D">
      <w:pPr>
        <w:pStyle w:val="Standard"/>
        <w:ind w:firstLine="720"/>
        <w:rPr>
          <w:sz w:val="26"/>
          <w:szCs w:val="26"/>
        </w:rPr>
      </w:pPr>
      <w:r w:rsidRPr="00D351EE">
        <w:rPr>
          <w:sz w:val="26"/>
          <w:szCs w:val="26"/>
        </w:rPr>
        <w:t xml:space="preserve">On November 9, 2020, </w:t>
      </w:r>
      <w:r w:rsidRPr="0069590B" w:rsidR="0069590B">
        <w:rPr>
          <w:sz w:val="26"/>
          <w:szCs w:val="26"/>
        </w:rPr>
        <w:t xml:space="preserve">16 parties filed opening comments on the </w:t>
      </w:r>
      <w:r w:rsidR="0039242E">
        <w:rPr>
          <w:sz w:val="26"/>
          <w:szCs w:val="26"/>
        </w:rPr>
        <w:t>OIR</w:t>
      </w:r>
      <w:r w:rsidRPr="0069590B" w:rsidR="0069590B">
        <w:rPr>
          <w:sz w:val="26"/>
          <w:szCs w:val="26"/>
        </w:rPr>
        <w:t xml:space="preserve"> and </w:t>
      </w:r>
      <w:r w:rsidR="003D4B3E">
        <w:rPr>
          <w:sz w:val="26"/>
          <w:szCs w:val="26"/>
        </w:rPr>
        <w:t>on November 19, 2020</w:t>
      </w:r>
      <w:r w:rsidR="00396A6B">
        <w:rPr>
          <w:sz w:val="26"/>
          <w:szCs w:val="26"/>
        </w:rPr>
        <w:t>,</w:t>
      </w:r>
      <w:r w:rsidR="003D4B3E">
        <w:rPr>
          <w:sz w:val="26"/>
          <w:szCs w:val="26"/>
        </w:rPr>
        <w:t xml:space="preserve"> </w:t>
      </w:r>
      <w:r w:rsidRPr="0069590B" w:rsidR="0069590B">
        <w:rPr>
          <w:sz w:val="26"/>
          <w:szCs w:val="26"/>
        </w:rPr>
        <w:t>six parties filed reply comments.</w:t>
      </w:r>
      <w:r w:rsidRPr="00D351EE" w:rsidR="00DC0AFA">
        <w:rPr>
          <w:rStyle w:val="FootnoteReference"/>
          <w:sz w:val="26"/>
          <w:szCs w:val="26"/>
        </w:rPr>
        <w:footnoteReference w:id="35"/>
      </w:r>
      <w:r w:rsidRPr="00D351EE" w:rsidR="00F44C4F">
        <w:rPr>
          <w:sz w:val="26"/>
          <w:szCs w:val="26"/>
        </w:rPr>
        <w:t xml:space="preserve">  </w:t>
      </w:r>
      <w:r w:rsidRPr="0069590B" w:rsidR="0069590B">
        <w:rPr>
          <w:sz w:val="26"/>
          <w:szCs w:val="26"/>
        </w:rPr>
        <w:t xml:space="preserve">The assigned </w:t>
      </w:r>
      <w:r w:rsidRPr="72F4A889" w:rsidR="00F44C4F">
        <w:rPr>
          <w:rFonts w:eastAsiaTheme="minorEastAsia" w:cstheme="minorBidi"/>
          <w:sz w:val="26"/>
          <w:szCs w:val="26"/>
        </w:rPr>
        <w:t xml:space="preserve">Administrative Law Judge </w:t>
      </w:r>
      <w:r w:rsidRPr="72F4A889" w:rsidR="00FB67FC">
        <w:rPr>
          <w:rFonts w:eastAsiaTheme="minorEastAsia" w:cstheme="minorBidi"/>
          <w:sz w:val="26"/>
          <w:szCs w:val="26"/>
        </w:rPr>
        <w:t xml:space="preserve">(ALJ) </w:t>
      </w:r>
      <w:r w:rsidRPr="72F4A889" w:rsidR="00F44C4F">
        <w:rPr>
          <w:rFonts w:eastAsiaTheme="minorEastAsia" w:cstheme="minorBidi"/>
          <w:sz w:val="26"/>
          <w:szCs w:val="26"/>
        </w:rPr>
        <w:t>held a prehearing conference on December</w:t>
      </w:r>
      <w:r w:rsidR="0039242E">
        <w:rPr>
          <w:rFonts w:eastAsiaTheme="minorEastAsia" w:cstheme="minorBidi"/>
          <w:sz w:val="26"/>
          <w:szCs w:val="26"/>
        </w:rPr>
        <w:t> </w:t>
      </w:r>
      <w:r w:rsidRPr="72F4A889" w:rsidR="00F44C4F">
        <w:rPr>
          <w:rFonts w:eastAsiaTheme="minorEastAsia" w:cstheme="minorBidi"/>
          <w:sz w:val="26"/>
          <w:szCs w:val="26"/>
        </w:rPr>
        <w:t>10,</w:t>
      </w:r>
      <w:r w:rsidR="0039242E">
        <w:rPr>
          <w:rFonts w:eastAsiaTheme="minorEastAsia" w:cstheme="minorBidi"/>
          <w:sz w:val="26"/>
          <w:szCs w:val="26"/>
        </w:rPr>
        <w:t> </w:t>
      </w:r>
      <w:r w:rsidRPr="72F4A889" w:rsidR="00F44C4F">
        <w:rPr>
          <w:rFonts w:eastAsiaTheme="minorEastAsia" w:cstheme="minorBidi"/>
          <w:sz w:val="26"/>
          <w:szCs w:val="26"/>
        </w:rPr>
        <w:t>2020</w:t>
      </w:r>
      <w:r w:rsidRPr="72F4A889" w:rsidR="003D4B3E">
        <w:rPr>
          <w:rFonts w:eastAsiaTheme="minorEastAsia" w:cstheme="minorBidi"/>
          <w:sz w:val="26"/>
          <w:szCs w:val="26"/>
        </w:rPr>
        <w:t>,</w:t>
      </w:r>
      <w:r w:rsidRPr="72F4A889" w:rsidR="00F44C4F">
        <w:rPr>
          <w:rFonts w:eastAsiaTheme="minorEastAsia" w:cstheme="minorBidi"/>
          <w:sz w:val="26"/>
          <w:szCs w:val="26"/>
        </w:rPr>
        <w:t xml:space="preserve"> to discuss the issues of law and fact, determine the need for hearing, set the schedule for resolving the matter, and address other matters.</w:t>
      </w:r>
      <w:r w:rsidRPr="00D351EE" w:rsidR="00F44C4F">
        <w:rPr>
          <w:sz w:val="26"/>
          <w:szCs w:val="26"/>
        </w:rPr>
        <w:t xml:space="preserve">  An </w:t>
      </w:r>
      <w:r w:rsidRPr="00D351EE" w:rsidR="00E57A44">
        <w:rPr>
          <w:i/>
          <w:iCs/>
          <w:sz w:val="26"/>
          <w:szCs w:val="26"/>
        </w:rPr>
        <w:t xml:space="preserve">Assigned Commissioner’s Scoping Memo and Ruling </w:t>
      </w:r>
      <w:r w:rsidRPr="00D351EE" w:rsidR="002D398F">
        <w:rPr>
          <w:sz w:val="26"/>
          <w:szCs w:val="26"/>
        </w:rPr>
        <w:t xml:space="preserve">(Scoping Memo) </w:t>
      </w:r>
      <w:r w:rsidRPr="00D351EE" w:rsidR="00E57A44">
        <w:rPr>
          <w:sz w:val="26"/>
          <w:szCs w:val="26"/>
        </w:rPr>
        <w:t>was issued on January 12, 2021.</w:t>
      </w:r>
      <w:r w:rsidRPr="00D351EE" w:rsidR="00860574">
        <w:rPr>
          <w:sz w:val="26"/>
          <w:szCs w:val="26"/>
        </w:rPr>
        <w:t xml:space="preserve">  </w:t>
      </w:r>
      <w:r w:rsidR="008C03AE">
        <w:rPr>
          <w:sz w:val="26"/>
          <w:szCs w:val="26"/>
        </w:rPr>
        <w:t>O</w:t>
      </w:r>
      <w:r w:rsidRPr="00D351EE" w:rsidR="008C03AE">
        <w:rPr>
          <w:sz w:val="26"/>
          <w:szCs w:val="26"/>
        </w:rPr>
        <w:t>n April 2, 2021</w:t>
      </w:r>
      <w:r w:rsidR="008C03AE">
        <w:rPr>
          <w:sz w:val="26"/>
          <w:szCs w:val="26"/>
        </w:rPr>
        <w:t>, t</w:t>
      </w:r>
      <w:r w:rsidRPr="00D351EE" w:rsidR="00E601B6">
        <w:rPr>
          <w:sz w:val="26"/>
          <w:szCs w:val="26"/>
        </w:rPr>
        <w:t xml:space="preserve">he assigned </w:t>
      </w:r>
      <w:r w:rsidR="00FB67FC">
        <w:rPr>
          <w:sz w:val="26"/>
          <w:szCs w:val="26"/>
        </w:rPr>
        <w:t xml:space="preserve">ALJ </w:t>
      </w:r>
      <w:r w:rsidRPr="00D351EE" w:rsidR="00E601B6">
        <w:rPr>
          <w:sz w:val="26"/>
          <w:szCs w:val="26"/>
        </w:rPr>
        <w:t xml:space="preserve">issued a </w:t>
      </w:r>
      <w:r w:rsidRPr="00D351EE" w:rsidR="00E601B6">
        <w:rPr>
          <w:i/>
          <w:iCs/>
          <w:sz w:val="26"/>
          <w:szCs w:val="26"/>
        </w:rPr>
        <w:t>Ruling Providing Staff Interim Rate Relief Proposal for Comment</w:t>
      </w:r>
      <w:r w:rsidRPr="00D351EE" w:rsidR="00E601B6">
        <w:rPr>
          <w:sz w:val="26"/>
          <w:szCs w:val="26"/>
        </w:rPr>
        <w:t xml:space="preserve"> </w:t>
      </w:r>
      <w:r w:rsidR="00F71417">
        <w:rPr>
          <w:sz w:val="26"/>
          <w:szCs w:val="26"/>
        </w:rPr>
        <w:t>(ALJ Ruling)</w:t>
      </w:r>
      <w:r w:rsidR="008C03AE">
        <w:rPr>
          <w:sz w:val="26"/>
          <w:szCs w:val="26"/>
        </w:rPr>
        <w:t xml:space="preserve">, containing a </w:t>
      </w:r>
      <w:r w:rsidR="0422CADD">
        <w:rPr>
          <w:sz w:val="26"/>
          <w:szCs w:val="26"/>
        </w:rPr>
        <w:t xml:space="preserve">series of questions for parties to address in their comments </w:t>
      </w:r>
      <w:r w:rsidRPr="00D351EE" w:rsidR="008C03AE">
        <w:rPr>
          <w:sz w:val="26"/>
          <w:szCs w:val="26"/>
        </w:rPr>
        <w:t xml:space="preserve">on </w:t>
      </w:r>
      <w:r w:rsidR="00483602">
        <w:rPr>
          <w:sz w:val="26"/>
          <w:szCs w:val="26"/>
        </w:rPr>
        <w:t xml:space="preserve">a </w:t>
      </w:r>
      <w:r w:rsidRPr="00D351EE" w:rsidR="008C03AE">
        <w:rPr>
          <w:sz w:val="26"/>
          <w:szCs w:val="26"/>
        </w:rPr>
        <w:t>Staff Interim Rate Relief Proposal (Staff Proposal)</w:t>
      </w:r>
      <w:r w:rsidRPr="00D351EE" w:rsidR="004F5B44">
        <w:rPr>
          <w:sz w:val="26"/>
          <w:szCs w:val="26"/>
        </w:rPr>
        <w:t xml:space="preserve">.  </w:t>
      </w:r>
    </w:p>
    <w:p w:rsidR="008314F2" w:rsidP="003D173C" w:rsidRDefault="004F5B44" w14:paraId="12A9D755" w14:textId="72A52614">
      <w:pPr>
        <w:pStyle w:val="Standard"/>
        <w:ind w:firstLine="720"/>
        <w:rPr>
          <w:sz w:val="26"/>
          <w:szCs w:val="26"/>
        </w:rPr>
      </w:pPr>
      <w:r w:rsidRPr="00D351EE">
        <w:rPr>
          <w:sz w:val="26"/>
          <w:szCs w:val="26"/>
        </w:rPr>
        <w:t>On April 28, 2021</w:t>
      </w:r>
      <w:r w:rsidR="00FB67FC">
        <w:rPr>
          <w:sz w:val="26"/>
          <w:szCs w:val="26"/>
        </w:rPr>
        <w:t>,</w:t>
      </w:r>
      <w:r w:rsidRPr="00D351EE">
        <w:rPr>
          <w:sz w:val="26"/>
          <w:szCs w:val="26"/>
        </w:rPr>
        <w:t xml:space="preserve"> and April 29, 2021, </w:t>
      </w:r>
      <w:r w:rsidR="00FB67FC">
        <w:rPr>
          <w:sz w:val="26"/>
          <w:szCs w:val="26"/>
        </w:rPr>
        <w:t xml:space="preserve">the assigned ALJ held </w:t>
      </w:r>
      <w:r w:rsidRPr="00D351EE">
        <w:rPr>
          <w:sz w:val="26"/>
          <w:szCs w:val="26"/>
        </w:rPr>
        <w:t xml:space="preserve">two remote </w:t>
      </w:r>
      <w:r w:rsidR="00A521C4">
        <w:rPr>
          <w:sz w:val="26"/>
          <w:szCs w:val="26"/>
        </w:rPr>
        <w:t>P</w:t>
      </w:r>
      <w:r w:rsidRPr="00D351EE">
        <w:rPr>
          <w:sz w:val="26"/>
          <w:szCs w:val="26"/>
        </w:rPr>
        <w:t xml:space="preserve">ublic </w:t>
      </w:r>
      <w:r w:rsidR="00A521C4">
        <w:rPr>
          <w:sz w:val="26"/>
          <w:szCs w:val="26"/>
        </w:rPr>
        <w:t>P</w:t>
      </w:r>
      <w:r w:rsidRPr="00D351EE">
        <w:rPr>
          <w:sz w:val="26"/>
          <w:szCs w:val="26"/>
        </w:rPr>
        <w:t xml:space="preserve">articipation </w:t>
      </w:r>
      <w:r w:rsidR="00A521C4">
        <w:rPr>
          <w:sz w:val="26"/>
          <w:szCs w:val="26"/>
        </w:rPr>
        <w:t>H</w:t>
      </w:r>
      <w:r w:rsidRPr="00D351EE">
        <w:rPr>
          <w:sz w:val="26"/>
          <w:szCs w:val="26"/>
        </w:rPr>
        <w:t>earings</w:t>
      </w:r>
      <w:r w:rsidR="00430D2E">
        <w:rPr>
          <w:sz w:val="26"/>
          <w:szCs w:val="26"/>
        </w:rPr>
        <w:t xml:space="preserve"> (PPH</w:t>
      </w:r>
      <w:r w:rsidR="00A521C4">
        <w:rPr>
          <w:sz w:val="26"/>
          <w:szCs w:val="26"/>
        </w:rPr>
        <w:t>s</w:t>
      </w:r>
      <w:r w:rsidR="00430D2E">
        <w:rPr>
          <w:sz w:val="26"/>
          <w:szCs w:val="26"/>
        </w:rPr>
        <w:t>)</w:t>
      </w:r>
      <w:r w:rsidRPr="00D351EE">
        <w:rPr>
          <w:sz w:val="26"/>
          <w:szCs w:val="26"/>
        </w:rPr>
        <w:t xml:space="preserve">.  </w:t>
      </w:r>
      <w:r w:rsidRPr="00D351EE" w:rsidR="00C72B7F">
        <w:rPr>
          <w:sz w:val="26"/>
          <w:szCs w:val="26"/>
        </w:rPr>
        <w:t xml:space="preserve">Over 600 people observed the </w:t>
      </w:r>
      <w:r w:rsidR="008B5529">
        <w:rPr>
          <w:sz w:val="26"/>
          <w:szCs w:val="26"/>
        </w:rPr>
        <w:t>two PPHs</w:t>
      </w:r>
      <w:r w:rsidRPr="00D351EE" w:rsidR="00C72B7F">
        <w:rPr>
          <w:sz w:val="26"/>
          <w:szCs w:val="26"/>
        </w:rPr>
        <w:t xml:space="preserve"> via live video stream</w:t>
      </w:r>
      <w:r w:rsidR="008B5529">
        <w:rPr>
          <w:sz w:val="26"/>
          <w:szCs w:val="26"/>
        </w:rPr>
        <w:t>,</w:t>
      </w:r>
      <w:r w:rsidR="00A26459">
        <w:rPr>
          <w:sz w:val="26"/>
          <w:szCs w:val="26"/>
        </w:rPr>
        <w:t xml:space="preserve"> 120 people </w:t>
      </w:r>
      <w:r w:rsidR="00057D53">
        <w:rPr>
          <w:sz w:val="26"/>
          <w:szCs w:val="26"/>
        </w:rPr>
        <w:t xml:space="preserve">listened via telephone, and </w:t>
      </w:r>
      <w:r w:rsidR="00483602">
        <w:rPr>
          <w:sz w:val="26"/>
          <w:szCs w:val="26"/>
        </w:rPr>
        <w:t>85</w:t>
      </w:r>
      <w:r w:rsidR="00057D53">
        <w:rPr>
          <w:sz w:val="26"/>
          <w:szCs w:val="26"/>
        </w:rPr>
        <w:t xml:space="preserve"> individuals commented</w:t>
      </w:r>
      <w:r w:rsidRPr="00D351EE" w:rsidR="00C72B7F">
        <w:rPr>
          <w:sz w:val="26"/>
          <w:szCs w:val="26"/>
        </w:rPr>
        <w:t xml:space="preserve">.  </w:t>
      </w:r>
      <w:r w:rsidR="009E47AD">
        <w:rPr>
          <w:sz w:val="26"/>
          <w:szCs w:val="26"/>
        </w:rPr>
        <w:t xml:space="preserve">Additionally, as of </w:t>
      </w:r>
      <w:r w:rsidR="00483602">
        <w:rPr>
          <w:sz w:val="26"/>
          <w:szCs w:val="26"/>
        </w:rPr>
        <w:t>May 3, 2021</w:t>
      </w:r>
      <w:r w:rsidR="009E47AD">
        <w:rPr>
          <w:sz w:val="26"/>
          <w:szCs w:val="26"/>
        </w:rPr>
        <w:t>, 203</w:t>
      </w:r>
      <w:r w:rsidR="001E6279">
        <w:rPr>
          <w:sz w:val="26"/>
          <w:szCs w:val="26"/>
        </w:rPr>
        <w:t xml:space="preserve"> individuals submitted </w:t>
      </w:r>
      <w:r w:rsidR="001E6279">
        <w:rPr>
          <w:sz w:val="26"/>
          <w:szCs w:val="26"/>
        </w:rPr>
        <w:lastRenderedPageBreak/>
        <w:t>comments on the public comment portal to R.20-10-002</w:t>
      </w:r>
      <w:r w:rsidRPr="003D173C" w:rsidR="001E6279">
        <w:rPr>
          <w:sz w:val="26"/>
          <w:szCs w:val="26"/>
        </w:rPr>
        <w:t xml:space="preserve">.  </w:t>
      </w:r>
      <w:r w:rsidR="003D4059">
        <w:rPr>
          <w:sz w:val="26"/>
          <w:szCs w:val="26"/>
        </w:rPr>
        <w:t>Section 1.3</w:t>
      </w:r>
      <w:r w:rsidR="00430D2E">
        <w:rPr>
          <w:sz w:val="26"/>
          <w:szCs w:val="26"/>
        </w:rPr>
        <w:t xml:space="preserve"> summari</w:t>
      </w:r>
      <w:r w:rsidR="008B5529">
        <w:rPr>
          <w:sz w:val="26"/>
          <w:szCs w:val="26"/>
        </w:rPr>
        <w:t>zes</w:t>
      </w:r>
      <w:r w:rsidR="004853BC">
        <w:rPr>
          <w:sz w:val="26"/>
          <w:szCs w:val="26"/>
        </w:rPr>
        <w:t xml:space="preserve"> public comments provided during the </w:t>
      </w:r>
      <w:r w:rsidRPr="6C6BCE6E" w:rsidR="004853BC">
        <w:rPr>
          <w:sz w:val="26"/>
          <w:szCs w:val="26"/>
        </w:rPr>
        <w:t>PPH</w:t>
      </w:r>
      <w:r w:rsidRPr="6C6BCE6E" w:rsidR="035FB485">
        <w:rPr>
          <w:sz w:val="26"/>
          <w:szCs w:val="26"/>
        </w:rPr>
        <w:t>s</w:t>
      </w:r>
      <w:r w:rsidR="004853BC">
        <w:rPr>
          <w:sz w:val="26"/>
          <w:szCs w:val="26"/>
        </w:rPr>
        <w:t xml:space="preserve"> and on the R.20-10-002 </w:t>
      </w:r>
      <w:r w:rsidR="00483602">
        <w:rPr>
          <w:sz w:val="26"/>
          <w:szCs w:val="26"/>
        </w:rPr>
        <w:t>p</w:t>
      </w:r>
      <w:r w:rsidR="004853BC">
        <w:rPr>
          <w:sz w:val="26"/>
          <w:szCs w:val="26"/>
        </w:rPr>
        <w:t xml:space="preserve">ublic </w:t>
      </w:r>
      <w:r w:rsidR="00483602">
        <w:rPr>
          <w:sz w:val="26"/>
          <w:szCs w:val="26"/>
        </w:rPr>
        <w:t>c</w:t>
      </w:r>
      <w:r w:rsidR="004853BC">
        <w:rPr>
          <w:sz w:val="26"/>
          <w:szCs w:val="26"/>
        </w:rPr>
        <w:t xml:space="preserve">omment </w:t>
      </w:r>
      <w:r w:rsidR="00483602">
        <w:rPr>
          <w:sz w:val="26"/>
          <w:szCs w:val="26"/>
        </w:rPr>
        <w:t>p</w:t>
      </w:r>
      <w:r w:rsidR="004853BC">
        <w:rPr>
          <w:sz w:val="26"/>
          <w:szCs w:val="26"/>
        </w:rPr>
        <w:t>ortal</w:t>
      </w:r>
      <w:r w:rsidR="008B5529">
        <w:rPr>
          <w:sz w:val="26"/>
          <w:szCs w:val="26"/>
        </w:rPr>
        <w:t>.</w:t>
      </w:r>
    </w:p>
    <w:p w:rsidR="002C7FE9" w:rsidP="00040561" w:rsidRDefault="00C2059F" w14:paraId="6D12835D" w14:textId="521A8C9E">
      <w:pPr>
        <w:pStyle w:val="Standard"/>
        <w:ind w:firstLine="720"/>
        <w:rPr>
          <w:sz w:val="26"/>
          <w:szCs w:val="26"/>
        </w:rPr>
      </w:pPr>
      <w:r w:rsidRPr="00D351EE">
        <w:rPr>
          <w:sz w:val="26"/>
          <w:szCs w:val="26"/>
        </w:rPr>
        <w:t xml:space="preserve">On April </w:t>
      </w:r>
      <w:r w:rsidRPr="00D351EE" w:rsidR="00E37424">
        <w:rPr>
          <w:sz w:val="26"/>
          <w:szCs w:val="26"/>
        </w:rPr>
        <w:t>27, 2021</w:t>
      </w:r>
      <w:r w:rsidR="004562E7">
        <w:rPr>
          <w:sz w:val="26"/>
          <w:szCs w:val="26"/>
        </w:rPr>
        <w:t>,</w:t>
      </w:r>
      <w:r w:rsidRPr="00D351EE" w:rsidR="00E37424">
        <w:rPr>
          <w:sz w:val="26"/>
          <w:szCs w:val="26"/>
        </w:rPr>
        <w:t xml:space="preserve"> and April </w:t>
      </w:r>
      <w:r w:rsidRPr="00D351EE">
        <w:rPr>
          <w:sz w:val="26"/>
          <w:szCs w:val="26"/>
        </w:rPr>
        <w:t xml:space="preserve">30, 2021, 10 parties filed comments on </w:t>
      </w:r>
      <w:r w:rsidR="008C03AE">
        <w:rPr>
          <w:sz w:val="26"/>
          <w:szCs w:val="26"/>
        </w:rPr>
        <w:t xml:space="preserve">the </w:t>
      </w:r>
      <w:r w:rsidRPr="00D351EE">
        <w:rPr>
          <w:sz w:val="26"/>
          <w:szCs w:val="26"/>
        </w:rPr>
        <w:t xml:space="preserve">Staff </w:t>
      </w:r>
      <w:r w:rsidRPr="00D351EE" w:rsidR="00DD7874">
        <w:rPr>
          <w:sz w:val="26"/>
          <w:szCs w:val="26"/>
        </w:rPr>
        <w:t>Proposal.</w:t>
      </w:r>
      <w:r w:rsidRPr="00D351EE" w:rsidR="00DD7874">
        <w:rPr>
          <w:rStyle w:val="FootnoteReference"/>
          <w:sz w:val="26"/>
          <w:szCs w:val="26"/>
        </w:rPr>
        <w:footnoteReference w:id="36"/>
      </w:r>
      <w:r w:rsidRPr="00D351EE" w:rsidR="00DD7874">
        <w:rPr>
          <w:sz w:val="26"/>
          <w:szCs w:val="26"/>
        </w:rPr>
        <w:t xml:space="preserve">  </w:t>
      </w:r>
      <w:r w:rsidRPr="00D351EE" w:rsidR="009631CB">
        <w:rPr>
          <w:sz w:val="26"/>
          <w:szCs w:val="26"/>
        </w:rPr>
        <w:t xml:space="preserve">On May 12, 2021, </w:t>
      </w:r>
      <w:r w:rsidR="00847290">
        <w:rPr>
          <w:sz w:val="26"/>
          <w:szCs w:val="26"/>
        </w:rPr>
        <w:t xml:space="preserve">five </w:t>
      </w:r>
      <w:r w:rsidRPr="00D351EE" w:rsidR="009631CB">
        <w:rPr>
          <w:sz w:val="26"/>
          <w:szCs w:val="26"/>
        </w:rPr>
        <w:t>parties filed reply comments.</w:t>
      </w:r>
      <w:r w:rsidR="00FC7E9B">
        <w:rPr>
          <w:rStyle w:val="FootnoteReference"/>
          <w:sz w:val="26"/>
          <w:szCs w:val="26"/>
        </w:rPr>
        <w:footnoteReference w:id="37"/>
      </w:r>
      <w:r w:rsidRPr="00D351EE" w:rsidR="009631CB">
        <w:rPr>
          <w:sz w:val="26"/>
          <w:szCs w:val="26"/>
        </w:rPr>
        <w:t xml:space="preserve"> </w:t>
      </w:r>
      <w:r w:rsidR="008314F2">
        <w:rPr>
          <w:sz w:val="26"/>
          <w:szCs w:val="26"/>
        </w:rPr>
        <w:t xml:space="preserve"> </w:t>
      </w:r>
    </w:p>
    <w:p w:rsidRPr="007162FD" w:rsidR="007162FD" w:rsidP="007162FD" w:rsidRDefault="007162FD" w14:paraId="3AFC9496" w14:textId="0A9AB5E5">
      <w:pPr>
        <w:pStyle w:val="Standard"/>
        <w:ind w:firstLine="720"/>
        <w:rPr>
          <w:sz w:val="26"/>
          <w:szCs w:val="26"/>
        </w:rPr>
      </w:pPr>
      <w:r>
        <w:rPr>
          <w:sz w:val="26"/>
          <w:szCs w:val="26"/>
        </w:rPr>
        <w:t xml:space="preserve">On </w:t>
      </w:r>
      <w:r w:rsidRPr="007162FD">
        <w:rPr>
          <w:sz w:val="26"/>
          <w:szCs w:val="26"/>
        </w:rPr>
        <w:t xml:space="preserve">May 4, 2021, the assigned ALJ issued a </w:t>
      </w:r>
      <w:r w:rsidRPr="007162FD">
        <w:rPr>
          <w:i/>
          <w:iCs/>
          <w:sz w:val="26"/>
          <w:szCs w:val="26"/>
        </w:rPr>
        <w:t xml:space="preserve">Ruling Describing Process to Remove Most Telecommunications Carriers from Service List.  </w:t>
      </w:r>
      <w:r>
        <w:rPr>
          <w:sz w:val="26"/>
          <w:szCs w:val="26"/>
        </w:rPr>
        <w:t xml:space="preserve">We discuss this </w:t>
      </w:r>
      <w:r w:rsidR="00D20DCE">
        <w:rPr>
          <w:sz w:val="26"/>
          <w:szCs w:val="26"/>
        </w:rPr>
        <w:t xml:space="preserve">and update the R.20-10-002 service list </w:t>
      </w:r>
      <w:r>
        <w:rPr>
          <w:sz w:val="26"/>
          <w:szCs w:val="26"/>
        </w:rPr>
        <w:t xml:space="preserve">in section </w:t>
      </w:r>
      <w:r w:rsidR="00C3037F">
        <w:rPr>
          <w:sz w:val="26"/>
          <w:szCs w:val="26"/>
        </w:rPr>
        <w:t>9</w:t>
      </w:r>
      <w:r>
        <w:rPr>
          <w:sz w:val="26"/>
          <w:szCs w:val="26"/>
        </w:rPr>
        <w:t xml:space="preserve">. </w:t>
      </w:r>
    </w:p>
    <w:p w:rsidRPr="002314FB" w:rsidR="002314FB" w:rsidP="00F24A72" w:rsidRDefault="00C2056A" w14:paraId="222E087B" w14:textId="164DDEA7">
      <w:pPr>
        <w:pStyle w:val="Heading2"/>
      </w:pPr>
      <w:bookmarkStart w:name="_Toc80089382" w:id="8"/>
      <w:r>
        <w:t>1.</w:t>
      </w:r>
      <w:r w:rsidR="00F24A72">
        <w:t>3</w:t>
      </w:r>
      <w:r>
        <w:tab/>
        <w:t xml:space="preserve">Public Comments </w:t>
      </w:r>
      <w:r w:rsidR="00186ACB">
        <w:t>Received</w:t>
      </w:r>
      <w:bookmarkEnd w:id="8"/>
    </w:p>
    <w:p w:rsidRPr="00492D40" w:rsidR="00492D40" w:rsidP="00F24A72" w:rsidRDefault="00F24A72" w14:paraId="292B8DE9" w14:textId="07B6E914">
      <w:pPr>
        <w:pStyle w:val="Heading3"/>
      </w:pPr>
      <w:bookmarkStart w:name="_Toc80089383" w:id="9"/>
      <w:r>
        <w:t>1.3.1.</w:t>
      </w:r>
      <w:r>
        <w:tab/>
      </w:r>
      <w:r w:rsidR="006B70A5">
        <w:t xml:space="preserve">Public Comment </w:t>
      </w:r>
      <w:r w:rsidRPr="00492D40" w:rsidR="00492D40">
        <w:t>Portal</w:t>
      </w:r>
      <w:bookmarkEnd w:id="9"/>
    </w:p>
    <w:p w:rsidRPr="00472730" w:rsidR="00492D40" w:rsidP="00F24A72" w:rsidRDefault="00E57F69" w14:paraId="06EFEBE1" w14:textId="5500BCD8">
      <w:pPr>
        <w:pStyle w:val="Standard"/>
        <w:ind w:firstLine="720"/>
        <w:rPr>
          <w:sz w:val="26"/>
          <w:szCs w:val="26"/>
        </w:rPr>
      </w:pPr>
      <w:r w:rsidRPr="00472730">
        <w:rPr>
          <w:sz w:val="26"/>
          <w:szCs w:val="26"/>
        </w:rPr>
        <w:t xml:space="preserve">As of </w:t>
      </w:r>
      <w:r w:rsidR="001D13F1">
        <w:rPr>
          <w:sz w:val="26"/>
          <w:szCs w:val="26"/>
        </w:rPr>
        <w:t>May 3, 2021</w:t>
      </w:r>
      <w:r w:rsidRPr="00472730">
        <w:rPr>
          <w:sz w:val="26"/>
          <w:szCs w:val="26"/>
        </w:rPr>
        <w:t xml:space="preserve">, </w:t>
      </w:r>
      <w:r w:rsidRPr="00472730" w:rsidR="006B70A5">
        <w:rPr>
          <w:sz w:val="26"/>
          <w:szCs w:val="26"/>
        </w:rPr>
        <w:t xml:space="preserve">the </w:t>
      </w:r>
      <w:r w:rsidRPr="00472730" w:rsidR="00492D40">
        <w:rPr>
          <w:sz w:val="26"/>
          <w:szCs w:val="26"/>
        </w:rPr>
        <w:t xml:space="preserve">R.20-10-002 </w:t>
      </w:r>
      <w:r w:rsidR="00483602">
        <w:rPr>
          <w:sz w:val="26"/>
          <w:szCs w:val="26"/>
        </w:rPr>
        <w:t>p</w:t>
      </w:r>
      <w:r w:rsidRPr="00472730" w:rsidR="006B70A5">
        <w:rPr>
          <w:sz w:val="26"/>
          <w:szCs w:val="26"/>
        </w:rPr>
        <w:t xml:space="preserve">ublic </w:t>
      </w:r>
      <w:r w:rsidR="00483602">
        <w:rPr>
          <w:sz w:val="26"/>
          <w:szCs w:val="26"/>
        </w:rPr>
        <w:t>c</w:t>
      </w:r>
      <w:r w:rsidRPr="00472730" w:rsidR="006B70A5">
        <w:rPr>
          <w:sz w:val="26"/>
          <w:szCs w:val="26"/>
        </w:rPr>
        <w:t xml:space="preserve">omment </w:t>
      </w:r>
      <w:r w:rsidR="00483602">
        <w:rPr>
          <w:sz w:val="26"/>
          <w:szCs w:val="26"/>
        </w:rPr>
        <w:t>p</w:t>
      </w:r>
      <w:r w:rsidRPr="00472730" w:rsidR="006B70A5">
        <w:rPr>
          <w:sz w:val="26"/>
          <w:szCs w:val="26"/>
        </w:rPr>
        <w:t xml:space="preserve">ortal </w:t>
      </w:r>
      <w:r w:rsidR="001D13F1">
        <w:rPr>
          <w:sz w:val="26"/>
          <w:szCs w:val="26"/>
        </w:rPr>
        <w:t xml:space="preserve">had </w:t>
      </w:r>
      <w:r w:rsidRPr="00472730" w:rsidR="00492D40">
        <w:rPr>
          <w:sz w:val="26"/>
          <w:szCs w:val="26"/>
        </w:rPr>
        <w:t>received 203 written comments.</w:t>
      </w:r>
      <w:r w:rsidR="008208C5">
        <w:rPr>
          <w:rStyle w:val="FootnoteReference"/>
          <w:sz w:val="26"/>
          <w:szCs w:val="26"/>
        </w:rPr>
        <w:footnoteReference w:id="38"/>
      </w:r>
      <w:r w:rsidRPr="00472730" w:rsidR="00492D40">
        <w:rPr>
          <w:sz w:val="26"/>
          <w:szCs w:val="26"/>
        </w:rPr>
        <w:t xml:space="preserve"> </w:t>
      </w:r>
      <w:r w:rsidRPr="00472730" w:rsidR="008C7341">
        <w:rPr>
          <w:sz w:val="26"/>
          <w:szCs w:val="26"/>
        </w:rPr>
        <w:t xml:space="preserve"> </w:t>
      </w:r>
      <w:r w:rsidRPr="00472730" w:rsidR="00492D40">
        <w:rPr>
          <w:sz w:val="26"/>
          <w:szCs w:val="26"/>
        </w:rPr>
        <w:t xml:space="preserve">Of these, 197 commented on excessive rates, including 54 comments in support of free phone calls, and </w:t>
      </w:r>
      <w:r w:rsidR="00475076">
        <w:rPr>
          <w:sz w:val="26"/>
          <w:szCs w:val="26"/>
        </w:rPr>
        <w:t>nine</w:t>
      </w:r>
      <w:r w:rsidRPr="00472730" w:rsidR="00492D40">
        <w:rPr>
          <w:sz w:val="26"/>
          <w:szCs w:val="26"/>
        </w:rPr>
        <w:t xml:space="preserve"> comments regarding I</w:t>
      </w:r>
      <w:r w:rsidRPr="00472730" w:rsidR="008C7341">
        <w:rPr>
          <w:sz w:val="26"/>
          <w:szCs w:val="26"/>
        </w:rPr>
        <w:t>P</w:t>
      </w:r>
      <w:r w:rsidRPr="00472730" w:rsidR="00492D40">
        <w:rPr>
          <w:sz w:val="26"/>
          <w:szCs w:val="26"/>
        </w:rPr>
        <w:t xml:space="preserve">CS customer service and dropped calls. </w:t>
      </w:r>
      <w:r w:rsidR="001D13F1">
        <w:rPr>
          <w:sz w:val="26"/>
          <w:szCs w:val="26"/>
        </w:rPr>
        <w:t xml:space="preserve"> </w:t>
      </w:r>
      <w:r w:rsidRPr="00472730" w:rsidR="00492D40">
        <w:rPr>
          <w:sz w:val="26"/>
          <w:szCs w:val="26"/>
        </w:rPr>
        <w:t>While there were no comments from individuals describing themselves as currently incarcerated, there were two</w:t>
      </w:r>
      <w:r w:rsidR="003A18DD">
        <w:rPr>
          <w:sz w:val="26"/>
          <w:szCs w:val="26"/>
        </w:rPr>
        <w:t> </w:t>
      </w:r>
      <w:r w:rsidRPr="00472730" w:rsidR="00492D40">
        <w:rPr>
          <w:sz w:val="26"/>
          <w:szCs w:val="26"/>
        </w:rPr>
        <w:t>comments from formerly incarcerated</w:t>
      </w:r>
      <w:r w:rsidRPr="00472730" w:rsidR="7201CA99">
        <w:rPr>
          <w:sz w:val="26"/>
          <w:szCs w:val="26"/>
        </w:rPr>
        <w:t xml:space="preserve"> persons</w:t>
      </w:r>
      <w:r w:rsidRPr="00472730" w:rsidR="00492D40">
        <w:rPr>
          <w:sz w:val="26"/>
          <w:szCs w:val="26"/>
        </w:rPr>
        <w:t xml:space="preserve">.  Commenters overwhelmingly describe </w:t>
      </w:r>
      <w:r w:rsidR="00483602">
        <w:rPr>
          <w:sz w:val="26"/>
          <w:szCs w:val="26"/>
        </w:rPr>
        <w:t xml:space="preserve">the </w:t>
      </w:r>
      <w:r w:rsidRPr="00472730" w:rsidR="00492D40">
        <w:rPr>
          <w:sz w:val="26"/>
          <w:szCs w:val="26"/>
        </w:rPr>
        <w:t>financial hardships of maintaining contact with their loved ones, especially during C</w:t>
      </w:r>
      <w:r w:rsidR="00171501">
        <w:rPr>
          <w:sz w:val="26"/>
          <w:szCs w:val="26"/>
        </w:rPr>
        <w:t>OVID</w:t>
      </w:r>
      <w:r w:rsidRPr="00472730" w:rsidR="00492D40">
        <w:rPr>
          <w:sz w:val="26"/>
          <w:szCs w:val="26"/>
        </w:rPr>
        <w:t>-19 when in person visits are not possible, and urge the Commission take action to reduce rates and fees.</w:t>
      </w:r>
    </w:p>
    <w:p w:rsidRPr="00492D40" w:rsidR="00492D40" w:rsidP="00472730" w:rsidRDefault="002E0D97" w14:paraId="3D38CE1C" w14:textId="7A5659D0">
      <w:pPr>
        <w:pStyle w:val="Heading3"/>
      </w:pPr>
      <w:bookmarkStart w:name="_Toc80089384" w:id="10"/>
      <w:r>
        <w:lastRenderedPageBreak/>
        <w:t>1.3.1.1</w:t>
      </w:r>
      <w:r>
        <w:tab/>
      </w:r>
      <w:r w:rsidRPr="00D5596B" w:rsidR="00492D40">
        <w:t>Rates</w:t>
      </w:r>
      <w:bookmarkEnd w:id="10"/>
    </w:p>
    <w:p w:rsidRPr="00472730" w:rsidR="00492D40" w:rsidP="00472730" w:rsidRDefault="00492D40" w14:paraId="4747EAED" w14:textId="72CDCCFB">
      <w:pPr>
        <w:pStyle w:val="Standard"/>
        <w:ind w:firstLine="720"/>
        <w:rPr>
          <w:sz w:val="26"/>
          <w:szCs w:val="26"/>
        </w:rPr>
      </w:pPr>
      <w:r w:rsidRPr="00472730">
        <w:rPr>
          <w:sz w:val="26"/>
          <w:szCs w:val="26"/>
        </w:rPr>
        <w:t xml:space="preserve">All but two commenters </w:t>
      </w:r>
      <w:r w:rsidR="006C4010">
        <w:rPr>
          <w:sz w:val="26"/>
          <w:szCs w:val="26"/>
        </w:rPr>
        <w:t>urge</w:t>
      </w:r>
      <w:r w:rsidRPr="00472730">
        <w:rPr>
          <w:sz w:val="26"/>
          <w:szCs w:val="26"/>
        </w:rPr>
        <w:t xml:space="preserve"> the Commission </w:t>
      </w:r>
      <w:r w:rsidR="006C4010">
        <w:rPr>
          <w:sz w:val="26"/>
          <w:szCs w:val="26"/>
        </w:rPr>
        <w:t xml:space="preserve">to </w:t>
      </w:r>
      <w:r w:rsidRPr="00472730">
        <w:rPr>
          <w:sz w:val="26"/>
          <w:szCs w:val="26"/>
        </w:rPr>
        <w:t>lower and cap rates or make calling free.</w:t>
      </w:r>
      <w:r w:rsidR="006B5444">
        <w:rPr>
          <w:rStyle w:val="FootnoteReference"/>
          <w:sz w:val="26"/>
          <w:szCs w:val="26"/>
        </w:rPr>
        <w:footnoteReference w:id="39"/>
      </w:r>
      <w:r w:rsidRPr="00472730">
        <w:rPr>
          <w:sz w:val="26"/>
          <w:szCs w:val="26"/>
        </w:rPr>
        <w:t xml:space="preserve"> </w:t>
      </w:r>
      <w:r w:rsidR="002E0D97">
        <w:rPr>
          <w:bCs/>
          <w:sz w:val="26"/>
          <w:szCs w:val="26"/>
        </w:rPr>
        <w:t xml:space="preserve"> </w:t>
      </w:r>
      <w:r w:rsidRPr="00472730">
        <w:rPr>
          <w:sz w:val="26"/>
          <w:szCs w:val="26"/>
        </w:rPr>
        <w:t xml:space="preserve">There were no explicit comments supporting the Staff Proposal. </w:t>
      </w:r>
      <w:r w:rsidR="002E0D97">
        <w:rPr>
          <w:bCs/>
          <w:sz w:val="26"/>
          <w:szCs w:val="26"/>
        </w:rPr>
        <w:t xml:space="preserve"> </w:t>
      </w:r>
      <w:r w:rsidRPr="00472730">
        <w:rPr>
          <w:sz w:val="26"/>
          <w:szCs w:val="26"/>
        </w:rPr>
        <w:t xml:space="preserve">Commenters spoke about the high </w:t>
      </w:r>
      <w:r w:rsidRPr="00472730">
        <w:rPr>
          <w:bCs/>
          <w:sz w:val="26"/>
          <w:szCs w:val="26"/>
        </w:rPr>
        <w:t>I</w:t>
      </w:r>
      <w:r w:rsidR="002E0D97">
        <w:rPr>
          <w:bCs/>
          <w:sz w:val="26"/>
          <w:szCs w:val="26"/>
        </w:rPr>
        <w:t>P</w:t>
      </w:r>
      <w:r w:rsidRPr="00472730">
        <w:rPr>
          <w:bCs/>
          <w:sz w:val="26"/>
          <w:szCs w:val="26"/>
        </w:rPr>
        <w:t>CS</w:t>
      </w:r>
      <w:r w:rsidRPr="00472730">
        <w:rPr>
          <w:sz w:val="26"/>
          <w:szCs w:val="26"/>
        </w:rPr>
        <w:t xml:space="preserve"> costs. </w:t>
      </w:r>
      <w:r w:rsidRPr="00472730" w:rsidR="15D0D1EA">
        <w:rPr>
          <w:sz w:val="26"/>
          <w:szCs w:val="26"/>
        </w:rPr>
        <w:t xml:space="preserve"> </w:t>
      </w:r>
      <w:r w:rsidRPr="00472730">
        <w:rPr>
          <w:sz w:val="26"/>
          <w:szCs w:val="26"/>
        </w:rPr>
        <w:t>One commenter state</w:t>
      </w:r>
      <w:r w:rsidR="00483602">
        <w:rPr>
          <w:sz w:val="26"/>
          <w:szCs w:val="26"/>
        </w:rPr>
        <w:t>s</w:t>
      </w:r>
      <w:r w:rsidRPr="00472730">
        <w:rPr>
          <w:sz w:val="26"/>
          <w:szCs w:val="26"/>
        </w:rPr>
        <w:t xml:space="preserve"> that </w:t>
      </w:r>
      <w:r w:rsidR="00483602">
        <w:rPr>
          <w:sz w:val="26"/>
          <w:szCs w:val="26"/>
        </w:rPr>
        <w:t xml:space="preserve">the </w:t>
      </w:r>
      <w:r w:rsidRPr="00472730">
        <w:rPr>
          <w:sz w:val="26"/>
          <w:szCs w:val="26"/>
        </w:rPr>
        <w:t>“…financial burden is solely placed on family members</w:t>
      </w:r>
      <w:r w:rsidR="002E0D97">
        <w:rPr>
          <w:bCs/>
          <w:sz w:val="26"/>
          <w:szCs w:val="26"/>
        </w:rPr>
        <w:t>.</w:t>
      </w:r>
      <w:r w:rsidRPr="00472730">
        <w:rPr>
          <w:bCs/>
          <w:sz w:val="26"/>
          <w:szCs w:val="26"/>
        </w:rPr>
        <w:t>”</w:t>
      </w:r>
      <w:r w:rsidR="00BE21CE">
        <w:rPr>
          <w:rStyle w:val="FootnoteReference"/>
          <w:bCs/>
          <w:sz w:val="26"/>
          <w:szCs w:val="26"/>
        </w:rPr>
        <w:footnoteReference w:id="40"/>
      </w:r>
      <w:r w:rsidR="002E0D97">
        <w:rPr>
          <w:bCs/>
          <w:sz w:val="26"/>
          <w:szCs w:val="26"/>
        </w:rPr>
        <w:t xml:space="preserve">  </w:t>
      </w:r>
      <w:r w:rsidRPr="00472730">
        <w:rPr>
          <w:sz w:val="26"/>
          <w:szCs w:val="26"/>
        </w:rPr>
        <w:t>Another state</w:t>
      </w:r>
      <w:r w:rsidR="00483602">
        <w:rPr>
          <w:sz w:val="26"/>
          <w:szCs w:val="26"/>
        </w:rPr>
        <w:t>s</w:t>
      </w:r>
      <w:r w:rsidRPr="00472730">
        <w:rPr>
          <w:sz w:val="26"/>
          <w:szCs w:val="26"/>
        </w:rPr>
        <w:t xml:space="preserve"> “…with connection fees, costs are $150 per month…cost per minute is actually $0.31</w:t>
      </w:r>
      <w:r w:rsidR="002E0D97">
        <w:rPr>
          <w:bCs/>
          <w:sz w:val="26"/>
          <w:szCs w:val="26"/>
        </w:rPr>
        <w:t>.</w:t>
      </w:r>
      <w:r w:rsidRPr="00472730">
        <w:rPr>
          <w:bCs/>
          <w:sz w:val="26"/>
          <w:szCs w:val="26"/>
        </w:rPr>
        <w:t>”</w:t>
      </w:r>
      <w:r w:rsidR="00CE51A0">
        <w:rPr>
          <w:rStyle w:val="FootnoteReference"/>
          <w:bCs/>
          <w:sz w:val="26"/>
          <w:szCs w:val="26"/>
        </w:rPr>
        <w:footnoteReference w:id="41"/>
      </w:r>
      <w:r w:rsidR="002E0D97">
        <w:rPr>
          <w:bCs/>
          <w:sz w:val="26"/>
          <w:szCs w:val="26"/>
        </w:rPr>
        <w:t xml:space="preserve">  </w:t>
      </w:r>
      <w:r w:rsidRPr="00472730">
        <w:rPr>
          <w:sz w:val="26"/>
          <w:szCs w:val="26"/>
        </w:rPr>
        <w:t xml:space="preserve">Comments also address fees. </w:t>
      </w:r>
      <w:r w:rsidRPr="00472730">
        <w:rPr>
          <w:bCs/>
          <w:sz w:val="26"/>
          <w:szCs w:val="26"/>
        </w:rPr>
        <w:t>“</w:t>
      </w:r>
      <w:r w:rsidR="00EA338D">
        <w:rPr>
          <w:bCs/>
          <w:sz w:val="26"/>
          <w:szCs w:val="26"/>
        </w:rPr>
        <w:t>[T]</w:t>
      </w:r>
      <w:r w:rsidRPr="00472730">
        <w:rPr>
          <w:sz w:val="26"/>
          <w:szCs w:val="26"/>
        </w:rPr>
        <w:t>he fee is $7.95 for deposits up to $25</w:t>
      </w:r>
      <w:r w:rsidR="001130F7">
        <w:rPr>
          <w:sz w:val="26"/>
          <w:szCs w:val="26"/>
        </w:rPr>
        <w:t> </w:t>
      </w:r>
      <w:r w:rsidRPr="00472730">
        <w:rPr>
          <w:sz w:val="26"/>
          <w:szCs w:val="26"/>
        </w:rPr>
        <w:t>and $9.95 for $25 and above</w:t>
      </w:r>
      <w:r w:rsidR="00EA338D">
        <w:rPr>
          <w:bCs/>
          <w:sz w:val="26"/>
          <w:szCs w:val="26"/>
        </w:rPr>
        <w:t>.”</w:t>
      </w:r>
      <w:r w:rsidR="00767323">
        <w:rPr>
          <w:rStyle w:val="FootnoteReference"/>
          <w:bCs/>
          <w:sz w:val="26"/>
          <w:szCs w:val="26"/>
        </w:rPr>
        <w:footnoteReference w:id="42"/>
      </w:r>
      <w:r w:rsidR="00EA338D">
        <w:rPr>
          <w:bCs/>
          <w:sz w:val="26"/>
          <w:szCs w:val="26"/>
        </w:rPr>
        <w:t xml:space="preserve">  </w:t>
      </w:r>
      <w:r w:rsidRPr="00472730">
        <w:rPr>
          <w:sz w:val="26"/>
          <w:szCs w:val="26"/>
        </w:rPr>
        <w:t>Another commenter stat</w:t>
      </w:r>
      <w:r w:rsidR="00483602">
        <w:rPr>
          <w:sz w:val="26"/>
          <w:szCs w:val="26"/>
        </w:rPr>
        <w:t>es</w:t>
      </w:r>
      <w:r w:rsidRPr="00472730">
        <w:rPr>
          <w:sz w:val="26"/>
          <w:szCs w:val="26"/>
        </w:rPr>
        <w:t xml:space="preserve"> “…please lower the </w:t>
      </w:r>
      <w:r w:rsidRPr="00472730">
        <w:rPr>
          <w:bCs/>
          <w:sz w:val="26"/>
          <w:szCs w:val="26"/>
        </w:rPr>
        <w:t>cost</w:t>
      </w:r>
      <w:r w:rsidR="0032722C">
        <w:rPr>
          <w:bCs/>
          <w:sz w:val="26"/>
          <w:szCs w:val="26"/>
        </w:rPr>
        <w:t xml:space="preserve"> of communications for incarcerated individuals</w:t>
      </w:r>
      <w:r w:rsidRPr="00472730">
        <w:rPr>
          <w:sz w:val="26"/>
          <w:szCs w:val="26"/>
        </w:rPr>
        <w:t>, especially if they have not been convicted</w:t>
      </w:r>
      <w:r w:rsidR="00EA338D">
        <w:rPr>
          <w:bCs/>
          <w:sz w:val="26"/>
          <w:szCs w:val="26"/>
        </w:rPr>
        <w:t>.</w:t>
      </w:r>
      <w:r w:rsidRPr="00472730">
        <w:rPr>
          <w:bCs/>
          <w:sz w:val="26"/>
          <w:szCs w:val="26"/>
        </w:rPr>
        <w:t>”</w:t>
      </w:r>
      <w:r w:rsidR="006745DA">
        <w:rPr>
          <w:rStyle w:val="FootnoteReference"/>
          <w:bCs/>
          <w:sz w:val="26"/>
          <w:szCs w:val="26"/>
        </w:rPr>
        <w:footnoteReference w:id="43"/>
      </w:r>
      <w:r w:rsidR="00EA338D">
        <w:rPr>
          <w:bCs/>
          <w:sz w:val="26"/>
          <w:szCs w:val="26"/>
        </w:rPr>
        <w:t xml:space="preserve"> </w:t>
      </w:r>
      <w:r w:rsidRPr="00472730">
        <w:rPr>
          <w:sz w:val="26"/>
          <w:szCs w:val="26"/>
        </w:rPr>
        <w:t xml:space="preserve"> And “…fees are</w:t>
      </w:r>
      <w:r w:rsidRPr="00472730">
        <w:rPr>
          <w:bCs/>
          <w:sz w:val="26"/>
          <w:szCs w:val="26"/>
        </w:rPr>
        <w:t xml:space="preserve"> </w:t>
      </w:r>
      <w:r w:rsidR="00752725">
        <w:rPr>
          <w:bCs/>
          <w:sz w:val="26"/>
          <w:szCs w:val="26"/>
        </w:rPr>
        <w:t>completely</w:t>
      </w:r>
      <w:r>
        <w:rPr>
          <w:sz w:val="26"/>
          <w:szCs w:val="26"/>
        </w:rPr>
        <w:t xml:space="preserve"> </w:t>
      </w:r>
      <w:r w:rsidRPr="00472730">
        <w:rPr>
          <w:sz w:val="26"/>
          <w:szCs w:val="26"/>
        </w:rPr>
        <w:t>outrageous</w:t>
      </w:r>
      <w:r w:rsidR="00483602">
        <w:rPr>
          <w:sz w:val="26"/>
          <w:szCs w:val="26"/>
        </w:rPr>
        <w:t>,</w:t>
      </w:r>
      <w:r w:rsidR="00752725">
        <w:rPr>
          <w:bCs/>
          <w:sz w:val="26"/>
          <w:szCs w:val="26"/>
        </w:rPr>
        <w:t xml:space="preserve"> then you add the </w:t>
      </w:r>
      <w:r w:rsidRPr="00472730">
        <w:rPr>
          <w:sz w:val="26"/>
          <w:szCs w:val="26"/>
        </w:rPr>
        <w:t xml:space="preserve">connection fee, </w:t>
      </w:r>
      <w:r w:rsidR="002E3AFD">
        <w:rPr>
          <w:bCs/>
          <w:sz w:val="26"/>
          <w:szCs w:val="26"/>
        </w:rPr>
        <w:t xml:space="preserve">the </w:t>
      </w:r>
      <w:r w:rsidRPr="00472730">
        <w:rPr>
          <w:sz w:val="26"/>
          <w:szCs w:val="26"/>
        </w:rPr>
        <w:t xml:space="preserve">per minute </w:t>
      </w:r>
      <w:r w:rsidRPr="00472730">
        <w:rPr>
          <w:bCs/>
          <w:sz w:val="26"/>
          <w:szCs w:val="26"/>
        </w:rPr>
        <w:t>fee</w:t>
      </w:r>
      <w:r w:rsidR="002E3AFD">
        <w:rPr>
          <w:bCs/>
          <w:sz w:val="26"/>
          <w:szCs w:val="26"/>
        </w:rPr>
        <w:t>, add the time limit and families are being taken advantage of during some of the most difficult circumstances in their lives</w:t>
      </w:r>
      <w:r w:rsidR="00A3008F">
        <w:rPr>
          <w:bCs/>
          <w:sz w:val="26"/>
          <w:szCs w:val="26"/>
        </w:rPr>
        <w:t>.</w:t>
      </w:r>
      <w:r w:rsidRPr="00472730">
        <w:rPr>
          <w:bCs/>
          <w:sz w:val="26"/>
          <w:szCs w:val="26"/>
        </w:rPr>
        <w:t>”</w:t>
      </w:r>
      <w:r w:rsidR="0032722C">
        <w:rPr>
          <w:rStyle w:val="FootnoteReference"/>
          <w:bCs/>
          <w:sz w:val="26"/>
          <w:szCs w:val="26"/>
        </w:rPr>
        <w:footnoteReference w:id="44"/>
      </w:r>
      <w:r w:rsidR="000D2489">
        <w:rPr>
          <w:bCs/>
          <w:sz w:val="26"/>
          <w:szCs w:val="26"/>
        </w:rPr>
        <w:t xml:space="preserve"> </w:t>
      </w:r>
      <w:r w:rsidR="003B7477">
        <w:rPr>
          <w:bCs/>
          <w:sz w:val="26"/>
          <w:szCs w:val="26"/>
        </w:rPr>
        <w:t xml:space="preserve"> Another c</w:t>
      </w:r>
      <w:r w:rsidR="00483602">
        <w:rPr>
          <w:bCs/>
          <w:sz w:val="26"/>
          <w:szCs w:val="26"/>
        </w:rPr>
        <w:t>ommenter says</w:t>
      </w:r>
      <w:r w:rsidR="003B7477">
        <w:rPr>
          <w:bCs/>
          <w:sz w:val="26"/>
          <w:szCs w:val="26"/>
        </w:rPr>
        <w:t>,</w:t>
      </w:r>
      <w:r w:rsidRPr="00472730">
        <w:rPr>
          <w:sz w:val="26"/>
          <w:szCs w:val="26"/>
        </w:rPr>
        <w:t xml:space="preserve"> “…eliminate </w:t>
      </w:r>
      <w:r w:rsidR="008F461E">
        <w:rPr>
          <w:bCs/>
          <w:sz w:val="26"/>
          <w:szCs w:val="26"/>
        </w:rPr>
        <w:t>a</w:t>
      </w:r>
      <w:r w:rsidRPr="00472730">
        <w:rPr>
          <w:sz w:val="26"/>
          <w:szCs w:val="26"/>
        </w:rPr>
        <w:t xml:space="preserve">ll fees that are not </w:t>
      </w:r>
      <w:r w:rsidR="00483602">
        <w:rPr>
          <w:sz w:val="26"/>
          <w:szCs w:val="26"/>
        </w:rPr>
        <w:t xml:space="preserve">the </w:t>
      </w:r>
      <w:r w:rsidRPr="00472730">
        <w:rPr>
          <w:sz w:val="26"/>
          <w:szCs w:val="26"/>
        </w:rPr>
        <w:t>basic cost of a call</w:t>
      </w:r>
      <w:r w:rsidR="000D2489">
        <w:rPr>
          <w:bCs/>
          <w:sz w:val="26"/>
          <w:szCs w:val="26"/>
        </w:rPr>
        <w:t>.</w:t>
      </w:r>
      <w:r w:rsidRPr="00472730">
        <w:rPr>
          <w:bCs/>
          <w:sz w:val="26"/>
          <w:szCs w:val="26"/>
        </w:rPr>
        <w:t>”</w:t>
      </w:r>
      <w:r w:rsidR="00FF6FF6">
        <w:rPr>
          <w:rStyle w:val="FootnoteReference"/>
          <w:bCs/>
          <w:sz w:val="26"/>
          <w:szCs w:val="26"/>
        </w:rPr>
        <w:footnoteReference w:id="45"/>
      </w:r>
      <w:r w:rsidR="000D2489">
        <w:rPr>
          <w:bCs/>
          <w:sz w:val="26"/>
          <w:szCs w:val="26"/>
        </w:rPr>
        <w:t xml:space="preserve">  </w:t>
      </w:r>
      <w:r w:rsidRPr="00472730">
        <w:rPr>
          <w:sz w:val="26"/>
          <w:szCs w:val="26"/>
        </w:rPr>
        <w:t>There were comments in support of free calls, calling plans and pre-paid debit cards.</w:t>
      </w:r>
    </w:p>
    <w:p w:rsidRPr="00492D40" w:rsidR="00492D40" w:rsidP="00472730" w:rsidRDefault="002D4402" w14:paraId="2D0C6F60" w14:textId="2A34636A">
      <w:pPr>
        <w:pStyle w:val="Heading3"/>
      </w:pPr>
      <w:bookmarkStart w:name="_Toc80089385" w:id="11"/>
      <w:r>
        <w:t>1.3.1.2</w:t>
      </w:r>
      <w:r>
        <w:tab/>
      </w:r>
      <w:r w:rsidRPr="00D5596B" w:rsidR="00492D40">
        <w:t>Service Quality</w:t>
      </w:r>
      <w:bookmarkEnd w:id="11"/>
    </w:p>
    <w:p w:rsidRPr="00472730" w:rsidR="00492D40" w:rsidP="00472730" w:rsidRDefault="002D4402" w14:paraId="51197138" w14:textId="4787D681">
      <w:pPr>
        <w:pStyle w:val="Standard"/>
        <w:ind w:firstLine="720"/>
        <w:rPr>
          <w:sz w:val="26"/>
          <w:szCs w:val="26"/>
        </w:rPr>
      </w:pPr>
      <w:r>
        <w:rPr>
          <w:bCs/>
          <w:sz w:val="26"/>
          <w:szCs w:val="26"/>
        </w:rPr>
        <w:t>Twelve c</w:t>
      </w:r>
      <w:r w:rsidRPr="00472730" w:rsidR="00492D40">
        <w:rPr>
          <w:sz w:val="26"/>
          <w:szCs w:val="26"/>
        </w:rPr>
        <w:t>ommenters describe service quality issues such as dropped calls, and interruptions from prerecorded messages:</w:t>
      </w:r>
      <w:r w:rsidR="001130F7">
        <w:rPr>
          <w:sz w:val="26"/>
          <w:szCs w:val="26"/>
        </w:rPr>
        <w:t xml:space="preserve"> </w:t>
      </w:r>
      <w:r w:rsidRPr="00472730" w:rsidR="00492D40">
        <w:rPr>
          <w:sz w:val="26"/>
          <w:szCs w:val="26"/>
        </w:rPr>
        <w:t xml:space="preserve"> “How do we correct the fact</w:t>
      </w:r>
      <w:r w:rsidR="00141425">
        <w:rPr>
          <w:bCs/>
          <w:sz w:val="26"/>
          <w:szCs w:val="26"/>
        </w:rPr>
        <w:t xml:space="preserve"> </w:t>
      </w:r>
      <w:r w:rsidRPr="00472730" w:rsidR="00492D40">
        <w:rPr>
          <w:sz w:val="26"/>
          <w:szCs w:val="26"/>
        </w:rPr>
        <w:t xml:space="preserve">that once we get through for a collect call, that the phone from our end won’t hang up </w:t>
      </w:r>
      <w:r w:rsidRPr="00472730" w:rsidR="00492D40">
        <w:rPr>
          <w:sz w:val="26"/>
          <w:szCs w:val="26"/>
        </w:rPr>
        <w:lastRenderedPageBreak/>
        <w:t>after connecting</w:t>
      </w:r>
      <w:r w:rsidRPr="00472730" w:rsidR="00492D40">
        <w:rPr>
          <w:bCs/>
          <w:sz w:val="26"/>
          <w:szCs w:val="26"/>
        </w:rPr>
        <w:t>?</w:t>
      </w:r>
      <w:r>
        <w:rPr>
          <w:bCs/>
          <w:sz w:val="26"/>
          <w:szCs w:val="26"/>
        </w:rPr>
        <w:t>”</w:t>
      </w:r>
      <w:r w:rsidR="00141425">
        <w:rPr>
          <w:rStyle w:val="FootnoteReference"/>
          <w:bCs/>
          <w:sz w:val="26"/>
          <w:szCs w:val="26"/>
        </w:rPr>
        <w:footnoteReference w:id="46"/>
      </w:r>
      <w:r>
        <w:rPr>
          <w:bCs/>
          <w:sz w:val="26"/>
          <w:szCs w:val="26"/>
        </w:rPr>
        <w:t xml:space="preserve">  </w:t>
      </w:r>
      <w:r w:rsidRPr="00472730" w:rsidR="00492D40">
        <w:rPr>
          <w:sz w:val="26"/>
          <w:szCs w:val="26"/>
        </w:rPr>
        <w:t>And</w:t>
      </w:r>
      <w:r>
        <w:rPr>
          <w:bCs/>
          <w:sz w:val="26"/>
          <w:szCs w:val="26"/>
        </w:rPr>
        <w:t>,</w:t>
      </w:r>
      <w:r w:rsidRPr="00472730" w:rsidR="00492D40">
        <w:rPr>
          <w:bCs/>
          <w:sz w:val="26"/>
          <w:szCs w:val="26"/>
        </w:rPr>
        <w:t xml:space="preserve"> “</w:t>
      </w:r>
      <w:r>
        <w:rPr>
          <w:bCs/>
          <w:sz w:val="26"/>
          <w:szCs w:val="26"/>
        </w:rPr>
        <w:t>[w]</w:t>
      </w:r>
      <w:r w:rsidRPr="00472730" w:rsidR="00492D40">
        <w:rPr>
          <w:sz w:val="26"/>
          <w:szCs w:val="26"/>
        </w:rPr>
        <w:t>hen the inmates have access to the phones, it is often difficult to hear them because of the poor manner in which much of the equipment is lackadaisically</w:t>
      </w:r>
      <w:r w:rsidR="00D03BCD">
        <w:rPr>
          <w:bCs/>
          <w:sz w:val="26"/>
          <w:szCs w:val="26"/>
        </w:rPr>
        <w:t xml:space="preserve"> ‘</w:t>
      </w:r>
      <w:r w:rsidRPr="00472730" w:rsidR="00492D40">
        <w:rPr>
          <w:bCs/>
          <w:sz w:val="26"/>
          <w:szCs w:val="26"/>
        </w:rPr>
        <w:t>maintained</w:t>
      </w:r>
      <w:r w:rsidR="00D03BCD">
        <w:rPr>
          <w:bCs/>
          <w:sz w:val="26"/>
          <w:szCs w:val="26"/>
        </w:rPr>
        <w:t>’</w:t>
      </w:r>
      <w:r w:rsidRPr="00472730" w:rsidR="00492D40">
        <w:rPr>
          <w:sz w:val="26"/>
          <w:szCs w:val="26"/>
        </w:rPr>
        <w:t xml:space="preserve"> with no concern </w:t>
      </w:r>
      <w:r w:rsidR="00D03BCD">
        <w:rPr>
          <w:bCs/>
          <w:sz w:val="26"/>
          <w:szCs w:val="26"/>
        </w:rPr>
        <w:t xml:space="preserve">exercised </w:t>
      </w:r>
      <w:r w:rsidRPr="00472730" w:rsidR="00492D40">
        <w:rPr>
          <w:sz w:val="26"/>
          <w:szCs w:val="26"/>
        </w:rPr>
        <w:t xml:space="preserve">by the institutions </w:t>
      </w:r>
      <w:r w:rsidR="00D03BCD">
        <w:rPr>
          <w:bCs/>
          <w:sz w:val="26"/>
          <w:szCs w:val="26"/>
        </w:rPr>
        <w:t>or the</w:t>
      </w:r>
      <w:r w:rsidRPr="00472730" w:rsidR="00492D40">
        <w:rPr>
          <w:sz w:val="26"/>
          <w:szCs w:val="26"/>
        </w:rPr>
        <w:t xml:space="preserve"> service providers</w:t>
      </w:r>
      <w:r>
        <w:rPr>
          <w:bCs/>
          <w:sz w:val="26"/>
          <w:szCs w:val="26"/>
        </w:rPr>
        <w:t>.</w:t>
      </w:r>
      <w:r w:rsidRPr="00472730" w:rsidR="00492D40">
        <w:rPr>
          <w:bCs/>
          <w:sz w:val="26"/>
          <w:szCs w:val="26"/>
        </w:rPr>
        <w:t>”</w:t>
      </w:r>
      <w:r w:rsidR="00AA61D7">
        <w:rPr>
          <w:rStyle w:val="FootnoteReference"/>
          <w:bCs/>
          <w:sz w:val="26"/>
          <w:szCs w:val="26"/>
        </w:rPr>
        <w:footnoteReference w:id="47"/>
      </w:r>
      <w:r>
        <w:rPr>
          <w:bCs/>
          <w:sz w:val="26"/>
          <w:szCs w:val="26"/>
        </w:rPr>
        <w:t xml:space="preserve">  </w:t>
      </w:r>
      <w:r w:rsidRPr="00472730" w:rsidR="00492D40">
        <w:rPr>
          <w:sz w:val="26"/>
          <w:szCs w:val="26"/>
        </w:rPr>
        <w:t>“These calls get disconnected all the time because of the awful signal.  When a call is disconnected, that is a call spent</w:t>
      </w:r>
      <w:r>
        <w:rPr>
          <w:bCs/>
          <w:sz w:val="26"/>
          <w:szCs w:val="26"/>
        </w:rPr>
        <w:t>.</w:t>
      </w:r>
      <w:r w:rsidRPr="00472730" w:rsidR="00492D40">
        <w:rPr>
          <w:bCs/>
          <w:sz w:val="26"/>
          <w:szCs w:val="26"/>
        </w:rPr>
        <w:t>”</w:t>
      </w:r>
      <w:r w:rsidR="00594ECA">
        <w:rPr>
          <w:rStyle w:val="FootnoteReference"/>
          <w:bCs/>
          <w:sz w:val="26"/>
          <w:szCs w:val="26"/>
        </w:rPr>
        <w:footnoteReference w:id="48"/>
      </w:r>
      <w:r>
        <w:rPr>
          <w:bCs/>
          <w:sz w:val="26"/>
          <w:szCs w:val="26"/>
        </w:rPr>
        <w:t xml:space="preserve">  </w:t>
      </w:r>
      <w:r w:rsidRPr="00472730" w:rsidR="00492D40">
        <w:rPr>
          <w:sz w:val="26"/>
          <w:szCs w:val="26"/>
        </w:rPr>
        <w:t>Another commenter describe</w:t>
      </w:r>
      <w:r w:rsidR="00483602">
        <w:rPr>
          <w:sz w:val="26"/>
          <w:szCs w:val="26"/>
        </w:rPr>
        <w:t>s</w:t>
      </w:r>
      <w:r w:rsidRPr="00472730" w:rsidR="00492D40">
        <w:rPr>
          <w:sz w:val="26"/>
          <w:szCs w:val="26"/>
        </w:rPr>
        <w:t xml:space="preserve"> that it is </w:t>
      </w:r>
      <w:r w:rsidRPr="00472730" w:rsidR="00492D40">
        <w:rPr>
          <w:bCs/>
          <w:sz w:val="26"/>
          <w:szCs w:val="26"/>
        </w:rPr>
        <w:t>“</w:t>
      </w:r>
      <w:r>
        <w:rPr>
          <w:bCs/>
          <w:sz w:val="26"/>
          <w:szCs w:val="26"/>
        </w:rPr>
        <w:t>[e]</w:t>
      </w:r>
      <w:proofErr w:type="spellStart"/>
      <w:r w:rsidRPr="00472730" w:rsidR="00492D40">
        <w:rPr>
          <w:sz w:val="26"/>
          <w:szCs w:val="26"/>
        </w:rPr>
        <w:t>xtremely</w:t>
      </w:r>
      <w:proofErr w:type="spellEnd"/>
      <w:r w:rsidRPr="00472730" w:rsidR="00492D40">
        <w:rPr>
          <w:sz w:val="26"/>
          <w:szCs w:val="26"/>
        </w:rPr>
        <w:t xml:space="preserve"> difficult for </w:t>
      </w:r>
      <w:r w:rsidR="00483602">
        <w:rPr>
          <w:sz w:val="26"/>
          <w:szCs w:val="26"/>
        </w:rPr>
        <w:t xml:space="preserve">the </w:t>
      </w:r>
      <w:r w:rsidRPr="00472730" w:rsidR="00492D40">
        <w:rPr>
          <w:sz w:val="26"/>
          <w:szCs w:val="26"/>
        </w:rPr>
        <w:t>elderly to navigate calls</w:t>
      </w:r>
      <w:r>
        <w:rPr>
          <w:bCs/>
          <w:sz w:val="26"/>
          <w:szCs w:val="26"/>
        </w:rPr>
        <w:t>.</w:t>
      </w:r>
      <w:r w:rsidRPr="00472730" w:rsidR="00492D40">
        <w:rPr>
          <w:bCs/>
          <w:sz w:val="26"/>
          <w:szCs w:val="26"/>
        </w:rPr>
        <w:t>”</w:t>
      </w:r>
      <w:r w:rsidR="001807BF">
        <w:rPr>
          <w:rStyle w:val="FootnoteReference"/>
          <w:bCs/>
          <w:sz w:val="26"/>
          <w:szCs w:val="26"/>
        </w:rPr>
        <w:footnoteReference w:id="49"/>
      </w:r>
    </w:p>
    <w:p w:rsidRPr="00472730" w:rsidR="00492D40" w:rsidP="00472730" w:rsidRDefault="002D4402" w14:paraId="581945C9" w14:textId="78594E8B">
      <w:pPr>
        <w:pStyle w:val="Heading3"/>
        <w:rPr>
          <w:b w:val="0"/>
        </w:rPr>
      </w:pPr>
      <w:bookmarkStart w:name="_Toc80089386" w:id="12"/>
      <w:r>
        <w:t>1.3.2</w:t>
      </w:r>
      <w:r>
        <w:tab/>
      </w:r>
      <w:r w:rsidRPr="00472730" w:rsidR="00492D40">
        <w:t>P</w:t>
      </w:r>
      <w:r>
        <w:t>ublic Participation Hearing Comments</w:t>
      </w:r>
      <w:bookmarkEnd w:id="12"/>
    </w:p>
    <w:p w:rsidRPr="00472730" w:rsidR="00492D40" w:rsidP="00472730" w:rsidRDefault="00810B6D" w14:paraId="5C97250E" w14:textId="5965A628">
      <w:pPr>
        <w:pStyle w:val="Standard"/>
        <w:ind w:firstLine="720"/>
        <w:rPr>
          <w:sz w:val="26"/>
          <w:szCs w:val="26"/>
        </w:rPr>
      </w:pPr>
      <w:r>
        <w:rPr>
          <w:sz w:val="26"/>
          <w:szCs w:val="26"/>
        </w:rPr>
        <w:t>Eighty</w:t>
      </w:r>
      <w:r w:rsidR="0082038F">
        <w:rPr>
          <w:sz w:val="26"/>
          <w:szCs w:val="26"/>
        </w:rPr>
        <w:t xml:space="preserve">-five people </w:t>
      </w:r>
      <w:r w:rsidR="00483602">
        <w:rPr>
          <w:sz w:val="26"/>
          <w:szCs w:val="26"/>
        </w:rPr>
        <w:t xml:space="preserve">provided comments during </w:t>
      </w:r>
      <w:r w:rsidRPr="00472730" w:rsidR="00492D40">
        <w:rPr>
          <w:sz w:val="26"/>
          <w:szCs w:val="26"/>
        </w:rPr>
        <w:t>the PPHs</w:t>
      </w:r>
      <w:r w:rsidR="002D4402">
        <w:rPr>
          <w:bCs/>
          <w:sz w:val="26"/>
          <w:szCs w:val="26"/>
        </w:rPr>
        <w:t xml:space="preserve"> held on April 28, 2021, and April</w:t>
      </w:r>
      <w:r w:rsidR="001130F7">
        <w:rPr>
          <w:bCs/>
          <w:sz w:val="26"/>
          <w:szCs w:val="26"/>
        </w:rPr>
        <w:t> </w:t>
      </w:r>
      <w:r w:rsidR="002D4402">
        <w:rPr>
          <w:bCs/>
          <w:sz w:val="26"/>
          <w:szCs w:val="26"/>
        </w:rPr>
        <w:t>29, 2021</w:t>
      </w:r>
      <w:r w:rsidRPr="00472730" w:rsidR="00492D40">
        <w:rPr>
          <w:bCs/>
          <w:sz w:val="26"/>
          <w:szCs w:val="26"/>
        </w:rPr>
        <w:t xml:space="preserve">. </w:t>
      </w:r>
      <w:r w:rsidR="00492D40">
        <w:rPr>
          <w:sz w:val="26"/>
          <w:szCs w:val="26"/>
        </w:rPr>
        <w:t xml:space="preserve"> </w:t>
      </w:r>
      <w:r w:rsidRPr="00472730" w:rsidR="00492D40">
        <w:rPr>
          <w:sz w:val="26"/>
          <w:szCs w:val="26"/>
        </w:rPr>
        <w:t xml:space="preserve">Most of the callers were friends and family of the incarcerated and advocates. </w:t>
      </w:r>
      <w:r w:rsidRPr="6C6BCE6E" w:rsidR="166410F6">
        <w:rPr>
          <w:sz w:val="26"/>
          <w:szCs w:val="26"/>
        </w:rPr>
        <w:t xml:space="preserve"> </w:t>
      </w:r>
      <w:r w:rsidRPr="00472730" w:rsidR="00492D40">
        <w:rPr>
          <w:sz w:val="26"/>
          <w:szCs w:val="26"/>
        </w:rPr>
        <w:t xml:space="preserve">Four commenters identified themselves as currently incarcerated, six commenters identified themselves as formerly incarcerated. </w:t>
      </w:r>
    </w:p>
    <w:p w:rsidRPr="00492D40" w:rsidR="00492D40" w:rsidP="00472730" w:rsidRDefault="002D4402" w14:paraId="2D757FA6" w14:textId="12637FE9">
      <w:pPr>
        <w:pStyle w:val="Heading3"/>
      </w:pPr>
      <w:bookmarkStart w:name="_Toc80089387" w:id="13"/>
      <w:r>
        <w:t>1.3.2.1</w:t>
      </w:r>
      <w:r>
        <w:tab/>
      </w:r>
      <w:r w:rsidRPr="00D5596B" w:rsidR="00492D40">
        <w:t>Rates</w:t>
      </w:r>
      <w:bookmarkEnd w:id="13"/>
    </w:p>
    <w:p w:rsidRPr="00472730" w:rsidR="00492D40" w:rsidP="00472730" w:rsidRDefault="00492D40" w14:paraId="425E0680" w14:textId="12C58920">
      <w:pPr>
        <w:pStyle w:val="Standard"/>
        <w:ind w:firstLine="720"/>
        <w:rPr>
          <w:b/>
          <w:sz w:val="26"/>
          <w:szCs w:val="26"/>
        </w:rPr>
      </w:pPr>
      <w:r w:rsidRPr="00472730">
        <w:rPr>
          <w:sz w:val="26"/>
          <w:szCs w:val="26"/>
        </w:rPr>
        <w:t xml:space="preserve">All </w:t>
      </w:r>
      <w:r w:rsidR="002D4402">
        <w:rPr>
          <w:sz w:val="26"/>
          <w:szCs w:val="26"/>
        </w:rPr>
        <w:t>PPH</w:t>
      </w:r>
      <w:r>
        <w:rPr>
          <w:sz w:val="26"/>
          <w:szCs w:val="26"/>
        </w:rPr>
        <w:t xml:space="preserve"> </w:t>
      </w:r>
      <w:r w:rsidRPr="00472730">
        <w:rPr>
          <w:sz w:val="26"/>
          <w:szCs w:val="26"/>
        </w:rPr>
        <w:t>comment</w:t>
      </w:r>
      <w:r w:rsidR="00E36A80">
        <w:rPr>
          <w:sz w:val="26"/>
          <w:szCs w:val="26"/>
        </w:rPr>
        <w:t>er</w:t>
      </w:r>
      <w:r w:rsidRPr="00472730">
        <w:rPr>
          <w:sz w:val="26"/>
          <w:szCs w:val="26"/>
        </w:rPr>
        <w:t>s support the Commission taking action to reduce rates, cap rates or make calling free.  There were two comments in support of the Staff Proposal.  One commenter spoke about calling her loved one, “</w:t>
      </w:r>
      <w:r w:rsidR="002D4402">
        <w:rPr>
          <w:sz w:val="26"/>
          <w:szCs w:val="26"/>
        </w:rPr>
        <w:t>…</w:t>
      </w:r>
      <w:r w:rsidRPr="00472730">
        <w:rPr>
          <w:sz w:val="26"/>
          <w:szCs w:val="26"/>
        </w:rPr>
        <w:t>I have found I am spending two or three times the amount I spend on rent just to talk to him</w:t>
      </w:r>
      <w:r w:rsidR="002D4402">
        <w:rPr>
          <w:sz w:val="26"/>
          <w:szCs w:val="26"/>
        </w:rPr>
        <w:t>.</w:t>
      </w:r>
      <w:r w:rsidRPr="00472730">
        <w:rPr>
          <w:sz w:val="26"/>
          <w:szCs w:val="26"/>
        </w:rPr>
        <w:t>”</w:t>
      </w:r>
      <w:r w:rsidR="00EC5EBA">
        <w:rPr>
          <w:rStyle w:val="FootnoteReference"/>
          <w:sz w:val="26"/>
          <w:szCs w:val="26"/>
        </w:rPr>
        <w:footnoteReference w:id="50"/>
      </w:r>
      <w:r w:rsidRPr="00472730">
        <w:rPr>
          <w:sz w:val="26"/>
          <w:szCs w:val="26"/>
        </w:rPr>
        <w:t xml:space="preserve"> Another</w:t>
      </w:r>
      <w:r w:rsidR="002D4402">
        <w:rPr>
          <w:sz w:val="26"/>
          <w:szCs w:val="26"/>
        </w:rPr>
        <w:t xml:space="preserve"> said</w:t>
      </w:r>
      <w:r w:rsidRPr="00472730">
        <w:rPr>
          <w:sz w:val="26"/>
          <w:szCs w:val="26"/>
        </w:rPr>
        <w:t xml:space="preserve"> </w:t>
      </w:r>
      <w:r w:rsidR="002D4402">
        <w:rPr>
          <w:sz w:val="26"/>
          <w:szCs w:val="26"/>
        </w:rPr>
        <w:t>“…</w:t>
      </w:r>
      <w:r w:rsidRPr="00472730">
        <w:rPr>
          <w:sz w:val="26"/>
          <w:szCs w:val="26"/>
        </w:rPr>
        <w:t xml:space="preserve">these phone calls </w:t>
      </w:r>
      <w:r w:rsidR="00F76F79">
        <w:rPr>
          <w:sz w:val="26"/>
          <w:szCs w:val="26"/>
        </w:rPr>
        <w:t xml:space="preserve">that we get a </w:t>
      </w:r>
      <w:r w:rsidR="00D8547C">
        <w:rPr>
          <w:sz w:val="26"/>
          <w:szCs w:val="26"/>
        </w:rPr>
        <w:t xml:space="preserve">day, they </w:t>
      </w:r>
      <w:r w:rsidRPr="00472730">
        <w:rPr>
          <w:sz w:val="26"/>
          <w:szCs w:val="26"/>
        </w:rPr>
        <w:t xml:space="preserve">cost us an average of $10 to $12 a day for 30 minutes…definitely </w:t>
      </w:r>
      <w:r w:rsidR="00AA6BCF">
        <w:rPr>
          <w:sz w:val="26"/>
          <w:szCs w:val="26"/>
        </w:rPr>
        <w:t xml:space="preserve">it’s </w:t>
      </w:r>
      <w:r w:rsidR="00F76F79">
        <w:rPr>
          <w:sz w:val="26"/>
          <w:szCs w:val="26"/>
        </w:rPr>
        <w:t xml:space="preserve">money that we could be using for </w:t>
      </w:r>
      <w:r w:rsidRPr="00472730">
        <w:rPr>
          <w:sz w:val="26"/>
          <w:szCs w:val="26"/>
        </w:rPr>
        <w:t>other thing</w:t>
      </w:r>
      <w:r w:rsidR="003C7B33">
        <w:rPr>
          <w:sz w:val="26"/>
          <w:szCs w:val="26"/>
        </w:rPr>
        <w:t>s</w:t>
      </w:r>
      <w:r w:rsidR="002D4402">
        <w:rPr>
          <w:sz w:val="26"/>
          <w:szCs w:val="26"/>
        </w:rPr>
        <w:t>.</w:t>
      </w:r>
      <w:r w:rsidRPr="00472730">
        <w:rPr>
          <w:sz w:val="26"/>
          <w:szCs w:val="26"/>
        </w:rPr>
        <w:t>”</w:t>
      </w:r>
      <w:r w:rsidR="00D8547C">
        <w:rPr>
          <w:rStyle w:val="FootnoteReference"/>
          <w:sz w:val="26"/>
          <w:szCs w:val="26"/>
        </w:rPr>
        <w:footnoteReference w:id="51"/>
      </w:r>
      <w:r w:rsidR="00233058">
        <w:rPr>
          <w:sz w:val="26"/>
          <w:szCs w:val="26"/>
        </w:rPr>
        <w:t xml:space="preserve"> </w:t>
      </w:r>
      <w:r w:rsidR="002D4402">
        <w:rPr>
          <w:sz w:val="26"/>
          <w:szCs w:val="26"/>
        </w:rPr>
        <w:t xml:space="preserve"> </w:t>
      </w:r>
      <w:r w:rsidRPr="00472730">
        <w:rPr>
          <w:sz w:val="26"/>
          <w:szCs w:val="26"/>
        </w:rPr>
        <w:t>A</w:t>
      </w:r>
      <w:r w:rsidR="003C7B33">
        <w:rPr>
          <w:sz w:val="26"/>
          <w:szCs w:val="26"/>
        </w:rPr>
        <w:t>nother caller said,</w:t>
      </w:r>
      <w:r w:rsidRPr="00472730">
        <w:rPr>
          <w:sz w:val="26"/>
          <w:szCs w:val="26"/>
        </w:rPr>
        <w:t xml:space="preserve"> “</w:t>
      </w:r>
      <w:r w:rsidR="003C7B33">
        <w:rPr>
          <w:sz w:val="26"/>
          <w:szCs w:val="26"/>
        </w:rPr>
        <w:t>[a]</w:t>
      </w:r>
      <w:proofErr w:type="spellStart"/>
      <w:r w:rsidRPr="00472730">
        <w:rPr>
          <w:sz w:val="26"/>
          <w:szCs w:val="26"/>
        </w:rPr>
        <w:t>ccess</w:t>
      </w:r>
      <w:proofErr w:type="spellEnd"/>
      <w:r w:rsidRPr="00472730">
        <w:rPr>
          <w:sz w:val="26"/>
          <w:szCs w:val="26"/>
        </w:rPr>
        <w:t xml:space="preserve"> to reliable, affordable </w:t>
      </w:r>
      <w:r w:rsidRPr="00472730">
        <w:rPr>
          <w:sz w:val="26"/>
          <w:szCs w:val="26"/>
        </w:rPr>
        <w:lastRenderedPageBreak/>
        <w:t>and consistent communication</w:t>
      </w:r>
      <w:r>
        <w:rPr>
          <w:sz w:val="26"/>
          <w:szCs w:val="26"/>
        </w:rPr>
        <w:t xml:space="preserve"> </w:t>
      </w:r>
      <w:r w:rsidR="0003116B">
        <w:rPr>
          <w:sz w:val="26"/>
          <w:szCs w:val="26"/>
        </w:rPr>
        <w:t>with family</w:t>
      </w:r>
      <w:r w:rsidRPr="00472730">
        <w:rPr>
          <w:sz w:val="26"/>
          <w:szCs w:val="26"/>
        </w:rPr>
        <w:t xml:space="preserve"> is critical in this pandemic for both the mental and physical health of incarcerated individuals and their families</w:t>
      </w:r>
      <w:r w:rsidR="003C7B33">
        <w:rPr>
          <w:sz w:val="26"/>
          <w:szCs w:val="26"/>
        </w:rPr>
        <w:t>.</w:t>
      </w:r>
      <w:r w:rsidRPr="00472730">
        <w:rPr>
          <w:sz w:val="26"/>
          <w:szCs w:val="26"/>
        </w:rPr>
        <w:t>”</w:t>
      </w:r>
      <w:r w:rsidR="00D8547C">
        <w:rPr>
          <w:rStyle w:val="FootnoteReference"/>
          <w:sz w:val="26"/>
          <w:szCs w:val="26"/>
        </w:rPr>
        <w:footnoteReference w:id="52"/>
      </w:r>
      <w:r w:rsidR="003C7B33">
        <w:rPr>
          <w:sz w:val="26"/>
          <w:szCs w:val="26"/>
        </w:rPr>
        <w:t xml:space="preserve">  </w:t>
      </w:r>
      <w:r w:rsidRPr="00472730">
        <w:rPr>
          <w:sz w:val="26"/>
          <w:szCs w:val="26"/>
        </w:rPr>
        <w:t>A commenter spoke about paying over $21,000 in fees over two years.</w:t>
      </w:r>
      <w:r w:rsidR="0025442B">
        <w:rPr>
          <w:rStyle w:val="FootnoteReference"/>
          <w:sz w:val="26"/>
          <w:szCs w:val="26"/>
        </w:rPr>
        <w:footnoteReference w:id="53"/>
      </w:r>
      <w:r w:rsidRPr="00472730">
        <w:rPr>
          <w:sz w:val="26"/>
          <w:szCs w:val="26"/>
        </w:rPr>
        <w:t xml:space="preserve"> </w:t>
      </w:r>
      <w:r w:rsidR="003C7B33">
        <w:rPr>
          <w:sz w:val="26"/>
          <w:szCs w:val="26"/>
        </w:rPr>
        <w:t xml:space="preserve"> </w:t>
      </w:r>
      <w:r w:rsidRPr="00472730">
        <w:rPr>
          <w:sz w:val="26"/>
          <w:szCs w:val="26"/>
        </w:rPr>
        <w:t>Commenters spoke about calls being dropped</w:t>
      </w:r>
      <w:r w:rsidR="00452258">
        <w:rPr>
          <w:rStyle w:val="FootnoteReference"/>
          <w:sz w:val="26"/>
          <w:szCs w:val="26"/>
        </w:rPr>
        <w:footnoteReference w:id="54"/>
      </w:r>
      <w:r w:rsidRPr="00472730">
        <w:rPr>
          <w:sz w:val="26"/>
          <w:szCs w:val="26"/>
        </w:rPr>
        <w:t xml:space="preserve"> after prepaying for a 15-minute call without getting refunds,</w:t>
      </w:r>
      <w:r w:rsidR="005B6E3C">
        <w:rPr>
          <w:rStyle w:val="FootnoteReference"/>
          <w:sz w:val="26"/>
          <w:szCs w:val="26"/>
        </w:rPr>
        <w:footnoteReference w:id="55"/>
      </w:r>
      <w:r w:rsidRPr="00472730">
        <w:rPr>
          <w:sz w:val="26"/>
          <w:szCs w:val="26"/>
        </w:rPr>
        <w:t xml:space="preserve"> </w:t>
      </w:r>
      <w:r w:rsidR="003C7B33">
        <w:rPr>
          <w:sz w:val="26"/>
          <w:szCs w:val="26"/>
        </w:rPr>
        <w:t xml:space="preserve">inadequate or </w:t>
      </w:r>
      <w:r>
        <w:rPr>
          <w:sz w:val="26"/>
          <w:szCs w:val="26"/>
        </w:rPr>
        <w:t xml:space="preserve">no </w:t>
      </w:r>
      <w:r w:rsidRPr="00472730">
        <w:rPr>
          <w:sz w:val="26"/>
          <w:szCs w:val="26"/>
        </w:rPr>
        <w:t>disclosures of fees</w:t>
      </w:r>
      <w:r w:rsidR="003C7B33">
        <w:rPr>
          <w:sz w:val="26"/>
          <w:szCs w:val="26"/>
        </w:rPr>
        <w:t>,</w:t>
      </w:r>
      <w:r w:rsidR="007660F4">
        <w:rPr>
          <w:rStyle w:val="FootnoteReference"/>
          <w:sz w:val="26"/>
          <w:szCs w:val="26"/>
        </w:rPr>
        <w:footnoteReference w:id="56"/>
      </w:r>
      <w:r w:rsidR="003C7B33">
        <w:rPr>
          <w:sz w:val="26"/>
          <w:szCs w:val="26"/>
        </w:rPr>
        <w:t xml:space="preserve"> and </w:t>
      </w:r>
      <w:r w:rsidR="004B4996">
        <w:rPr>
          <w:sz w:val="26"/>
          <w:szCs w:val="26"/>
        </w:rPr>
        <w:t xml:space="preserve">a </w:t>
      </w:r>
      <w:r w:rsidRPr="00472730">
        <w:rPr>
          <w:sz w:val="26"/>
          <w:szCs w:val="26"/>
        </w:rPr>
        <w:t>lack of billing records.</w:t>
      </w:r>
      <w:r w:rsidR="000C1829">
        <w:rPr>
          <w:rStyle w:val="FootnoteReference"/>
          <w:sz w:val="26"/>
          <w:szCs w:val="26"/>
        </w:rPr>
        <w:footnoteReference w:id="57"/>
      </w:r>
      <w:r w:rsidRPr="00472730">
        <w:rPr>
          <w:sz w:val="26"/>
          <w:szCs w:val="26"/>
        </w:rPr>
        <w:t xml:space="preserve"> </w:t>
      </w:r>
    </w:p>
    <w:p w:rsidRPr="00492D40" w:rsidR="00492D40" w:rsidP="00472730" w:rsidRDefault="004B4996" w14:paraId="2C2C4241" w14:textId="7D254882">
      <w:pPr>
        <w:pStyle w:val="Heading3"/>
      </w:pPr>
      <w:bookmarkStart w:name="_Toc80089388" w:id="14"/>
      <w:r>
        <w:t>1.3.2.2</w:t>
      </w:r>
      <w:r>
        <w:tab/>
      </w:r>
      <w:r w:rsidRPr="00D5596B" w:rsidR="00492D40">
        <w:t>Service Quality</w:t>
      </w:r>
      <w:bookmarkEnd w:id="14"/>
    </w:p>
    <w:p w:rsidRPr="00472730" w:rsidR="00492D40" w:rsidP="00472730" w:rsidRDefault="004B4996" w14:paraId="38F684B7" w14:textId="6C078EBA">
      <w:pPr>
        <w:pStyle w:val="Standard"/>
        <w:ind w:firstLine="720"/>
        <w:rPr>
          <w:sz w:val="26"/>
          <w:szCs w:val="26"/>
        </w:rPr>
      </w:pPr>
      <w:r>
        <w:rPr>
          <w:sz w:val="26"/>
          <w:szCs w:val="26"/>
        </w:rPr>
        <w:t>PPH commenters made</w:t>
      </w:r>
      <w:r w:rsidRPr="00472730" w:rsidR="00492D40">
        <w:rPr>
          <w:sz w:val="26"/>
          <w:szCs w:val="26"/>
        </w:rPr>
        <w:t xml:space="preserve"> 15 comments related to service quality and billing. Commenters spoke about calls being dropped after prepaying for a 15-minute call</w:t>
      </w:r>
      <w:r w:rsidR="00492D40">
        <w:rPr>
          <w:sz w:val="26"/>
          <w:szCs w:val="26"/>
        </w:rPr>
        <w:t xml:space="preserve"> </w:t>
      </w:r>
      <w:r w:rsidR="006E28DF">
        <w:rPr>
          <w:sz w:val="26"/>
          <w:szCs w:val="26"/>
        </w:rPr>
        <w:t xml:space="preserve">with no </w:t>
      </w:r>
      <w:r w:rsidRPr="00472730" w:rsidR="00492D40">
        <w:rPr>
          <w:sz w:val="26"/>
          <w:szCs w:val="26"/>
        </w:rPr>
        <w:t>refund, no or inadequate disclosures of fees, refund policies, and call-recording p</w:t>
      </w:r>
      <w:r w:rsidR="00BC6C3E">
        <w:rPr>
          <w:sz w:val="26"/>
          <w:szCs w:val="26"/>
        </w:rPr>
        <w:t>ractices</w:t>
      </w:r>
      <w:r w:rsidRPr="00472730" w:rsidR="00492D40">
        <w:rPr>
          <w:sz w:val="26"/>
          <w:szCs w:val="26"/>
        </w:rPr>
        <w:t>,</w:t>
      </w:r>
      <w:r w:rsidR="000B0B29">
        <w:rPr>
          <w:rStyle w:val="FootnoteReference"/>
          <w:sz w:val="26"/>
          <w:szCs w:val="26"/>
        </w:rPr>
        <w:footnoteReference w:id="58"/>
      </w:r>
      <w:r w:rsidRPr="00472730" w:rsidR="00492D40">
        <w:rPr>
          <w:sz w:val="26"/>
          <w:szCs w:val="26"/>
        </w:rPr>
        <w:t xml:space="preserve"> </w:t>
      </w:r>
      <w:r w:rsidR="0031201D">
        <w:rPr>
          <w:sz w:val="26"/>
          <w:szCs w:val="26"/>
        </w:rPr>
        <w:t>and</w:t>
      </w:r>
      <w:r w:rsidRPr="00472730" w:rsidR="00492D40">
        <w:rPr>
          <w:sz w:val="26"/>
          <w:szCs w:val="26"/>
        </w:rPr>
        <w:t xml:space="preserve"> a lack of billing records. </w:t>
      </w:r>
      <w:r w:rsidR="00BC6C3E">
        <w:rPr>
          <w:sz w:val="26"/>
          <w:szCs w:val="26"/>
        </w:rPr>
        <w:t xml:space="preserve"> </w:t>
      </w:r>
      <w:r w:rsidRPr="00472730" w:rsidR="00492D40">
        <w:rPr>
          <w:sz w:val="26"/>
          <w:szCs w:val="26"/>
        </w:rPr>
        <w:t>Other comments described the difficulties of navigating the telephone prompts</w:t>
      </w:r>
      <w:r w:rsidR="004C65C7">
        <w:rPr>
          <w:sz w:val="26"/>
          <w:szCs w:val="26"/>
        </w:rPr>
        <w:t>, stated</w:t>
      </w:r>
      <w:r w:rsidRPr="00472730" w:rsidR="00492D40">
        <w:rPr>
          <w:sz w:val="26"/>
          <w:szCs w:val="26"/>
        </w:rPr>
        <w:t xml:space="preserve"> th</w:t>
      </w:r>
      <w:r w:rsidR="009D5BE0">
        <w:rPr>
          <w:sz w:val="26"/>
          <w:szCs w:val="26"/>
        </w:rPr>
        <w:t xml:space="preserve">at </w:t>
      </w:r>
      <w:r w:rsidRPr="00472730" w:rsidR="00492D40">
        <w:rPr>
          <w:sz w:val="26"/>
          <w:szCs w:val="26"/>
        </w:rPr>
        <w:t>record</w:t>
      </w:r>
      <w:r w:rsidR="009D5BE0">
        <w:rPr>
          <w:sz w:val="26"/>
          <w:szCs w:val="26"/>
        </w:rPr>
        <w:t>ed messages played during calls</w:t>
      </w:r>
      <w:r w:rsidR="00492D40">
        <w:rPr>
          <w:sz w:val="26"/>
          <w:szCs w:val="26"/>
        </w:rPr>
        <w:t xml:space="preserve"> </w:t>
      </w:r>
      <w:r w:rsidRPr="00472730" w:rsidR="00492D40">
        <w:rPr>
          <w:sz w:val="26"/>
          <w:szCs w:val="26"/>
        </w:rPr>
        <w:t>interrupt</w:t>
      </w:r>
      <w:r w:rsidR="004C65C7">
        <w:rPr>
          <w:sz w:val="26"/>
          <w:szCs w:val="26"/>
        </w:rPr>
        <w:t xml:space="preserve"> </w:t>
      </w:r>
      <w:r w:rsidR="0031201D">
        <w:rPr>
          <w:sz w:val="26"/>
          <w:szCs w:val="26"/>
        </w:rPr>
        <w:t xml:space="preserve">and </w:t>
      </w:r>
      <w:r w:rsidR="004C65C7">
        <w:rPr>
          <w:sz w:val="26"/>
          <w:szCs w:val="26"/>
        </w:rPr>
        <w:t xml:space="preserve">reduce call time, stated that </w:t>
      </w:r>
      <w:r w:rsidRPr="00472730" w:rsidR="00492D40">
        <w:rPr>
          <w:sz w:val="26"/>
          <w:szCs w:val="26"/>
        </w:rPr>
        <w:t xml:space="preserve">technologies are inconsistent and not user friendly, </w:t>
      </w:r>
      <w:r w:rsidR="00815F5C">
        <w:rPr>
          <w:sz w:val="26"/>
          <w:szCs w:val="26"/>
        </w:rPr>
        <w:t xml:space="preserve">stated that </w:t>
      </w:r>
      <w:r w:rsidRPr="00472730" w:rsidR="00492D40">
        <w:rPr>
          <w:sz w:val="26"/>
          <w:szCs w:val="26"/>
        </w:rPr>
        <w:t xml:space="preserve">phones and equipment </w:t>
      </w:r>
      <w:r w:rsidRPr="00472730" w:rsidR="08D4DD43">
        <w:rPr>
          <w:sz w:val="26"/>
          <w:szCs w:val="26"/>
        </w:rPr>
        <w:t xml:space="preserve">are </w:t>
      </w:r>
      <w:r w:rsidRPr="00472730" w:rsidR="00492D40">
        <w:rPr>
          <w:sz w:val="26"/>
          <w:szCs w:val="26"/>
        </w:rPr>
        <w:t xml:space="preserve">out of order, and </w:t>
      </w:r>
      <w:r w:rsidR="00186A98">
        <w:rPr>
          <w:sz w:val="26"/>
          <w:szCs w:val="26"/>
        </w:rPr>
        <w:t xml:space="preserve">decried a </w:t>
      </w:r>
      <w:r w:rsidRPr="00472730" w:rsidR="00492D40">
        <w:rPr>
          <w:sz w:val="26"/>
          <w:szCs w:val="26"/>
        </w:rPr>
        <w:t>lack of service quality protections.</w:t>
      </w:r>
    </w:p>
    <w:p w:rsidR="005A148C" w:rsidP="00BD1DB2" w:rsidRDefault="0063491C" w14:paraId="66FB9DF1" w14:textId="1B7552AF">
      <w:pPr>
        <w:pStyle w:val="Heading1"/>
        <w:numPr>
          <w:ilvl w:val="0"/>
          <w:numId w:val="1"/>
        </w:numPr>
      </w:pPr>
      <w:bookmarkStart w:name="_Toc75170003" w:id="15"/>
      <w:bookmarkStart w:name="_Toc75435777" w:id="16"/>
      <w:bookmarkStart w:name="_Toc75524783" w:id="17"/>
      <w:bookmarkStart w:name="_Toc75170004" w:id="18"/>
      <w:bookmarkStart w:name="_Toc75435778" w:id="19"/>
      <w:bookmarkStart w:name="_Toc75524784" w:id="20"/>
      <w:bookmarkStart w:name="_Toc8123718" w:id="21"/>
      <w:bookmarkStart w:name="_Toc80089389" w:id="22"/>
      <w:bookmarkEnd w:id="15"/>
      <w:bookmarkEnd w:id="16"/>
      <w:bookmarkEnd w:id="17"/>
      <w:bookmarkEnd w:id="18"/>
      <w:bookmarkEnd w:id="19"/>
      <w:bookmarkEnd w:id="20"/>
      <w:r>
        <w:t>Jurisdiction</w:t>
      </w:r>
      <w:bookmarkEnd w:id="21"/>
      <w:bookmarkEnd w:id="22"/>
    </w:p>
    <w:p w:rsidRPr="00E95968" w:rsidR="00305D26" w:rsidP="005F4967" w:rsidRDefault="00E14C5B" w14:paraId="1F274170" w14:textId="2DC6DB31">
      <w:pPr>
        <w:pStyle w:val="Standard"/>
        <w:ind w:firstLine="720"/>
        <w:rPr>
          <w:sz w:val="26"/>
          <w:szCs w:val="26"/>
        </w:rPr>
      </w:pPr>
      <w:r w:rsidRPr="00E95968">
        <w:rPr>
          <w:sz w:val="26"/>
          <w:szCs w:val="26"/>
        </w:rPr>
        <w:t xml:space="preserve">The California Constitution and </w:t>
      </w:r>
      <w:r w:rsidR="003A4ACB">
        <w:rPr>
          <w:sz w:val="26"/>
          <w:szCs w:val="26"/>
        </w:rPr>
        <w:t xml:space="preserve">the </w:t>
      </w:r>
      <w:r w:rsidRPr="00E95968">
        <w:rPr>
          <w:sz w:val="26"/>
          <w:szCs w:val="26"/>
        </w:rPr>
        <w:t xml:space="preserve">Public Utilities Code vest in the Commission regulatory authority over public utilities, including telephone </w:t>
      </w:r>
      <w:r w:rsidRPr="00E95968">
        <w:rPr>
          <w:sz w:val="26"/>
          <w:szCs w:val="26"/>
        </w:rPr>
        <w:lastRenderedPageBreak/>
        <w:t>corporations.</w:t>
      </w:r>
      <w:r w:rsidRPr="00E95968" w:rsidR="00305D26">
        <w:rPr>
          <w:rStyle w:val="FootnoteReference"/>
          <w:sz w:val="26"/>
          <w:szCs w:val="26"/>
        </w:rPr>
        <w:footnoteReference w:id="59"/>
      </w:r>
      <w:r w:rsidRPr="00E95968">
        <w:rPr>
          <w:sz w:val="26"/>
          <w:szCs w:val="26"/>
        </w:rPr>
        <w:t xml:space="preserve"> </w:t>
      </w:r>
      <w:r w:rsidRPr="00E95968" w:rsidR="00305D26">
        <w:rPr>
          <w:sz w:val="26"/>
          <w:szCs w:val="26"/>
        </w:rPr>
        <w:t xml:space="preserve"> </w:t>
      </w:r>
      <w:r w:rsidRPr="00E95968">
        <w:rPr>
          <w:sz w:val="26"/>
          <w:szCs w:val="26"/>
        </w:rPr>
        <w:t>The Pub</w:t>
      </w:r>
      <w:r w:rsidR="006D69B9">
        <w:rPr>
          <w:sz w:val="26"/>
          <w:szCs w:val="26"/>
        </w:rPr>
        <w:t>lic</w:t>
      </w:r>
      <w:r w:rsidR="00F86339">
        <w:rPr>
          <w:sz w:val="26"/>
          <w:szCs w:val="26"/>
        </w:rPr>
        <w:t xml:space="preserve"> </w:t>
      </w:r>
      <w:r w:rsidRPr="00E95968">
        <w:rPr>
          <w:sz w:val="26"/>
          <w:szCs w:val="26"/>
        </w:rPr>
        <w:t>Util</w:t>
      </w:r>
      <w:r w:rsidR="006D69B9">
        <w:rPr>
          <w:sz w:val="26"/>
          <w:szCs w:val="26"/>
        </w:rPr>
        <w:t>ities</w:t>
      </w:r>
      <w:r w:rsidRPr="00E95968">
        <w:rPr>
          <w:sz w:val="26"/>
          <w:szCs w:val="26"/>
        </w:rPr>
        <w:t xml:space="preserve"> Code defines</w:t>
      </w:r>
      <w:r w:rsidRPr="00E95968" w:rsidR="00305D26">
        <w:rPr>
          <w:sz w:val="26"/>
          <w:szCs w:val="26"/>
        </w:rPr>
        <w:t xml:space="preserve"> “telephone corporations” as “every corporation or person owning, controlling, operating, or managing any telephone line for compensation within this state”</w:t>
      </w:r>
      <w:r w:rsidRPr="00E95968" w:rsidR="00305D26">
        <w:rPr>
          <w:rStyle w:val="FootnoteReference"/>
          <w:sz w:val="26"/>
          <w:szCs w:val="26"/>
        </w:rPr>
        <w:footnoteReference w:id="60"/>
      </w:r>
      <w:r w:rsidRPr="00E95968" w:rsidR="00305D26">
        <w:rPr>
          <w:sz w:val="26"/>
          <w:szCs w:val="26"/>
        </w:rPr>
        <w:t xml:space="preserve"> and, in turn, defines “a telephone line” to include “all conduits, ducts, poles, wires, cables, instruments, and appliances, and all other real estate, fixtures, and personal property owned, controlled, operated, or managed in connection with or to facilitate communication by telephone, whether such communication is had with or without the use of transmission wires.”</w:t>
      </w:r>
      <w:r w:rsidRPr="00E95968" w:rsidR="00305D26">
        <w:rPr>
          <w:rStyle w:val="FootnoteReference"/>
          <w:sz w:val="26"/>
          <w:szCs w:val="26"/>
        </w:rPr>
        <w:footnoteReference w:id="61"/>
      </w:r>
      <w:r w:rsidRPr="00E95968" w:rsidR="00146BAE">
        <w:rPr>
          <w:sz w:val="26"/>
          <w:szCs w:val="26"/>
        </w:rPr>
        <w:t xml:space="preserve">  </w:t>
      </w:r>
    </w:p>
    <w:p w:rsidR="00623796" w:rsidP="00E95968" w:rsidRDefault="006857D7" w14:paraId="7A591393" w14:textId="05248357">
      <w:pPr>
        <w:pStyle w:val="Standard"/>
        <w:ind w:firstLine="720"/>
        <w:rPr>
          <w:sz w:val="26"/>
          <w:szCs w:val="26"/>
        </w:rPr>
      </w:pPr>
      <w:r w:rsidRPr="006857D7">
        <w:rPr>
          <w:sz w:val="26"/>
          <w:szCs w:val="26"/>
        </w:rPr>
        <w:t xml:space="preserve">The Commission has </w:t>
      </w:r>
      <w:r w:rsidR="00236799">
        <w:rPr>
          <w:sz w:val="26"/>
          <w:szCs w:val="26"/>
        </w:rPr>
        <w:t xml:space="preserve">authority to ensure that all rates charged by a public utility are “just and reasonable” by requiring a “showing before the </w:t>
      </w:r>
      <w:r w:rsidR="00C63947">
        <w:rPr>
          <w:sz w:val="26"/>
          <w:szCs w:val="26"/>
        </w:rPr>
        <w:t>[C]omission that the… rate is justified</w:t>
      </w:r>
      <w:r w:rsidR="00E36652">
        <w:rPr>
          <w:sz w:val="26"/>
          <w:szCs w:val="26"/>
        </w:rPr>
        <w:t>.</w:t>
      </w:r>
      <w:r w:rsidR="00C63947">
        <w:rPr>
          <w:sz w:val="26"/>
          <w:szCs w:val="26"/>
        </w:rPr>
        <w:t>”</w:t>
      </w:r>
      <w:r w:rsidR="00C63947">
        <w:rPr>
          <w:rStyle w:val="FootnoteReference"/>
          <w:sz w:val="26"/>
          <w:szCs w:val="26"/>
        </w:rPr>
        <w:footnoteReference w:id="62"/>
      </w:r>
      <w:r w:rsidR="00C63947">
        <w:rPr>
          <w:sz w:val="26"/>
          <w:szCs w:val="26"/>
        </w:rPr>
        <w:t xml:space="preserve"> </w:t>
      </w:r>
      <w:r w:rsidR="00E36652">
        <w:rPr>
          <w:sz w:val="26"/>
          <w:szCs w:val="26"/>
        </w:rPr>
        <w:t xml:space="preserve"> </w:t>
      </w:r>
      <w:r w:rsidR="005C1AD5">
        <w:rPr>
          <w:sz w:val="26"/>
          <w:szCs w:val="26"/>
        </w:rPr>
        <w:t>In its consideration of rates, the Commission has the authority to determine what is just and reasonable, and to disallow costs not found to be just and reasonable.</w:t>
      </w:r>
      <w:r w:rsidR="00256B4B">
        <w:rPr>
          <w:rStyle w:val="FootnoteReference"/>
          <w:sz w:val="26"/>
          <w:szCs w:val="26"/>
        </w:rPr>
        <w:footnoteReference w:id="63"/>
      </w:r>
      <w:r w:rsidR="005C1AD5">
        <w:rPr>
          <w:sz w:val="26"/>
          <w:szCs w:val="26"/>
        </w:rPr>
        <w:t xml:space="preserve">  The Commission </w:t>
      </w:r>
      <w:r w:rsidRPr="006857D7">
        <w:rPr>
          <w:sz w:val="26"/>
          <w:szCs w:val="26"/>
        </w:rPr>
        <w:t>has plenary authority to carry out this mandate.</w:t>
      </w:r>
      <w:r w:rsidRPr="00E95968">
        <w:rPr>
          <w:rStyle w:val="FootnoteReference"/>
          <w:sz w:val="26"/>
          <w:szCs w:val="26"/>
        </w:rPr>
        <w:footnoteReference w:id="64"/>
      </w:r>
      <w:r w:rsidRPr="00E95968" w:rsidR="00D351EE">
        <w:rPr>
          <w:sz w:val="26"/>
          <w:szCs w:val="26"/>
        </w:rPr>
        <w:t xml:space="preserve">  </w:t>
      </w:r>
      <w:r w:rsidRPr="00E95968" w:rsidR="00666C0C">
        <w:rPr>
          <w:sz w:val="26"/>
          <w:szCs w:val="26"/>
        </w:rPr>
        <w:t xml:space="preserve">Additionally, some of the providers of IPCS in California hold </w:t>
      </w:r>
      <w:r w:rsidR="00C3037F">
        <w:rPr>
          <w:sz w:val="26"/>
          <w:szCs w:val="26"/>
        </w:rPr>
        <w:t>Certificate</w:t>
      </w:r>
      <w:r w:rsidR="00825298">
        <w:rPr>
          <w:sz w:val="26"/>
          <w:szCs w:val="26"/>
        </w:rPr>
        <w:t>s of Public Convenience and Necessity (</w:t>
      </w:r>
      <w:r w:rsidRPr="00E95968" w:rsidR="00666C0C">
        <w:rPr>
          <w:sz w:val="26"/>
          <w:szCs w:val="26"/>
        </w:rPr>
        <w:t>CPCN</w:t>
      </w:r>
      <w:r w:rsidR="00A07368">
        <w:rPr>
          <w:sz w:val="26"/>
          <w:szCs w:val="26"/>
        </w:rPr>
        <w:t>s</w:t>
      </w:r>
      <w:r w:rsidR="00825298">
        <w:rPr>
          <w:sz w:val="26"/>
          <w:szCs w:val="26"/>
        </w:rPr>
        <w:t>)</w:t>
      </w:r>
      <w:r w:rsidRPr="00E95968" w:rsidR="00666C0C">
        <w:rPr>
          <w:sz w:val="26"/>
          <w:szCs w:val="26"/>
        </w:rPr>
        <w:t xml:space="preserve"> and </w:t>
      </w:r>
      <w:r w:rsidRPr="00E95968" w:rsidR="00666C0C">
        <w:rPr>
          <w:sz w:val="26"/>
          <w:szCs w:val="26"/>
        </w:rPr>
        <w:lastRenderedPageBreak/>
        <w:t>the Commission has the statutory authority to grant and to revoke CPCNs, to condition the grant of CPCNs, and to regulate CPCN holders.</w:t>
      </w:r>
      <w:r w:rsidRPr="00E95968" w:rsidR="00666C0C">
        <w:rPr>
          <w:rStyle w:val="FootnoteReference"/>
          <w:sz w:val="26"/>
          <w:szCs w:val="26"/>
        </w:rPr>
        <w:footnoteReference w:id="65"/>
      </w:r>
    </w:p>
    <w:p w:rsidR="00640ED8" w:rsidP="00E95968" w:rsidRDefault="00640ED8" w14:paraId="6252F564" w14:textId="54BCAC89">
      <w:pPr>
        <w:pStyle w:val="Standard"/>
        <w:ind w:firstLine="720"/>
        <w:rPr>
          <w:sz w:val="26"/>
          <w:szCs w:val="26"/>
        </w:rPr>
      </w:pPr>
      <w:r w:rsidRPr="00736B30">
        <w:rPr>
          <w:sz w:val="26"/>
          <w:szCs w:val="26"/>
        </w:rPr>
        <w:t>This Commission has typically promoted market competition as a way to achieve just and reasonable telecommunications rates for competitive local exchange carriers, which IPCS is properly considered,</w:t>
      </w:r>
      <w:r w:rsidRPr="00736B30">
        <w:rPr>
          <w:sz w:val="26"/>
          <w:szCs w:val="26"/>
          <w:vertAlign w:val="superscript"/>
        </w:rPr>
        <w:footnoteReference w:id="66"/>
      </w:r>
      <w:r w:rsidRPr="00736B30">
        <w:rPr>
          <w:sz w:val="26"/>
          <w:szCs w:val="26"/>
        </w:rPr>
        <w:t xml:space="preserve"> </w:t>
      </w:r>
      <w:r>
        <w:rPr>
          <w:sz w:val="26"/>
          <w:szCs w:val="26"/>
        </w:rPr>
        <w:t xml:space="preserve">but </w:t>
      </w:r>
      <w:r w:rsidRPr="00736B30">
        <w:rPr>
          <w:sz w:val="26"/>
          <w:szCs w:val="26"/>
        </w:rPr>
        <w:t>we have also consistently recognized the need to regulate the rates of monopoly services.</w:t>
      </w:r>
      <w:r w:rsidRPr="00736B30">
        <w:rPr>
          <w:sz w:val="26"/>
          <w:szCs w:val="26"/>
          <w:vertAlign w:val="superscript"/>
        </w:rPr>
        <w:footnoteReference w:id="67"/>
      </w:r>
      <w:r w:rsidRPr="00736B30">
        <w:rPr>
          <w:sz w:val="26"/>
          <w:szCs w:val="26"/>
        </w:rPr>
        <w:t xml:space="preserve"> </w:t>
      </w:r>
      <w:r>
        <w:rPr>
          <w:sz w:val="26"/>
          <w:szCs w:val="26"/>
        </w:rPr>
        <w:t xml:space="preserve"> </w:t>
      </w:r>
      <w:r w:rsidRPr="00736B30">
        <w:rPr>
          <w:sz w:val="26"/>
          <w:szCs w:val="26"/>
        </w:rPr>
        <w:t>In D.06-08-030</w:t>
      </w:r>
      <w:r>
        <w:rPr>
          <w:sz w:val="26"/>
          <w:szCs w:val="26"/>
        </w:rPr>
        <w:t>,</w:t>
      </w:r>
      <w:r w:rsidRPr="00736B30">
        <w:rPr>
          <w:sz w:val="26"/>
          <w:szCs w:val="26"/>
        </w:rPr>
        <w:t xml:space="preserve"> </w:t>
      </w:r>
      <w:r>
        <w:rPr>
          <w:sz w:val="26"/>
          <w:szCs w:val="26"/>
        </w:rPr>
        <w:t>we</w:t>
      </w:r>
      <w:r w:rsidRPr="00736B30">
        <w:rPr>
          <w:sz w:val="26"/>
          <w:szCs w:val="26"/>
        </w:rPr>
        <w:t xml:space="preserve"> adopted a Uniform Regulatory Framework (URF) providing for the gradual elimination of rate regulation for most incumbent local exchange carriers, </w:t>
      </w:r>
      <w:r w:rsidR="00483602">
        <w:rPr>
          <w:sz w:val="26"/>
          <w:szCs w:val="26"/>
        </w:rPr>
        <w:t xml:space="preserve">and </w:t>
      </w:r>
      <w:r w:rsidRPr="00736B30">
        <w:rPr>
          <w:sz w:val="26"/>
          <w:szCs w:val="26"/>
        </w:rPr>
        <w:t>includ</w:t>
      </w:r>
      <w:r w:rsidR="00483602">
        <w:rPr>
          <w:sz w:val="26"/>
          <w:szCs w:val="26"/>
        </w:rPr>
        <w:t>ed</w:t>
      </w:r>
      <w:r w:rsidRPr="00736B30">
        <w:rPr>
          <w:sz w:val="26"/>
          <w:szCs w:val="26"/>
        </w:rPr>
        <w:t xml:space="preserve"> competitive local exchange carriers in the definition of “URF-Carrier.”</w:t>
      </w:r>
      <w:r w:rsidRPr="00736B30">
        <w:rPr>
          <w:sz w:val="26"/>
          <w:szCs w:val="26"/>
          <w:vertAlign w:val="superscript"/>
        </w:rPr>
        <w:footnoteReference w:id="68"/>
      </w:r>
      <w:r>
        <w:rPr>
          <w:sz w:val="26"/>
          <w:szCs w:val="26"/>
        </w:rPr>
        <w:t xml:space="preserve">  However, </w:t>
      </w:r>
      <w:r w:rsidR="00D62B0B">
        <w:rPr>
          <w:sz w:val="26"/>
          <w:szCs w:val="26"/>
        </w:rPr>
        <w:t>Decision (</w:t>
      </w:r>
      <w:r w:rsidRPr="00736B30">
        <w:rPr>
          <w:sz w:val="26"/>
          <w:szCs w:val="26"/>
        </w:rPr>
        <w:t>D.</w:t>
      </w:r>
      <w:r w:rsidR="00D62B0B">
        <w:rPr>
          <w:sz w:val="26"/>
          <w:szCs w:val="26"/>
        </w:rPr>
        <w:t xml:space="preserve">) </w:t>
      </w:r>
      <w:r w:rsidRPr="00736B30">
        <w:rPr>
          <w:sz w:val="26"/>
          <w:szCs w:val="26"/>
        </w:rPr>
        <w:t>06-08-030 states that the Commission “retains the authority and firm resolve, should it see evidence of market power abuses, to reopen this proceeding and promptly investigate any such abuses.”</w:t>
      </w:r>
      <w:r w:rsidRPr="00736B30">
        <w:rPr>
          <w:sz w:val="26"/>
          <w:szCs w:val="26"/>
          <w:vertAlign w:val="superscript"/>
        </w:rPr>
        <w:footnoteReference w:id="69"/>
      </w:r>
      <w:r w:rsidR="0066743C">
        <w:rPr>
          <w:sz w:val="26"/>
          <w:szCs w:val="26"/>
        </w:rPr>
        <w:t xml:space="preserve">  </w:t>
      </w:r>
      <w:r w:rsidRPr="0066743C" w:rsidR="0066743C">
        <w:rPr>
          <w:sz w:val="26"/>
          <w:szCs w:val="26"/>
        </w:rPr>
        <w:t>D.06</w:t>
      </w:r>
      <w:r w:rsidR="004124D5">
        <w:rPr>
          <w:sz w:val="26"/>
          <w:szCs w:val="26"/>
        </w:rPr>
        <w:noBreakHyphen/>
      </w:r>
      <w:r w:rsidRPr="0066743C" w:rsidR="0066743C">
        <w:rPr>
          <w:sz w:val="26"/>
          <w:szCs w:val="26"/>
        </w:rPr>
        <w:t>08</w:t>
      </w:r>
      <w:r w:rsidR="004124D5">
        <w:rPr>
          <w:sz w:val="26"/>
          <w:szCs w:val="26"/>
        </w:rPr>
        <w:noBreakHyphen/>
      </w:r>
      <w:r w:rsidRPr="0066743C" w:rsidR="0066743C">
        <w:rPr>
          <w:sz w:val="26"/>
          <w:szCs w:val="26"/>
        </w:rPr>
        <w:t>030 defines “market power” as “the ability of a company to sustain prices at levels above those a market would produce by restraining the supply of voice services to the market.”</w:t>
      </w:r>
      <w:r w:rsidR="0066743C">
        <w:rPr>
          <w:rStyle w:val="FootnoteReference"/>
          <w:sz w:val="26"/>
          <w:szCs w:val="26"/>
        </w:rPr>
        <w:footnoteReference w:id="70"/>
      </w:r>
    </w:p>
    <w:p w:rsidRPr="00E95968" w:rsidR="00736B30" w:rsidP="00C90FE5" w:rsidRDefault="00454370" w14:paraId="3F5A538A" w14:textId="61AE9FCE">
      <w:pPr>
        <w:pStyle w:val="Standard"/>
        <w:ind w:firstLine="720"/>
        <w:rPr>
          <w:sz w:val="26"/>
          <w:szCs w:val="26"/>
        </w:rPr>
      </w:pPr>
      <w:r>
        <w:rPr>
          <w:sz w:val="26"/>
          <w:szCs w:val="26"/>
        </w:rPr>
        <w:t>Since the sunsetting of Pub</w:t>
      </w:r>
      <w:r w:rsidR="006D69B9">
        <w:rPr>
          <w:sz w:val="26"/>
          <w:szCs w:val="26"/>
        </w:rPr>
        <w:t xml:space="preserve">lic Utilities </w:t>
      </w:r>
      <w:r>
        <w:rPr>
          <w:sz w:val="26"/>
          <w:szCs w:val="26"/>
        </w:rPr>
        <w:t xml:space="preserve">Code </w:t>
      </w:r>
      <w:r w:rsidR="00FF0037">
        <w:rPr>
          <w:sz w:val="26"/>
          <w:szCs w:val="26"/>
        </w:rPr>
        <w:t xml:space="preserve">Section 710 in January 2020, the Commission has </w:t>
      </w:r>
      <w:r w:rsidR="00E12E97">
        <w:rPr>
          <w:sz w:val="26"/>
          <w:szCs w:val="26"/>
        </w:rPr>
        <w:t xml:space="preserve">asserted its general authority over Voice over Internet </w:t>
      </w:r>
      <w:r w:rsidR="00E12E97">
        <w:rPr>
          <w:sz w:val="26"/>
          <w:szCs w:val="26"/>
        </w:rPr>
        <w:lastRenderedPageBreak/>
        <w:t xml:space="preserve">Protocol (VoIP) </w:t>
      </w:r>
      <w:r w:rsidR="00074DC4">
        <w:rPr>
          <w:sz w:val="26"/>
          <w:szCs w:val="26"/>
        </w:rPr>
        <w:t>technology</w:t>
      </w:r>
      <w:r w:rsidR="00A60CF8">
        <w:rPr>
          <w:sz w:val="26"/>
          <w:szCs w:val="26"/>
        </w:rPr>
        <w:t xml:space="preserve">.  In </w:t>
      </w:r>
      <w:r w:rsidR="00601AEA">
        <w:rPr>
          <w:sz w:val="26"/>
          <w:szCs w:val="26"/>
        </w:rPr>
        <w:t>D</w:t>
      </w:r>
      <w:r w:rsidR="00A60CF8">
        <w:rPr>
          <w:sz w:val="26"/>
          <w:szCs w:val="26"/>
        </w:rPr>
        <w:t xml:space="preserve">.19-08-025, we </w:t>
      </w:r>
      <w:r w:rsidR="4B847132">
        <w:rPr>
          <w:sz w:val="26"/>
          <w:szCs w:val="26"/>
        </w:rPr>
        <w:t>deemed</w:t>
      </w:r>
      <w:r w:rsidR="00074DC4">
        <w:rPr>
          <w:sz w:val="26"/>
          <w:szCs w:val="26"/>
        </w:rPr>
        <w:t xml:space="preserve"> VoIP providers </w:t>
      </w:r>
      <w:r w:rsidR="00EC16AF">
        <w:rPr>
          <w:sz w:val="26"/>
          <w:szCs w:val="26"/>
        </w:rPr>
        <w:t xml:space="preserve">to </w:t>
      </w:r>
      <w:r w:rsidR="74C426C3">
        <w:rPr>
          <w:sz w:val="26"/>
          <w:szCs w:val="26"/>
        </w:rPr>
        <w:t>be</w:t>
      </w:r>
      <w:r w:rsidR="00EC16AF">
        <w:rPr>
          <w:sz w:val="26"/>
          <w:szCs w:val="26"/>
        </w:rPr>
        <w:t xml:space="preserve"> “telephone corporations” pursuant to Pub</w:t>
      </w:r>
      <w:r w:rsidR="006D69B9">
        <w:rPr>
          <w:sz w:val="26"/>
          <w:szCs w:val="26"/>
        </w:rPr>
        <w:t>lic Utilities</w:t>
      </w:r>
      <w:r w:rsidR="00EC16AF">
        <w:rPr>
          <w:sz w:val="26"/>
          <w:szCs w:val="26"/>
        </w:rPr>
        <w:t xml:space="preserve"> Code </w:t>
      </w:r>
      <w:r w:rsidR="0027049C">
        <w:rPr>
          <w:sz w:val="26"/>
          <w:szCs w:val="26"/>
        </w:rPr>
        <w:t xml:space="preserve">Section </w:t>
      </w:r>
      <w:r w:rsidR="00B966C4">
        <w:rPr>
          <w:sz w:val="26"/>
          <w:szCs w:val="26"/>
        </w:rPr>
        <w:t>234</w:t>
      </w:r>
      <w:r w:rsidR="00EC16AF">
        <w:rPr>
          <w:sz w:val="26"/>
          <w:szCs w:val="26"/>
        </w:rPr>
        <w:t xml:space="preserve"> and “public utilities” subject to the Commission</w:t>
      </w:r>
      <w:r w:rsidR="00A81E4A">
        <w:rPr>
          <w:sz w:val="26"/>
          <w:szCs w:val="26"/>
        </w:rPr>
        <w:t>’</w:t>
      </w:r>
      <w:r w:rsidR="00EC16AF">
        <w:rPr>
          <w:sz w:val="26"/>
          <w:szCs w:val="26"/>
        </w:rPr>
        <w:t>s authority</w:t>
      </w:r>
      <w:r w:rsidR="006911AB">
        <w:rPr>
          <w:sz w:val="26"/>
          <w:szCs w:val="26"/>
        </w:rPr>
        <w:t xml:space="preserve">.  </w:t>
      </w:r>
      <w:r w:rsidR="000F29CB">
        <w:rPr>
          <w:sz w:val="26"/>
          <w:szCs w:val="26"/>
        </w:rPr>
        <w:t>We</w:t>
      </w:r>
      <w:r w:rsidR="006911AB">
        <w:rPr>
          <w:sz w:val="26"/>
          <w:szCs w:val="26"/>
        </w:rPr>
        <w:t xml:space="preserve"> stated that </w:t>
      </w:r>
      <w:r w:rsidR="00D510F0">
        <w:rPr>
          <w:sz w:val="26"/>
          <w:szCs w:val="26"/>
        </w:rPr>
        <w:t>“VoIP providers clearly fit within the plain language of the definition of a public utility ‘telephone corporation</w:t>
      </w:r>
      <w:r w:rsidR="0041217A">
        <w:rPr>
          <w:sz w:val="26"/>
          <w:szCs w:val="26"/>
        </w:rPr>
        <w:t xml:space="preserve">’” and as such </w:t>
      </w:r>
      <w:r w:rsidR="006911AB">
        <w:rPr>
          <w:sz w:val="26"/>
          <w:szCs w:val="26"/>
        </w:rPr>
        <w:t xml:space="preserve">are </w:t>
      </w:r>
      <w:r w:rsidR="0041217A">
        <w:rPr>
          <w:sz w:val="26"/>
          <w:szCs w:val="26"/>
        </w:rPr>
        <w:t xml:space="preserve">subject to </w:t>
      </w:r>
      <w:r w:rsidR="000A4938">
        <w:rPr>
          <w:sz w:val="26"/>
          <w:szCs w:val="26"/>
        </w:rPr>
        <w:t>the Commis</w:t>
      </w:r>
      <w:r w:rsidR="006911AB">
        <w:rPr>
          <w:sz w:val="26"/>
          <w:szCs w:val="26"/>
        </w:rPr>
        <w:t xml:space="preserve">sion’s authority </w:t>
      </w:r>
      <w:r w:rsidR="0041217A">
        <w:rPr>
          <w:sz w:val="26"/>
          <w:szCs w:val="26"/>
        </w:rPr>
        <w:t>under Pub</w:t>
      </w:r>
      <w:r w:rsidR="006D69B9">
        <w:rPr>
          <w:sz w:val="26"/>
          <w:szCs w:val="26"/>
        </w:rPr>
        <w:t xml:space="preserve">lic </w:t>
      </w:r>
      <w:r w:rsidR="0041217A">
        <w:rPr>
          <w:sz w:val="26"/>
          <w:szCs w:val="26"/>
        </w:rPr>
        <w:t>Utilities Code Section 451</w:t>
      </w:r>
      <w:r w:rsidR="000A4938">
        <w:rPr>
          <w:sz w:val="26"/>
          <w:szCs w:val="26"/>
        </w:rPr>
        <w:t xml:space="preserve"> to ensure that customers receive safe and reliable service at just and reasonable rates.</w:t>
      </w:r>
      <w:r w:rsidR="00EC16AF">
        <w:rPr>
          <w:rStyle w:val="FootnoteReference"/>
          <w:sz w:val="26"/>
          <w:szCs w:val="26"/>
        </w:rPr>
        <w:footnoteReference w:id="71"/>
      </w:r>
      <w:r w:rsidR="00A81E4A">
        <w:rPr>
          <w:sz w:val="26"/>
          <w:szCs w:val="26"/>
        </w:rPr>
        <w:t xml:space="preserve"> </w:t>
      </w:r>
      <w:r w:rsidR="00D510F0">
        <w:rPr>
          <w:sz w:val="26"/>
          <w:szCs w:val="26"/>
        </w:rPr>
        <w:t xml:space="preserve"> </w:t>
      </w:r>
      <w:r w:rsidR="00882D33">
        <w:rPr>
          <w:sz w:val="26"/>
          <w:szCs w:val="26"/>
        </w:rPr>
        <w:t>In D.20-09-012, the Commission</w:t>
      </w:r>
      <w:r w:rsidR="00447018">
        <w:rPr>
          <w:sz w:val="26"/>
          <w:szCs w:val="26"/>
        </w:rPr>
        <w:t xml:space="preserve"> </w:t>
      </w:r>
      <w:r w:rsidR="00882D33">
        <w:rPr>
          <w:sz w:val="26"/>
          <w:szCs w:val="26"/>
        </w:rPr>
        <w:t xml:space="preserve">upheld D.19-08-025 and </w:t>
      </w:r>
      <w:r w:rsidR="00447018">
        <w:rPr>
          <w:sz w:val="26"/>
          <w:szCs w:val="26"/>
        </w:rPr>
        <w:t xml:space="preserve">provided extensive </w:t>
      </w:r>
      <w:r w:rsidR="00611B9B">
        <w:rPr>
          <w:sz w:val="26"/>
          <w:szCs w:val="26"/>
        </w:rPr>
        <w:t>discussion supporting its f</w:t>
      </w:r>
      <w:r w:rsidR="00882D33">
        <w:rPr>
          <w:sz w:val="26"/>
          <w:szCs w:val="26"/>
        </w:rPr>
        <w:t>indings and conclusions</w:t>
      </w:r>
      <w:r w:rsidR="00611B9B">
        <w:rPr>
          <w:sz w:val="26"/>
          <w:szCs w:val="26"/>
        </w:rPr>
        <w:t xml:space="preserve">, including that VoIP providers are telephone corporations </w:t>
      </w:r>
      <w:r w:rsidR="002A461D">
        <w:rPr>
          <w:sz w:val="26"/>
          <w:szCs w:val="26"/>
        </w:rPr>
        <w:t>and public utilities and as such subject to our jurisdiction and requirement to ensure just and reasonable rates.</w:t>
      </w:r>
      <w:r w:rsidR="002A461D">
        <w:rPr>
          <w:rStyle w:val="FootnoteReference"/>
          <w:sz w:val="26"/>
          <w:szCs w:val="26"/>
        </w:rPr>
        <w:footnoteReference w:id="72"/>
      </w:r>
      <w:r w:rsidR="002A461D">
        <w:rPr>
          <w:sz w:val="26"/>
          <w:szCs w:val="26"/>
        </w:rPr>
        <w:t xml:space="preserve"> </w:t>
      </w:r>
    </w:p>
    <w:p w:rsidR="005A148C" w:rsidP="00BD1DB2" w:rsidRDefault="005939A5" w14:paraId="04894123" w14:textId="7164951A">
      <w:pPr>
        <w:pStyle w:val="Heading1"/>
        <w:numPr>
          <w:ilvl w:val="0"/>
          <w:numId w:val="1"/>
        </w:numPr>
      </w:pPr>
      <w:bookmarkStart w:name="_Toc8123719" w:id="23"/>
      <w:bookmarkStart w:name="_Toc80089390" w:id="24"/>
      <w:r>
        <w:t>Issues Before the Commission</w:t>
      </w:r>
      <w:bookmarkEnd w:id="23"/>
      <w:bookmarkEnd w:id="24"/>
    </w:p>
    <w:p w:rsidRPr="00D351EE" w:rsidR="005939A5" w:rsidP="003311BA" w:rsidRDefault="0084107C" w14:paraId="209491E4" w14:textId="2B207D93">
      <w:pPr>
        <w:pStyle w:val="Standard"/>
        <w:ind w:firstLine="720"/>
        <w:rPr>
          <w:sz w:val="26"/>
          <w:szCs w:val="26"/>
        </w:rPr>
      </w:pPr>
      <w:r w:rsidRPr="00D351EE">
        <w:rPr>
          <w:sz w:val="26"/>
          <w:szCs w:val="26"/>
        </w:rPr>
        <w:t xml:space="preserve">This decision addresses the following Phase 1 </w:t>
      </w:r>
      <w:r w:rsidRPr="00D351EE" w:rsidR="005939A5">
        <w:rPr>
          <w:sz w:val="26"/>
          <w:szCs w:val="26"/>
        </w:rPr>
        <w:t>issues</w:t>
      </w:r>
      <w:r w:rsidRPr="00D351EE">
        <w:rPr>
          <w:sz w:val="26"/>
          <w:szCs w:val="26"/>
        </w:rPr>
        <w:t xml:space="preserve"> identified in the </w:t>
      </w:r>
      <w:r w:rsidRPr="00D351EE" w:rsidR="002D398F">
        <w:rPr>
          <w:sz w:val="26"/>
          <w:szCs w:val="26"/>
        </w:rPr>
        <w:t xml:space="preserve">Scoping Memo: </w:t>
      </w:r>
    </w:p>
    <w:p w:rsidRPr="00D351EE" w:rsidR="00C727A7" w:rsidP="00516016" w:rsidRDefault="00C727A7" w14:paraId="775751A7" w14:textId="723EFAFF">
      <w:pPr>
        <w:pStyle w:val="ListBullet"/>
        <w:numPr>
          <w:ilvl w:val="0"/>
          <w:numId w:val="20"/>
        </w:numPr>
        <w:spacing w:line="240" w:lineRule="auto"/>
        <w:ind w:left="1080" w:right="1440"/>
        <w:rPr>
          <w:sz w:val="26"/>
          <w:szCs w:val="26"/>
        </w:rPr>
      </w:pPr>
      <w:r w:rsidRPr="00D351EE">
        <w:rPr>
          <w:sz w:val="26"/>
          <w:szCs w:val="26"/>
        </w:rPr>
        <w:t xml:space="preserve">How should the Commission define </w:t>
      </w:r>
      <w:r w:rsidRPr="00D351EE" w:rsidR="00614A9E">
        <w:rPr>
          <w:sz w:val="26"/>
          <w:szCs w:val="26"/>
        </w:rPr>
        <w:t>IPCS?</w:t>
      </w:r>
    </w:p>
    <w:p w:rsidRPr="00D351EE" w:rsidR="00C727A7" w:rsidP="00516016" w:rsidRDefault="00C727A7" w14:paraId="6BE47930" w14:textId="65E4B55F">
      <w:pPr>
        <w:pStyle w:val="ListBullet"/>
        <w:numPr>
          <w:ilvl w:val="0"/>
          <w:numId w:val="20"/>
        </w:numPr>
        <w:spacing w:line="240" w:lineRule="auto"/>
        <w:ind w:left="1080" w:right="1440"/>
        <w:rPr>
          <w:sz w:val="26"/>
          <w:szCs w:val="26"/>
        </w:rPr>
      </w:pPr>
      <w:r w:rsidRPr="00D351EE">
        <w:rPr>
          <w:sz w:val="26"/>
          <w:szCs w:val="26"/>
        </w:rPr>
        <w:t xml:space="preserve">Should the Commission examine the conditions of </w:t>
      </w:r>
      <w:r w:rsidRPr="00D351EE" w:rsidR="00614A9E">
        <w:rPr>
          <w:sz w:val="26"/>
          <w:szCs w:val="26"/>
        </w:rPr>
        <w:t xml:space="preserve">IPCS </w:t>
      </w:r>
      <w:r w:rsidRPr="00D351EE">
        <w:rPr>
          <w:sz w:val="26"/>
          <w:szCs w:val="26"/>
        </w:rPr>
        <w:t>market competition</w:t>
      </w:r>
      <w:r w:rsidR="0074281D">
        <w:rPr>
          <w:sz w:val="26"/>
          <w:szCs w:val="26"/>
        </w:rPr>
        <w:t xml:space="preserve"> in California</w:t>
      </w:r>
      <w:r w:rsidR="00AB2B5A">
        <w:rPr>
          <w:sz w:val="26"/>
          <w:szCs w:val="26"/>
        </w:rPr>
        <w:t>?</w:t>
      </w:r>
      <w:r w:rsidR="001F00E2">
        <w:rPr>
          <w:sz w:val="26"/>
          <w:szCs w:val="26"/>
        </w:rPr>
        <w:t xml:space="preserve">  </w:t>
      </w:r>
    </w:p>
    <w:p w:rsidRPr="00D351EE" w:rsidR="00C727A7" w:rsidP="00516016" w:rsidRDefault="00C727A7" w14:paraId="370A1AA7" w14:textId="7DE1FE04">
      <w:pPr>
        <w:pStyle w:val="ListBullet"/>
        <w:numPr>
          <w:ilvl w:val="0"/>
          <w:numId w:val="20"/>
        </w:numPr>
        <w:spacing w:line="240" w:lineRule="auto"/>
        <w:ind w:left="1080" w:right="1440"/>
        <w:rPr>
          <w:sz w:val="26"/>
          <w:szCs w:val="26"/>
        </w:rPr>
      </w:pPr>
      <w:bookmarkStart w:name="_Hlk74051365" w:id="25"/>
      <w:r w:rsidRPr="00D351EE">
        <w:rPr>
          <w:sz w:val="26"/>
          <w:szCs w:val="26"/>
        </w:rPr>
        <w:t xml:space="preserve">Should the Commission provide immediate interim relief to meet the </w:t>
      </w:r>
      <w:r w:rsidRPr="00D351EE" w:rsidR="00B55DAC">
        <w:rPr>
          <w:sz w:val="26"/>
          <w:szCs w:val="26"/>
        </w:rPr>
        <w:t xml:space="preserve">IPCS </w:t>
      </w:r>
      <w:r w:rsidRPr="00D351EE">
        <w:rPr>
          <w:sz w:val="26"/>
          <w:szCs w:val="26"/>
        </w:rPr>
        <w:t xml:space="preserve">needs of incarcerated people and their families at just and reasonable rates, </w:t>
      </w:r>
      <w:r w:rsidRPr="00520E4E">
        <w:rPr>
          <w:sz w:val="26"/>
          <w:szCs w:val="26"/>
        </w:rPr>
        <w:t>including those with communication disabilities</w:t>
      </w:r>
      <w:r w:rsidR="00516016">
        <w:rPr>
          <w:sz w:val="26"/>
          <w:szCs w:val="26"/>
        </w:rPr>
        <w:t xml:space="preserve">. </w:t>
      </w:r>
      <w:r w:rsidRPr="00520E4E">
        <w:rPr>
          <w:sz w:val="26"/>
          <w:szCs w:val="26"/>
        </w:rPr>
        <w:t xml:space="preserve"> If</w:t>
      </w:r>
      <w:r w:rsidRPr="00D351EE">
        <w:rPr>
          <w:sz w:val="26"/>
          <w:szCs w:val="26"/>
        </w:rPr>
        <w:t xml:space="preserve"> so, how? </w:t>
      </w:r>
    </w:p>
    <w:p w:rsidRPr="00D351EE" w:rsidR="00C727A7" w:rsidP="00516016" w:rsidRDefault="00C727A7" w14:paraId="19AD4805" w14:textId="13426F1D">
      <w:pPr>
        <w:pStyle w:val="ListBullet"/>
        <w:numPr>
          <w:ilvl w:val="0"/>
          <w:numId w:val="20"/>
        </w:numPr>
        <w:spacing w:line="240" w:lineRule="auto"/>
        <w:ind w:left="1080" w:right="1440"/>
        <w:rPr>
          <w:sz w:val="26"/>
          <w:szCs w:val="26"/>
        </w:rPr>
      </w:pPr>
      <w:r w:rsidRPr="00D351EE">
        <w:rPr>
          <w:sz w:val="26"/>
          <w:szCs w:val="26"/>
        </w:rPr>
        <w:t xml:space="preserve">Should FCC regulations over interstate and international calls inform the Commission’s approach to intrastate </w:t>
      </w:r>
      <w:r w:rsidRPr="00D351EE" w:rsidR="00B55DAC">
        <w:rPr>
          <w:sz w:val="26"/>
          <w:szCs w:val="26"/>
        </w:rPr>
        <w:t>IPCS</w:t>
      </w:r>
      <w:r w:rsidRPr="00D351EE">
        <w:rPr>
          <w:sz w:val="26"/>
          <w:szCs w:val="26"/>
        </w:rPr>
        <w:t xml:space="preserve">? If so, how? </w:t>
      </w:r>
    </w:p>
    <w:p w:rsidRPr="00E95968" w:rsidR="00040561" w:rsidP="00516016" w:rsidRDefault="00C727A7" w14:paraId="1063BE03" w14:textId="4F0E0980">
      <w:pPr>
        <w:pStyle w:val="ListBullet"/>
        <w:numPr>
          <w:ilvl w:val="0"/>
          <w:numId w:val="20"/>
        </w:numPr>
        <w:spacing w:line="240" w:lineRule="auto"/>
        <w:ind w:left="1080" w:right="1440"/>
        <w:rPr>
          <w:sz w:val="26"/>
          <w:szCs w:val="26"/>
        </w:rPr>
      </w:pPr>
      <w:r w:rsidRPr="00D351EE">
        <w:rPr>
          <w:sz w:val="26"/>
          <w:szCs w:val="26"/>
        </w:rPr>
        <w:lastRenderedPageBreak/>
        <w:t xml:space="preserve">Should the Commission use some elements of FCC orders but not others as models for ensuring just and reasonable, and affordable, </w:t>
      </w:r>
      <w:r w:rsidRPr="00D351EE" w:rsidR="00B55DAC">
        <w:rPr>
          <w:sz w:val="26"/>
          <w:szCs w:val="26"/>
        </w:rPr>
        <w:t xml:space="preserve">IPCS </w:t>
      </w:r>
      <w:r w:rsidRPr="00D351EE">
        <w:rPr>
          <w:sz w:val="26"/>
          <w:szCs w:val="26"/>
        </w:rPr>
        <w:t xml:space="preserve">rates in California? </w:t>
      </w:r>
    </w:p>
    <w:p w:rsidR="00D77F90" w:rsidP="00BD1DB2" w:rsidRDefault="00566B1B" w14:paraId="41134026" w14:textId="21DC9E55">
      <w:pPr>
        <w:pStyle w:val="Heading1"/>
        <w:numPr>
          <w:ilvl w:val="0"/>
          <w:numId w:val="1"/>
        </w:numPr>
      </w:pPr>
      <w:bookmarkStart w:name="_Toc80089391" w:id="26"/>
      <w:bookmarkEnd w:id="25"/>
      <w:r>
        <w:t>Defining “</w:t>
      </w:r>
      <w:r w:rsidR="009E4E7C">
        <w:t>Incarcerated Persons Calling Service</w:t>
      </w:r>
      <w:r w:rsidR="002730C9">
        <w:t>s</w:t>
      </w:r>
      <w:r>
        <w:t>” for Purposes of this Decision</w:t>
      </w:r>
      <w:bookmarkEnd w:id="26"/>
    </w:p>
    <w:p w:rsidRPr="009314E2" w:rsidR="009E046F" w:rsidP="001E5AD2" w:rsidRDefault="00F36593" w14:paraId="311E50F1" w14:textId="522DA6E7">
      <w:pPr>
        <w:pStyle w:val="Standard"/>
        <w:ind w:firstLine="720"/>
        <w:rPr>
          <w:sz w:val="26"/>
          <w:szCs w:val="26"/>
        </w:rPr>
      </w:pPr>
      <w:r w:rsidRPr="009314E2">
        <w:rPr>
          <w:sz w:val="26"/>
          <w:szCs w:val="26"/>
        </w:rPr>
        <w:t>The Scoping Memo provides a working definition of “incarcerated persons calling services” for the purposes of this proceeding.</w:t>
      </w:r>
      <w:r w:rsidRPr="009314E2" w:rsidR="00DA53BB">
        <w:rPr>
          <w:rStyle w:val="FootnoteReference"/>
          <w:sz w:val="26"/>
          <w:szCs w:val="26"/>
        </w:rPr>
        <w:footnoteReference w:id="73"/>
      </w:r>
      <w:r w:rsidRPr="009314E2">
        <w:rPr>
          <w:sz w:val="26"/>
          <w:szCs w:val="26"/>
        </w:rPr>
        <w:t xml:space="preserve"> </w:t>
      </w:r>
      <w:r w:rsidRPr="009314E2" w:rsidR="00452D4C">
        <w:rPr>
          <w:sz w:val="26"/>
          <w:szCs w:val="26"/>
        </w:rPr>
        <w:t xml:space="preserve"> </w:t>
      </w:r>
      <w:r w:rsidR="00483602">
        <w:rPr>
          <w:sz w:val="26"/>
          <w:szCs w:val="26"/>
        </w:rPr>
        <w:t>T</w:t>
      </w:r>
      <w:r w:rsidRPr="009314E2" w:rsidR="00202FBE">
        <w:rPr>
          <w:sz w:val="26"/>
          <w:szCs w:val="26"/>
        </w:rPr>
        <w:t xml:space="preserve">he Scoping Memo </w:t>
      </w:r>
      <w:r w:rsidR="00483602">
        <w:rPr>
          <w:sz w:val="26"/>
          <w:szCs w:val="26"/>
        </w:rPr>
        <w:t xml:space="preserve">also </w:t>
      </w:r>
      <w:r w:rsidRPr="009314E2" w:rsidR="00202FBE">
        <w:rPr>
          <w:sz w:val="26"/>
          <w:szCs w:val="26"/>
        </w:rPr>
        <w:t xml:space="preserve">states that it </w:t>
      </w:r>
      <w:r w:rsidRPr="009314E2" w:rsidR="00ED69B6">
        <w:rPr>
          <w:sz w:val="26"/>
          <w:szCs w:val="26"/>
        </w:rPr>
        <w:t xml:space="preserve">seeks information </w:t>
      </w:r>
      <w:r w:rsidR="008B4736">
        <w:rPr>
          <w:sz w:val="26"/>
          <w:szCs w:val="26"/>
        </w:rPr>
        <w:t xml:space="preserve">on </w:t>
      </w:r>
      <w:r w:rsidRPr="009314E2" w:rsidR="00202FBE">
        <w:rPr>
          <w:sz w:val="26"/>
          <w:szCs w:val="26"/>
        </w:rPr>
        <w:t xml:space="preserve">“all communication services under the Commission’s jurisdiction, including (but not limited to) voice calling, </w:t>
      </w:r>
      <w:r w:rsidR="00A1456C">
        <w:rPr>
          <w:sz w:val="26"/>
          <w:szCs w:val="26"/>
        </w:rPr>
        <w:t xml:space="preserve">[VoIP] </w:t>
      </w:r>
      <w:r w:rsidRPr="009314E2" w:rsidR="00202FBE">
        <w:rPr>
          <w:sz w:val="26"/>
          <w:szCs w:val="26"/>
        </w:rPr>
        <w:t xml:space="preserve">calling, video calling, texting, and all additional communications services serving people with </w:t>
      </w:r>
      <w:r w:rsidRPr="00973EA7" w:rsidR="00202FBE">
        <w:rPr>
          <w:sz w:val="26"/>
          <w:szCs w:val="26"/>
        </w:rPr>
        <w:t>disabilities.”</w:t>
      </w:r>
      <w:r w:rsidRPr="00973EA7" w:rsidR="00ED69B6">
        <w:rPr>
          <w:sz w:val="26"/>
          <w:szCs w:val="26"/>
        </w:rPr>
        <w:t xml:space="preserve">  </w:t>
      </w:r>
      <w:r w:rsidRPr="00973EA7" w:rsidR="001E5AD2">
        <w:rPr>
          <w:sz w:val="26"/>
          <w:szCs w:val="26"/>
        </w:rPr>
        <w:t xml:space="preserve">The </w:t>
      </w:r>
      <w:r w:rsidRPr="00973EA7" w:rsidR="00F71417">
        <w:rPr>
          <w:sz w:val="26"/>
          <w:szCs w:val="26"/>
        </w:rPr>
        <w:t>ALJ Ruling asked</w:t>
      </w:r>
      <w:r w:rsidRPr="00973EA7" w:rsidR="0033420F">
        <w:rPr>
          <w:sz w:val="26"/>
          <w:szCs w:val="26"/>
        </w:rPr>
        <w:t xml:space="preserve"> if</w:t>
      </w:r>
      <w:r w:rsidRPr="00973EA7" w:rsidR="00F71417">
        <w:rPr>
          <w:sz w:val="26"/>
          <w:szCs w:val="26"/>
        </w:rPr>
        <w:t xml:space="preserve"> </w:t>
      </w:r>
      <w:r w:rsidRPr="00973EA7" w:rsidR="0033420F">
        <w:rPr>
          <w:sz w:val="26"/>
          <w:szCs w:val="26"/>
        </w:rPr>
        <w:t>the Staff Proposal appropriately define</w:t>
      </w:r>
      <w:r w:rsidRPr="00973EA7" w:rsidR="001E5AD2">
        <w:rPr>
          <w:sz w:val="26"/>
          <w:szCs w:val="26"/>
        </w:rPr>
        <w:t>s</w:t>
      </w:r>
      <w:r w:rsidRPr="00973EA7" w:rsidR="0033420F">
        <w:rPr>
          <w:sz w:val="26"/>
          <w:szCs w:val="26"/>
        </w:rPr>
        <w:t xml:space="preserve"> </w:t>
      </w:r>
      <w:r w:rsidRPr="00472730" w:rsidR="00973EA7">
        <w:rPr>
          <w:sz w:val="26"/>
          <w:szCs w:val="26"/>
        </w:rPr>
        <w:t>IPCS</w:t>
      </w:r>
      <w:r w:rsidRPr="00973EA7" w:rsidR="0033420F">
        <w:rPr>
          <w:sz w:val="26"/>
          <w:szCs w:val="26"/>
        </w:rPr>
        <w:t xml:space="preserve"> for purposes</w:t>
      </w:r>
      <w:r w:rsidRPr="009314E2" w:rsidR="0033420F">
        <w:rPr>
          <w:sz w:val="26"/>
          <w:szCs w:val="26"/>
        </w:rPr>
        <w:t xml:space="preserve"> of </w:t>
      </w:r>
      <w:r w:rsidR="001E5AD2">
        <w:rPr>
          <w:sz w:val="26"/>
          <w:szCs w:val="26"/>
        </w:rPr>
        <w:t xml:space="preserve">Staff’s </w:t>
      </w:r>
      <w:r w:rsidRPr="009314E2" w:rsidR="0033420F">
        <w:rPr>
          <w:sz w:val="26"/>
          <w:szCs w:val="26"/>
        </w:rPr>
        <w:t>Interim Rate Relief Proposal</w:t>
      </w:r>
      <w:r w:rsidR="001E5AD2">
        <w:rPr>
          <w:sz w:val="26"/>
          <w:szCs w:val="26"/>
        </w:rPr>
        <w:t>.</w:t>
      </w:r>
    </w:p>
    <w:p w:rsidRPr="009314E2" w:rsidR="004D61C8" w:rsidP="004D61C8" w:rsidRDefault="003C3F06" w14:paraId="13BA3DE2" w14:textId="7B461E95">
      <w:pPr>
        <w:pStyle w:val="Standard"/>
        <w:ind w:firstLine="720"/>
        <w:rPr>
          <w:sz w:val="26"/>
          <w:szCs w:val="26"/>
        </w:rPr>
      </w:pPr>
      <w:r w:rsidRPr="009314E2">
        <w:rPr>
          <w:sz w:val="26"/>
          <w:szCs w:val="26"/>
        </w:rPr>
        <w:t>In their</w:t>
      </w:r>
      <w:r w:rsidRPr="009314E2" w:rsidR="008165B7">
        <w:rPr>
          <w:sz w:val="26"/>
          <w:szCs w:val="26"/>
        </w:rPr>
        <w:t xml:space="preserve"> initial and </w:t>
      </w:r>
      <w:r w:rsidR="00483602">
        <w:rPr>
          <w:sz w:val="26"/>
          <w:szCs w:val="26"/>
        </w:rPr>
        <w:t>R</w:t>
      </w:r>
      <w:r w:rsidRPr="009314E2" w:rsidR="008165B7">
        <w:rPr>
          <w:sz w:val="26"/>
          <w:szCs w:val="26"/>
        </w:rPr>
        <w:t xml:space="preserve">evised </w:t>
      </w:r>
      <w:r w:rsidRPr="009314E2" w:rsidR="00452D4C">
        <w:rPr>
          <w:sz w:val="26"/>
          <w:szCs w:val="26"/>
        </w:rPr>
        <w:t>Staff Proposal</w:t>
      </w:r>
      <w:r w:rsidRPr="009314E2" w:rsidR="008165B7">
        <w:rPr>
          <w:sz w:val="26"/>
          <w:szCs w:val="26"/>
        </w:rPr>
        <w:t>s</w:t>
      </w:r>
      <w:r w:rsidRPr="009314E2">
        <w:rPr>
          <w:sz w:val="26"/>
          <w:szCs w:val="26"/>
        </w:rPr>
        <w:t xml:space="preserve">, Staff state that their proposal </w:t>
      </w:r>
      <w:r w:rsidRPr="003027BB" w:rsidR="003027BB">
        <w:rPr>
          <w:sz w:val="26"/>
          <w:szCs w:val="26"/>
        </w:rPr>
        <w:t>is only addressing rates for voice</w:t>
      </w:r>
      <w:r w:rsidR="000D447E">
        <w:rPr>
          <w:sz w:val="26"/>
          <w:szCs w:val="26"/>
        </w:rPr>
        <w:t xml:space="preserve"> </w:t>
      </w:r>
      <w:r w:rsidRPr="003027BB" w:rsidR="003027BB">
        <w:rPr>
          <w:sz w:val="26"/>
          <w:szCs w:val="26"/>
        </w:rPr>
        <w:t>communication services</w:t>
      </w:r>
      <w:r w:rsidR="00483602">
        <w:rPr>
          <w:sz w:val="26"/>
          <w:szCs w:val="26"/>
        </w:rPr>
        <w:t xml:space="preserve"> but did not further define this term</w:t>
      </w:r>
      <w:r w:rsidRPr="003027BB" w:rsidR="003027BB">
        <w:rPr>
          <w:sz w:val="26"/>
          <w:szCs w:val="26"/>
        </w:rPr>
        <w:t>.</w:t>
      </w:r>
      <w:r w:rsidRPr="009314E2" w:rsidR="008165B7">
        <w:rPr>
          <w:rStyle w:val="FootnoteReference"/>
          <w:sz w:val="26"/>
          <w:szCs w:val="26"/>
        </w:rPr>
        <w:footnoteReference w:id="74"/>
      </w:r>
      <w:r w:rsidRPr="009314E2">
        <w:rPr>
          <w:sz w:val="26"/>
          <w:szCs w:val="26"/>
        </w:rPr>
        <w:t xml:space="preserve">  </w:t>
      </w:r>
    </w:p>
    <w:p w:rsidRPr="009314E2" w:rsidR="007A258F" w:rsidP="007A258F" w:rsidRDefault="00B65E6B" w14:paraId="1D9E7417" w14:textId="2EEA553A">
      <w:pPr>
        <w:pStyle w:val="Standard"/>
        <w:ind w:firstLine="720"/>
        <w:rPr>
          <w:sz w:val="26"/>
          <w:szCs w:val="26"/>
        </w:rPr>
      </w:pPr>
      <w:r w:rsidRPr="009314E2">
        <w:rPr>
          <w:sz w:val="26"/>
          <w:szCs w:val="26"/>
        </w:rPr>
        <w:t xml:space="preserve">The Revised Staff Proposal </w:t>
      </w:r>
      <w:r w:rsidR="00203EDB">
        <w:rPr>
          <w:sz w:val="26"/>
          <w:szCs w:val="26"/>
        </w:rPr>
        <w:t xml:space="preserve">(attached as Appendix A) </w:t>
      </w:r>
      <w:r w:rsidRPr="009314E2">
        <w:rPr>
          <w:sz w:val="26"/>
          <w:szCs w:val="26"/>
        </w:rPr>
        <w:t xml:space="preserve">notes </w:t>
      </w:r>
      <w:r w:rsidRPr="009314E2" w:rsidR="007A258F">
        <w:rPr>
          <w:sz w:val="26"/>
          <w:szCs w:val="26"/>
        </w:rPr>
        <w:t xml:space="preserve">that the </w:t>
      </w:r>
      <w:r w:rsidR="001E5AD2">
        <w:rPr>
          <w:sz w:val="26"/>
          <w:szCs w:val="26"/>
        </w:rPr>
        <w:t xml:space="preserve">FCC </w:t>
      </w:r>
      <w:r w:rsidRPr="009314E2" w:rsidR="00A444EA">
        <w:rPr>
          <w:sz w:val="26"/>
          <w:szCs w:val="26"/>
        </w:rPr>
        <w:t xml:space="preserve">Third Order </w:t>
      </w:r>
      <w:r w:rsidRPr="009314E2" w:rsidR="007A258F">
        <w:rPr>
          <w:sz w:val="26"/>
          <w:szCs w:val="26"/>
        </w:rPr>
        <w:t xml:space="preserve">defines </w:t>
      </w:r>
      <w:r w:rsidRPr="009314E2" w:rsidR="00A444EA">
        <w:rPr>
          <w:sz w:val="26"/>
          <w:szCs w:val="26"/>
        </w:rPr>
        <w:t>“</w:t>
      </w:r>
      <w:r w:rsidRPr="009314E2" w:rsidR="007A258F">
        <w:rPr>
          <w:sz w:val="26"/>
          <w:szCs w:val="26"/>
        </w:rPr>
        <w:t>jails</w:t>
      </w:r>
      <w:r w:rsidRPr="009314E2" w:rsidR="00A444EA">
        <w:rPr>
          <w:sz w:val="26"/>
          <w:szCs w:val="26"/>
        </w:rPr>
        <w:t>”</w:t>
      </w:r>
      <w:r w:rsidRPr="009314E2" w:rsidR="007A258F">
        <w:rPr>
          <w:sz w:val="26"/>
          <w:szCs w:val="26"/>
        </w:rPr>
        <w:t xml:space="preserve"> as a facility of a local, state, or federal law enforcement agency that is used primarily to hold individuals who are; (1) </w:t>
      </w:r>
      <w:r w:rsidRPr="009314E2" w:rsidR="00FE33DF">
        <w:rPr>
          <w:sz w:val="26"/>
          <w:szCs w:val="26"/>
        </w:rPr>
        <w:t>a</w:t>
      </w:r>
      <w:r w:rsidRPr="009314E2" w:rsidR="007A258F">
        <w:rPr>
          <w:sz w:val="26"/>
          <w:szCs w:val="26"/>
        </w:rPr>
        <w:t xml:space="preserve">waiting adjudication of criminal charges; (2) </w:t>
      </w:r>
      <w:r w:rsidRPr="009314E2" w:rsidR="00FE33DF">
        <w:rPr>
          <w:sz w:val="26"/>
          <w:szCs w:val="26"/>
        </w:rPr>
        <w:t>p</w:t>
      </w:r>
      <w:r w:rsidRPr="009314E2" w:rsidR="007A258F">
        <w:rPr>
          <w:sz w:val="26"/>
          <w:szCs w:val="26"/>
        </w:rPr>
        <w:t xml:space="preserve">ost-conviction and committed to confinement for sentences of one year or less; or (3) </w:t>
      </w:r>
      <w:r w:rsidRPr="009314E2" w:rsidR="00FE33DF">
        <w:rPr>
          <w:sz w:val="26"/>
          <w:szCs w:val="26"/>
        </w:rPr>
        <w:t>p</w:t>
      </w:r>
      <w:r w:rsidRPr="009314E2" w:rsidR="007A258F">
        <w:rPr>
          <w:sz w:val="26"/>
          <w:szCs w:val="26"/>
        </w:rPr>
        <w:t>ost-conviction and awaiting transfer to another facility.</w:t>
      </w:r>
      <w:r w:rsidR="00F11C1B">
        <w:rPr>
          <w:sz w:val="26"/>
          <w:szCs w:val="26"/>
        </w:rPr>
        <w:t xml:space="preserve"> </w:t>
      </w:r>
      <w:r w:rsidRPr="009314E2" w:rsidR="007A258F">
        <w:rPr>
          <w:sz w:val="26"/>
          <w:szCs w:val="26"/>
        </w:rPr>
        <w:t xml:space="preserve"> The </w:t>
      </w:r>
      <w:r w:rsidR="001E5AD2">
        <w:rPr>
          <w:sz w:val="26"/>
          <w:szCs w:val="26"/>
        </w:rPr>
        <w:t xml:space="preserve">proposal states that the </w:t>
      </w:r>
      <w:r w:rsidRPr="009314E2" w:rsidR="007A258F">
        <w:rPr>
          <w:sz w:val="26"/>
          <w:szCs w:val="26"/>
        </w:rPr>
        <w:t>term also includes city, county or regional facilities that have contracted with a private company to manage day-to-day operations; privately-owned and operated facilities primarily engaged in housing city, county</w:t>
      </w:r>
      <w:r w:rsidR="002C104A">
        <w:rPr>
          <w:sz w:val="26"/>
          <w:szCs w:val="26"/>
        </w:rPr>
        <w:t>,</w:t>
      </w:r>
      <w:r w:rsidRPr="009314E2" w:rsidR="007A258F">
        <w:rPr>
          <w:sz w:val="26"/>
          <w:szCs w:val="26"/>
        </w:rPr>
        <w:t xml:space="preserve"> or regional incarcerated persons; and facilities used to detain individuals pursuant to a contract with U.S. Immigration and </w:t>
      </w:r>
      <w:r w:rsidRPr="009314E2" w:rsidR="007A258F">
        <w:rPr>
          <w:sz w:val="26"/>
          <w:szCs w:val="26"/>
        </w:rPr>
        <w:lastRenderedPageBreak/>
        <w:t>Customs Enforcement.</w:t>
      </w:r>
      <w:r w:rsidR="00F11C1B">
        <w:rPr>
          <w:sz w:val="26"/>
          <w:szCs w:val="26"/>
        </w:rPr>
        <w:t xml:space="preserve"> </w:t>
      </w:r>
      <w:r w:rsidRPr="009314E2" w:rsidR="002348F0">
        <w:rPr>
          <w:sz w:val="26"/>
          <w:szCs w:val="26"/>
        </w:rPr>
        <w:t xml:space="preserve"> The </w:t>
      </w:r>
      <w:r w:rsidRPr="009314E2" w:rsidR="00A444EA">
        <w:rPr>
          <w:sz w:val="26"/>
          <w:szCs w:val="26"/>
        </w:rPr>
        <w:t xml:space="preserve">Revised Staff Proposal </w:t>
      </w:r>
      <w:r w:rsidRPr="009314E2" w:rsidR="002348F0">
        <w:rPr>
          <w:sz w:val="26"/>
          <w:szCs w:val="26"/>
        </w:rPr>
        <w:t xml:space="preserve">defines </w:t>
      </w:r>
      <w:r w:rsidRPr="009314E2" w:rsidR="00A444EA">
        <w:rPr>
          <w:sz w:val="26"/>
          <w:szCs w:val="26"/>
        </w:rPr>
        <w:t>“</w:t>
      </w:r>
      <w:r w:rsidRPr="009314E2" w:rsidR="002348F0">
        <w:rPr>
          <w:sz w:val="26"/>
          <w:szCs w:val="26"/>
        </w:rPr>
        <w:t>prisons</w:t>
      </w:r>
      <w:r w:rsidRPr="009314E2" w:rsidR="00A444EA">
        <w:rPr>
          <w:sz w:val="26"/>
          <w:szCs w:val="26"/>
        </w:rPr>
        <w:t>”</w:t>
      </w:r>
      <w:r w:rsidRPr="009314E2" w:rsidR="002348F0">
        <w:rPr>
          <w:sz w:val="26"/>
          <w:szCs w:val="26"/>
        </w:rPr>
        <w:t xml:space="preserve"> as including facilities that would otherwise fall under the definition of a jail but in which </w:t>
      </w:r>
      <w:r w:rsidRPr="009314E2" w:rsidR="00FE33DF">
        <w:rPr>
          <w:sz w:val="26"/>
          <w:szCs w:val="26"/>
        </w:rPr>
        <w:t>most</w:t>
      </w:r>
      <w:r w:rsidRPr="009314E2" w:rsidR="002348F0">
        <w:rPr>
          <w:sz w:val="26"/>
          <w:szCs w:val="26"/>
        </w:rPr>
        <w:t xml:space="preserve"> incarcerated persons are post-conviction or are committed to confinement for sentences of longer than one year</w:t>
      </w:r>
      <w:r w:rsidRPr="009314E2" w:rsidR="00FE33DF">
        <w:rPr>
          <w:sz w:val="26"/>
          <w:szCs w:val="26"/>
        </w:rPr>
        <w:t>.</w:t>
      </w:r>
      <w:r w:rsidRPr="009314E2" w:rsidR="007A258F">
        <w:rPr>
          <w:rStyle w:val="FootnoteReference"/>
          <w:sz w:val="26"/>
          <w:szCs w:val="26"/>
        </w:rPr>
        <w:footnoteReference w:id="75"/>
      </w:r>
    </w:p>
    <w:p w:rsidR="00953CC0" w:rsidP="007A258F" w:rsidRDefault="006E288B" w14:paraId="1C41158E" w14:textId="77777777">
      <w:pPr>
        <w:pStyle w:val="Standard"/>
        <w:ind w:firstLine="720"/>
        <w:rPr>
          <w:sz w:val="26"/>
          <w:szCs w:val="26"/>
        </w:rPr>
      </w:pPr>
      <w:r>
        <w:rPr>
          <w:sz w:val="26"/>
          <w:szCs w:val="26"/>
        </w:rPr>
        <w:t xml:space="preserve">Staff’s </w:t>
      </w:r>
      <w:r w:rsidRPr="009314E2" w:rsidR="009A3D28">
        <w:rPr>
          <w:sz w:val="26"/>
          <w:szCs w:val="26"/>
        </w:rPr>
        <w:t>Revised Proposal</w:t>
      </w:r>
      <w:r>
        <w:rPr>
          <w:sz w:val="26"/>
          <w:szCs w:val="26"/>
        </w:rPr>
        <w:t xml:space="preserve"> </w:t>
      </w:r>
      <w:r w:rsidRPr="009314E2" w:rsidR="00FE33DF">
        <w:rPr>
          <w:sz w:val="26"/>
          <w:szCs w:val="26"/>
        </w:rPr>
        <w:t>recommends the Commission adopt the FCC’s definition of prisons and jails for all detention facilities</w:t>
      </w:r>
      <w:r w:rsidRPr="009314E2" w:rsidR="00B65E6B">
        <w:rPr>
          <w:sz w:val="26"/>
          <w:szCs w:val="26"/>
        </w:rPr>
        <w:t xml:space="preserve"> without </w:t>
      </w:r>
      <w:r w:rsidRPr="009314E2" w:rsidR="00FE33DF">
        <w:rPr>
          <w:sz w:val="26"/>
          <w:szCs w:val="26"/>
        </w:rPr>
        <w:t>explicitly or implicitly exempt</w:t>
      </w:r>
      <w:r w:rsidRPr="009314E2" w:rsidR="00B65E6B">
        <w:rPr>
          <w:sz w:val="26"/>
          <w:szCs w:val="26"/>
        </w:rPr>
        <w:t>ing</w:t>
      </w:r>
      <w:r w:rsidRPr="009314E2" w:rsidR="00FE33DF">
        <w:rPr>
          <w:sz w:val="26"/>
          <w:szCs w:val="26"/>
        </w:rPr>
        <w:t xml:space="preserve"> any facility type. </w:t>
      </w:r>
      <w:r>
        <w:rPr>
          <w:sz w:val="26"/>
          <w:szCs w:val="26"/>
        </w:rPr>
        <w:t xml:space="preserve"> </w:t>
      </w:r>
      <w:r w:rsidRPr="009314E2" w:rsidR="00E93C7D">
        <w:rPr>
          <w:sz w:val="26"/>
          <w:szCs w:val="26"/>
        </w:rPr>
        <w:t>Staff recommend that f</w:t>
      </w:r>
      <w:r w:rsidRPr="009314E2" w:rsidR="00FE33DF">
        <w:rPr>
          <w:sz w:val="26"/>
          <w:szCs w:val="26"/>
        </w:rPr>
        <w:t>acilities include</w:t>
      </w:r>
      <w:r w:rsidRPr="009314E2" w:rsidR="00E93C7D">
        <w:rPr>
          <w:sz w:val="26"/>
          <w:szCs w:val="26"/>
        </w:rPr>
        <w:t>d in the Commission’s definition of “incarcerated person’s calling services” include</w:t>
      </w:r>
      <w:r w:rsidRPr="009314E2" w:rsidR="00FE33DF">
        <w:rPr>
          <w:sz w:val="26"/>
          <w:szCs w:val="26"/>
        </w:rPr>
        <w:t xml:space="preserve"> any local, state, or federal correctional or detention facility type operated in California housing adults and/or juveniles, including but not limited to city and county jails, federal and state prisons, correctional facilities, juvenile detention facilities, holding centers, camps, psychiatric hospitals, immigration detention centers, military jails</w:t>
      </w:r>
      <w:r w:rsidR="004163B5">
        <w:rPr>
          <w:sz w:val="26"/>
          <w:szCs w:val="26"/>
        </w:rPr>
        <w:t>,</w:t>
      </w:r>
      <w:r w:rsidRPr="009314E2" w:rsidR="00FE33DF">
        <w:rPr>
          <w:sz w:val="26"/>
          <w:szCs w:val="26"/>
        </w:rPr>
        <w:t xml:space="preserve"> and tribal jails.</w:t>
      </w:r>
      <w:r w:rsidRPr="009314E2" w:rsidR="00E93C7D">
        <w:rPr>
          <w:sz w:val="26"/>
          <w:szCs w:val="26"/>
        </w:rPr>
        <w:t xml:space="preserve">  </w:t>
      </w:r>
    </w:p>
    <w:p w:rsidRPr="009314E2" w:rsidR="00FE33DF" w:rsidP="007A258F" w:rsidRDefault="00953CC0" w14:paraId="3DC79CA0" w14:textId="26893C22">
      <w:pPr>
        <w:pStyle w:val="Standard"/>
        <w:ind w:firstLine="720"/>
        <w:rPr>
          <w:sz w:val="26"/>
          <w:szCs w:val="26"/>
        </w:rPr>
      </w:pPr>
      <w:r>
        <w:rPr>
          <w:sz w:val="26"/>
          <w:szCs w:val="26"/>
        </w:rPr>
        <w:t xml:space="preserve">This decision adopts </w:t>
      </w:r>
      <w:r w:rsidRPr="009314E2" w:rsidR="00E93C7D">
        <w:rPr>
          <w:sz w:val="26"/>
          <w:szCs w:val="26"/>
        </w:rPr>
        <w:t>Staff’s recommended approach</w:t>
      </w:r>
      <w:r>
        <w:rPr>
          <w:sz w:val="26"/>
          <w:szCs w:val="26"/>
        </w:rPr>
        <w:t>.</w:t>
      </w:r>
    </w:p>
    <w:p w:rsidR="00D24D39" w:rsidP="00D24D39" w:rsidRDefault="00BD1DB2" w14:paraId="6D7BADB4" w14:textId="65F63818">
      <w:pPr>
        <w:pStyle w:val="Heading2"/>
      </w:pPr>
      <w:bookmarkStart w:name="_Toc80089392" w:id="27"/>
      <w:r>
        <w:t>4.1</w:t>
      </w:r>
      <w:r>
        <w:tab/>
      </w:r>
      <w:r w:rsidR="00D24D39">
        <w:t>Party Comments</w:t>
      </w:r>
      <w:bookmarkEnd w:id="27"/>
    </w:p>
    <w:p w:rsidRPr="004163B5" w:rsidR="00D24D39" w:rsidP="00A26212" w:rsidRDefault="00285744" w14:paraId="31545C64" w14:textId="642ADEFD">
      <w:pPr>
        <w:pStyle w:val="Standard"/>
        <w:ind w:firstLine="720"/>
        <w:rPr>
          <w:sz w:val="26"/>
          <w:szCs w:val="26"/>
        </w:rPr>
      </w:pPr>
      <w:r>
        <w:rPr>
          <w:sz w:val="26"/>
          <w:szCs w:val="26"/>
        </w:rPr>
        <w:t xml:space="preserve">Securus and GTL </w:t>
      </w:r>
      <w:r w:rsidRPr="004163B5" w:rsidR="00A26212">
        <w:rPr>
          <w:sz w:val="26"/>
          <w:szCs w:val="26"/>
        </w:rPr>
        <w:t>object to the Scoping Memo’s reference to video calling</w:t>
      </w:r>
      <w:r w:rsidR="00CD2DA7">
        <w:rPr>
          <w:sz w:val="26"/>
          <w:szCs w:val="26"/>
        </w:rPr>
        <w:t>, text messaging, and other non-voice communication services</w:t>
      </w:r>
      <w:r w:rsidRPr="004163B5" w:rsidR="00A26212">
        <w:rPr>
          <w:sz w:val="26"/>
          <w:szCs w:val="26"/>
        </w:rPr>
        <w:t xml:space="preserve"> as within the definition of incarcerated person’s calling services.</w:t>
      </w:r>
      <w:r w:rsidRPr="004163B5" w:rsidR="00A26212">
        <w:rPr>
          <w:rStyle w:val="FootnoteReference"/>
          <w:sz w:val="26"/>
          <w:szCs w:val="26"/>
        </w:rPr>
        <w:footnoteReference w:id="76"/>
      </w:r>
      <w:r w:rsidRPr="004163B5" w:rsidR="00A26212">
        <w:rPr>
          <w:sz w:val="26"/>
          <w:szCs w:val="26"/>
        </w:rPr>
        <w:t xml:space="preserve"> </w:t>
      </w:r>
    </w:p>
    <w:p w:rsidRPr="004163B5" w:rsidR="00EC2DC3" w:rsidP="00A26212" w:rsidRDefault="00EC2DC3" w14:paraId="14ECB1CA" w14:textId="1EC13F57">
      <w:pPr>
        <w:pStyle w:val="Standard"/>
        <w:ind w:firstLine="720"/>
        <w:rPr>
          <w:sz w:val="26"/>
          <w:szCs w:val="26"/>
        </w:rPr>
      </w:pPr>
      <w:r w:rsidRPr="004163B5">
        <w:rPr>
          <w:sz w:val="26"/>
          <w:szCs w:val="26"/>
        </w:rPr>
        <w:t xml:space="preserve">NCIC </w:t>
      </w:r>
      <w:r w:rsidRPr="004163B5" w:rsidR="00B1422F">
        <w:rPr>
          <w:sz w:val="26"/>
          <w:szCs w:val="26"/>
        </w:rPr>
        <w:t xml:space="preserve">Inmate Communications recommends the Commission clarify </w:t>
      </w:r>
      <w:r w:rsidR="005E3787">
        <w:rPr>
          <w:sz w:val="26"/>
          <w:szCs w:val="26"/>
        </w:rPr>
        <w:t xml:space="preserve">that voice communications as </w:t>
      </w:r>
      <w:r w:rsidR="00953CC0">
        <w:rPr>
          <w:sz w:val="26"/>
          <w:szCs w:val="26"/>
        </w:rPr>
        <w:t xml:space="preserve">used </w:t>
      </w:r>
      <w:r w:rsidRPr="004163B5" w:rsidR="00B1422F">
        <w:rPr>
          <w:sz w:val="26"/>
          <w:szCs w:val="26"/>
        </w:rPr>
        <w:t>in the Staff Proposals</w:t>
      </w:r>
      <w:r w:rsidR="00953CC0">
        <w:rPr>
          <w:sz w:val="26"/>
          <w:szCs w:val="26"/>
        </w:rPr>
        <w:t xml:space="preserve"> </w:t>
      </w:r>
      <w:r w:rsidRPr="004163B5" w:rsidR="009A5961">
        <w:rPr>
          <w:sz w:val="26"/>
          <w:szCs w:val="26"/>
        </w:rPr>
        <w:t>include</w:t>
      </w:r>
      <w:r w:rsidR="00953CC0">
        <w:rPr>
          <w:sz w:val="26"/>
          <w:szCs w:val="26"/>
        </w:rPr>
        <w:t>s</w:t>
      </w:r>
      <w:r w:rsidRPr="004163B5" w:rsidR="009A5961">
        <w:rPr>
          <w:sz w:val="26"/>
          <w:szCs w:val="26"/>
        </w:rPr>
        <w:t xml:space="preserve"> </w:t>
      </w:r>
      <w:r w:rsidR="00953CC0">
        <w:rPr>
          <w:sz w:val="26"/>
          <w:szCs w:val="26"/>
        </w:rPr>
        <w:t xml:space="preserve">IPCS </w:t>
      </w:r>
      <w:r w:rsidRPr="004163B5" w:rsidR="009A5961">
        <w:rPr>
          <w:sz w:val="26"/>
          <w:szCs w:val="26"/>
        </w:rPr>
        <w:t xml:space="preserve">providers using </w:t>
      </w:r>
      <w:r w:rsidRPr="004163B5" w:rsidR="00131CF1">
        <w:rPr>
          <w:sz w:val="26"/>
          <w:szCs w:val="26"/>
        </w:rPr>
        <w:t>VoIP</w:t>
      </w:r>
      <w:r w:rsidRPr="004163B5" w:rsidR="009A5961">
        <w:rPr>
          <w:sz w:val="26"/>
          <w:szCs w:val="26"/>
        </w:rPr>
        <w:t>-enabled technology</w:t>
      </w:r>
      <w:r w:rsidR="00734C6B">
        <w:rPr>
          <w:sz w:val="26"/>
          <w:szCs w:val="26"/>
        </w:rPr>
        <w:t>.</w:t>
      </w:r>
      <w:r w:rsidRPr="004163B5" w:rsidR="003A40EA">
        <w:rPr>
          <w:rStyle w:val="FootnoteReference"/>
          <w:sz w:val="26"/>
          <w:szCs w:val="26"/>
        </w:rPr>
        <w:footnoteReference w:id="77"/>
      </w:r>
      <w:r w:rsidRPr="004163B5" w:rsidR="007E1A43">
        <w:rPr>
          <w:sz w:val="26"/>
          <w:szCs w:val="26"/>
        </w:rPr>
        <w:t xml:space="preserve">  </w:t>
      </w:r>
    </w:p>
    <w:p w:rsidRPr="00D24D39" w:rsidR="00D24D39" w:rsidP="00D24D39" w:rsidRDefault="00BD1DB2" w14:paraId="5C2C7681" w14:textId="23D10741">
      <w:pPr>
        <w:pStyle w:val="Heading2"/>
      </w:pPr>
      <w:bookmarkStart w:name="_Toc80089393" w:id="28"/>
      <w:r>
        <w:lastRenderedPageBreak/>
        <w:t>4.2</w:t>
      </w:r>
      <w:r>
        <w:tab/>
      </w:r>
      <w:r w:rsidR="00D24D39">
        <w:t>Discussion</w:t>
      </w:r>
      <w:bookmarkEnd w:id="28"/>
    </w:p>
    <w:p w:rsidRPr="004163B5" w:rsidR="00B65E6B" w:rsidP="00F36593" w:rsidRDefault="009E3B77" w14:paraId="361FD474" w14:textId="122ED5F2">
      <w:pPr>
        <w:pStyle w:val="Standard"/>
        <w:ind w:firstLine="720"/>
        <w:rPr>
          <w:sz w:val="26"/>
          <w:szCs w:val="26"/>
        </w:rPr>
      </w:pPr>
      <w:r>
        <w:rPr>
          <w:sz w:val="26"/>
          <w:szCs w:val="26"/>
        </w:rPr>
        <w:t>The</w:t>
      </w:r>
      <w:r w:rsidRPr="22DE9353" w:rsidR="00B65E6B">
        <w:rPr>
          <w:sz w:val="26"/>
          <w:szCs w:val="26"/>
        </w:rPr>
        <w:t xml:space="preserve"> interim rate relief </w:t>
      </w:r>
      <w:r>
        <w:rPr>
          <w:sz w:val="26"/>
          <w:szCs w:val="26"/>
        </w:rPr>
        <w:t xml:space="preserve">adopted in this decision applies to </w:t>
      </w:r>
      <w:r w:rsidR="009011C3">
        <w:rPr>
          <w:sz w:val="26"/>
          <w:szCs w:val="26"/>
        </w:rPr>
        <w:t xml:space="preserve">intrastate IPCS </w:t>
      </w:r>
      <w:r w:rsidRPr="22DE9353" w:rsidR="00B65E6B">
        <w:rPr>
          <w:sz w:val="26"/>
          <w:szCs w:val="26"/>
        </w:rPr>
        <w:t xml:space="preserve">provided to any local, state, or federal correctional or detention facility type operated in California housing adults and/or juveniles, including but not limited to city and county jails, federal and state prisons, correctional facilities, juvenile detention facilities, holding centers, camps, psychiatric hospitals, immigration detention centers, military </w:t>
      </w:r>
      <w:proofErr w:type="gramStart"/>
      <w:r w:rsidRPr="22DE9353" w:rsidR="00B65E6B">
        <w:rPr>
          <w:sz w:val="26"/>
          <w:szCs w:val="26"/>
        </w:rPr>
        <w:t>jails</w:t>
      </w:r>
      <w:proofErr w:type="gramEnd"/>
      <w:r w:rsidRPr="22DE9353" w:rsidR="00B65E6B">
        <w:rPr>
          <w:sz w:val="26"/>
          <w:szCs w:val="26"/>
        </w:rPr>
        <w:t xml:space="preserve"> and tribal jails.</w:t>
      </w:r>
      <w:r w:rsidRPr="22DE9353" w:rsidR="00E53488">
        <w:rPr>
          <w:sz w:val="26"/>
          <w:szCs w:val="26"/>
        </w:rPr>
        <w:t xml:space="preserve"> </w:t>
      </w:r>
    </w:p>
    <w:p w:rsidR="00E53488" w:rsidP="00E53488" w:rsidRDefault="00E53488" w14:paraId="086C1CFA" w14:textId="46F42C89">
      <w:pPr>
        <w:pStyle w:val="Standard"/>
        <w:ind w:firstLine="720"/>
        <w:rPr>
          <w:sz w:val="26"/>
          <w:szCs w:val="26"/>
        </w:rPr>
      </w:pPr>
      <w:r w:rsidRPr="004163B5">
        <w:rPr>
          <w:sz w:val="26"/>
          <w:szCs w:val="26"/>
        </w:rPr>
        <w:t xml:space="preserve">We define </w:t>
      </w:r>
      <w:r w:rsidR="00244B43">
        <w:rPr>
          <w:sz w:val="26"/>
          <w:szCs w:val="26"/>
        </w:rPr>
        <w:t xml:space="preserve">intrastate IPCS </w:t>
      </w:r>
      <w:r w:rsidR="00C7458F">
        <w:rPr>
          <w:sz w:val="26"/>
          <w:szCs w:val="26"/>
        </w:rPr>
        <w:t xml:space="preserve">for purposes of this decision </w:t>
      </w:r>
      <w:r w:rsidRPr="004163B5">
        <w:rPr>
          <w:sz w:val="26"/>
          <w:szCs w:val="26"/>
        </w:rPr>
        <w:t xml:space="preserve">as including (but not limited to) voice </w:t>
      </w:r>
      <w:r w:rsidR="00651A62">
        <w:rPr>
          <w:sz w:val="26"/>
          <w:szCs w:val="26"/>
        </w:rPr>
        <w:t xml:space="preserve">and </w:t>
      </w:r>
      <w:r w:rsidRPr="3DE4F72A" w:rsidR="4D8AA44D">
        <w:rPr>
          <w:sz w:val="26"/>
          <w:szCs w:val="26"/>
        </w:rPr>
        <w:t xml:space="preserve">interconnected </w:t>
      </w:r>
      <w:r w:rsidRPr="004163B5">
        <w:rPr>
          <w:sz w:val="26"/>
          <w:szCs w:val="26"/>
        </w:rPr>
        <w:t xml:space="preserve">VoIP calling, </w:t>
      </w:r>
      <w:r w:rsidRPr="004163B5" w:rsidR="00C9465E">
        <w:rPr>
          <w:sz w:val="26"/>
          <w:szCs w:val="26"/>
        </w:rPr>
        <w:t xml:space="preserve">including voice and VoIP </w:t>
      </w:r>
      <w:r w:rsidRPr="004163B5" w:rsidR="00A147E5">
        <w:rPr>
          <w:sz w:val="26"/>
          <w:szCs w:val="26"/>
        </w:rPr>
        <w:t xml:space="preserve">voice </w:t>
      </w:r>
      <w:r w:rsidRPr="004163B5">
        <w:rPr>
          <w:sz w:val="26"/>
          <w:szCs w:val="26"/>
        </w:rPr>
        <w:t xml:space="preserve">communications services serving people with disabilities.  </w:t>
      </w:r>
      <w:r w:rsidR="00F178BF">
        <w:rPr>
          <w:sz w:val="26"/>
          <w:szCs w:val="26"/>
        </w:rPr>
        <w:t xml:space="preserve">As discussed above, </w:t>
      </w:r>
      <w:r w:rsidR="00135FBF">
        <w:rPr>
          <w:sz w:val="26"/>
          <w:szCs w:val="26"/>
        </w:rPr>
        <w:t xml:space="preserve">IPCS </w:t>
      </w:r>
      <w:r w:rsidR="001D6313">
        <w:rPr>
          <w:sz w:val="26"/>
          <w:szCs w:val="26"/>
        </w:rPr>
        <w:t>providers</w:t>
      </w:r>
      <w:r w:rsidR="00135FBF">
        <w:rPr>
          <w:sz w:val="26"/>
          <w:szCs w:val="26"/>
        </w:rPr>
        <w:t xml:space="preserve"> providing </w:t>
      </w:r>
      <w:r w:rsidR="00D176AA">
        <w:rPr>
          <w:sz w:val="26"/>
          <w:szCs w:val="26"/>
        </w:rPr>
        <w:t xml:space="preserve">such services </w:t>
      </w:r>
      <w:r w:rsidR="001D6313">
        <w:rPr>
          <w:sz w:val="26"/>
          <w:szCs w:val="26"/>
        </w:rPr>
        <w:t>are</w:t>
      </w:r>
      <w:r w:rsidR="00B31308">
        <w:rPr>
          <w:sz w:val="26"/>
          <w:szCs w:val="26"/>
        </w:rPr>
        <w:t xml:space="preserve"> telephone corporations and public utilities and as such </w:t>
      </w:r>
      <w:r w:rsidR="001D6313">
        <w:rPr>
          <w:sz w:val="26"/>
          <w:szCs w:val="26"/>
        </w:rPr>
        <w:t xml:space="preserve">are </w:t>
      </w:r>
      <w:r w:rsidR="00B31308">
        <w:rPr>
          <w:sz w:val="26"/>
          <w:szCs w:val="26"/>
        </w:rPr>
        <w:t xml:space="preserve">subject to our jurisdiction and </w:t>
      </w:r>
      <w:r w:rsidR="000C0308">
        <w:rPr>
          <w:sz w:val="26"/>
          <w:szCs w:val="26"/>
        </w:rPr>
        <w:t xml:space="preserve">the </w:t>
      </w:r>
      <w:r w:rsidR="00B31308">
        <w:rPr>
          <w:sz w:val="26"/>
          <w:szCs w:val="26"/>
        </w:rPr>
        <w:t xml:space="preserve">requirement </w:t>
      </w:r>
      <w:r w:rsidR="000C0308">
        <w:rPr>
          <w:sz w:val="26"/>
          <w:szCs w:val="26"/>
        </w:rPr>
        <w:t xml:space="preserve">of </w:t>
      </w:r>
      <w:r w:rsidRPr="6C6BCE6E" w:rsidR="4812CC5A">
        <w:rPr>
          <w:sz w:val="26"/>
          <w:szCs w:val="26"/>
        </w:rPr>
        <w:t>Pub</w:t>
      </w:r>
      <w:r w:rsidR="00073B59">
        <w:rPr>
          <w:sz w:val="26"/>
          <w:szCs w:val="26"/>
        </w:rPr>
        <w:t>lic</w:t>
      </w:r>
      <w:r w:rsidR="00952025">
        <w:rPr>
          <w:sz w:val="26"/>
          <w:szCs w:val="26"/>
        </w:rPr>
        <w:t xml:space="preserve"> </w:t>
      </w:r>
      <w:r w:rsidR="005A15A6">
        <w:rPr>
          <w:sz w:val="26"/>
          <w:szCs w:val="26"/>
        </w:rPr>
        <w:t>Util</w:t>
      </w:r>
      <w:r w:rsidR="00073B59">
        <w:rPr>
          <w:sz w:val="26"/>
          <w:szCs w:val="26"/>
        </w:rPr>
        <w:t>ities</w:t>
      </w:r>
      <w:r w:rsidRPr="6C6BCE6E" w:rsidR="4812CC5A">
        <w:rPr>
          <w:sz w:val="26"/>
          <w:szCs w:val="26"/>
        </w:rPr>
        <w:t xml:space="preserve"> Code </w:t>
      </w:r>
      <w:r w:rsidR="000C0308">
        <w:rPr>
          <w:sz w:val="26"/>
          <w:szCs w:val="26"/>
        </w:rPr>
        <w:t>Section 451</w:t>
      </w:r>
      <w:r w:rsidR="00B31308">
        <w:rPr>
          <w:sz w:val="26"/>
          <w:szCs w:val="26"/>
        </w:rPr>
        <w:t xml:space="preserve"> to ensure just and reasonable rates</w:t>
      </w:r>
      <w:r w:rsidR="000C0308">
        <w:rPr>
          <w:sz w:val="26"/>
          <w:szCs w:val="26"/>
        </w:rPr>
        <w:t xml:space="preserve">. </w:t>
      </w:r>
      <w:r w:rsidR="00F178BF">
        <w:rPr>
          <w:sz w:val="26"/>
          <w:szCs w:val="26"/>
        </w:rPr>
        <w:t xml:space="preserve"> </w:t>
      </w:r>
      <w:r w:rsidRPr="2A452425" w:rsidR="6211F6A2">
        <w:rPr>
          <w:sz w:val="26"/>
          <w:szCs w:val="26"/>
        </w:rPr>
        <w:t xml:space="preserve"> </w:t>
      </w:r>
    </w:p>
    <w:p w:rsidRPr="004163B5" w:rsidR="00911B91" w:rsidP="00F36593" w:rsidRDefault="0060770B" w14:paraId="3C68A340" w14:textId="5A7FBEAF">
      <w:pPr>
        <w:pStyle w:val="Standard"/>
        <w:ind w:firstLine="720"/>
        <w:rPr>
          <w:sz w:val="26"/>
          <w:szCs w:val="26"/>
        </w:rPr>
      </w:pPr>
      <w:r>
        <w:rPr>
          <w:sz w:val="26"/>
          <w:szCs w:val="26"/>
        </w:rPr>
        <w:t xml:space="preserve">This decision does not address party comments regarding </w:t>
      </w:r>
      <w:r w:rsidRPr="004163B5">
        <w:rPr>
          <w:sz w:val="26"/>
          <w:szCs w:val="26"/>
        </w:rPr>
        <w:t>video calling</w:t>
      </w:r>
      <w:r>
        <w:rPr>
          <w:sz w:val="26"/>
          <w:szCs w:val="26"/>
        </w:rPr>
        <w:t xml:space="preserve">, text messaging, and other non-voice communication services.  </w:t>
      </w:r>
      <w:r w:rsidRPr="004163B5" w:rsidR="00B65E6B">
        <w:rPr>
          <w:sz w:val="26"/>
          <w:szCs w:val="26"/>
        </w:rPr>
        <w:t xml:space="preserve">We </w:t>
      </w:r>
      <w:r w:rsidR="00603174">
        <w:rPr>
          <w:sz w:val="26"/>
          <w:szCs w:val="26"/>
        </w:rPr>
        <w:t>will</w:t>
      </w:r>
      <w:r w:rsidR="00CD59C7">
        <w:rPr>
          <w:sz w:val="26"/>
          <w:szCs w:val="26"/>
        </w:rPr>
        <w:t xml:space="preserve"> </w:t>
      </w:r>
      <w:r w:rsidRPr="004163B5" w:rsidR="00B65E6B">
        <w:rPr>
          <w:sz w:val="26"/>
          <w:szCs w:val="26"/>
        </w:rPr>
        <w:t xml:space="preserve">review </w:t>
      </w:r>
      <w:r w:rsidRPr="004163B5" w:rsidR="008165B7">
        <w:rPr>
          <w:sz w:val="26"/>
          <w:szCs w:val="26"/>
        </w:rPr>
        <w:t xml:space="preserve">the definition of “incarcerated person’s calling services” </w:t>
      </w:r>
      <w:r w:rsidR="00CD59C7">
        <w:rPr>
          <w:sz w:val="26"/>
          <w:szCs w:val="26"/>
        </w:rPr>
        <w:t xml:space="preserve">adopted for purposes of this decision later in </w:t>
      </w:r>
      <w:r w:rsidRPr="004163B5" w:rsidR="00B625EB">
        <w:rPr>
          <w:sz w:val="26"/>
          <w:szCs w:val="26"/>
        </w:rPr>
        <w:t xml:space="preserve">this proceeding. </w:t>
      </w:r>
      <w:r w:rsidRPr="004163B5" w:rsidR="00B65E6B">
        <w:rPr>
          <w:sz w:val="26"/>
          <w:szCs w:val="26"/>
        </w:rPr>
        <w:t xml:space="preserve"> </w:t>
      </w:r>
    </w:p>
    <w:p w:rsidRPr="00EE20CD" w:rsidR="00472DBD" w:rsidP="00BD1DB2" w:rsidRDefault="0000042F" w14:paraId="66FEBFF4" w14:textId="69891DC5">
      <w:pPr>
        <w:pStyle w:val="Heading1"/>
        <w:numPr>
          <w:ilvl w:val="0"/>
          <w:numId w:val="1"/>
        </w:numPr>
      </w:pPr>
      <w:bookmarkStart w:name="_Toc80089394" w:id="29"/>
      <w:r>
        <w:t xml:space="preserve">The Record Indicates High and Widely </w:t>
      </w:r>
      <w:r w:rsidR="00FB593E">
        <w:br/>
      </w:r>
      <w:r>
        <w:t xml:space="preserve">Varying </w:t>
      </w:r>
      <w:r w:rsidR="009D7F99">
        <w:t>Rates</w:t>
      </w:r>
      <w:r>
        <w:t xml:space="preserve"> for IPCS in California</w:t>
      </w:r>
      <w:bookmarkEnd w:id="29"/>
      <w:r>
        <w:t xml:space="preserve"> </w:t>
      </w:r>
    </w:p>
    <w:p w:rsidR="002D7F46" w:rsidP="00AF4922" w:rsidRDefault="000273A0" w14:paraId="0E1BE3D7" w14:textId="4C10468B">
      <w:pPr>
        <w:pStyle w:val="Standard"/>
        <w:ind w:firstLine="720"/>
        <w:rPr>
          <w:sz w:val="26"/>
          <w:szCs w:val="26"/>
        </w:rPr>
      </w:pPr>
      <w:r>
        <w:rPr>
          <w:sz w:val="26"/>
          <w:szCs w:val="26"/>
        </w:rPr>
        <w:t>T</w:t>
      </w:r>
      <w:r w:rsidRPr="00AD2239" w:rsidR="0007025A">
        <w:rPr>
          <w:sz w:val="26"/>
          <w:szCs w:val="26"/>
        </w:rPr>
        <w:t>h</w:t>
      </w:r>
      <w:r w:rsidR="002D7F46">
        <w:rPr>
          <w:sz w:val="26"/>
          <w:szCs w:val="26"/>
        </w:rPr>
        <w:t xml:space="preserve">is section examines the results of Staff and Cal Advocate’s initial investigations into the prices charged for IPCS in California incarceration facilities.  </w:t>
      </w:r>
      <w:r w:rsidR="00A21A7E">
        <w:rPr>
          <w:sz w:val="26"/>
          <w:szCs w:val="26"/>
        </w:rPr>
        <w:t>W</w:t>
      </w:r>
      <w:r w:rsidR="001E3088">
        <w:rPr>
          <w:sz w:val="26"/>
          <w:szCs w:val="26"/>
        </w:rPr>
        <w:t xml:space="preserve">e find </w:t>
      </w:r>
      <w:r w:rsidR="00C45F59">
        <w:rPr>
          <w:sz w:val="26"/>
          <w:szCs w:val="26"/>
        </w:rPr>
        <w:t>th</w:t>
      </w:r>
      <w:r w:rsidR="00203EDB">
        <w:rPr>
          <w:sz w:val="26"/>
          <w:szCs w:val="26"/>
        </w:rPr>
        <w:t>at</w:t>
      </w:r>
      <w:r w:rsidR="00C45F59">
        <w:rPr>
          <w:sz w:val="26"/>
          <w:szCs w:val="26"/>
        </w:rPr>
        <w:t xml:space="preserve"> IPCS providers charge </w:t>
      </w:r>
      <w:r w:rsidR="00093201">
        <w:rPr>
          <w:sz w:val="26"/>
          <w:szCs w:val="26"/>
        </w:rPr>
        <w:t xml:space="preserve">widely varying and, in some cases, excessively </w:t>
      </w:r>
      <w:r w:rsidR="001E3088">
        <w:rPr>
          <w:sz w:val="26"/>
          <w:szCs w:val="26"/>
        </w:rPr>
        <w:t xml:space="preserve">high prices </w:t>
      </w:r>
      <w:r w:rsidR="00C45F59">
        <w:rPr>
          <w:sz w:val="26"/>
          <w:szCs w:val="26"/>
        </w:rPr>
        <w:t>in California for the same services,</w:t>
      </w:r>
      <w:r w:rsidR="00847101">
        <w:rPr>
          <w:sz w:val="26"/>
          <w:szCs w:val="26"/>
        </w:rPr>
        <w:t xml:space="preserve"> resulting in unjust and unreasonable </w:t>
      </w:r>
      <w:r w:rsidR="00CC680F">
        <w:rPr>
          <w:sz w:val="26"/>
          <w:szCs w:val="26"/>
        </w:rPr>
        <w:t>rates</w:t>
      </w:r>
      <w:r w:rsidR="00847101">
        <w:rPr>
          <w:sz w:val="26"/>
          <w:szCs w:val="26"/>
        </w:rPr>
        <w:t xml:space="preserve">.  </w:t>
      </w:r>
      <w:r w:rsidR="00CC680F">
        <w:rPr>
          <w:sz w:val="26"/>
          <w:szCs w:val="26"/>
        </w:rPr>
        <w:t xml:space="preserve">Further, </w:t>
      </w:r>
      <w:r w:rsidR="002B0B7F">
        <w:rPr>
          <w:sz w:val="26"/>
          <w:szCs w:val="26"/>
        </w:rPr>
        <w:t xml:space="preserve">we find that </w:t>
      </w:r>
      <w:r w:rsidR="00F11DF2">
        <w:rPr>
          <w:sz w:val="26"/>
          <w:szCs w:val="26"/>
        </w:rPr>
        <w:t xml:space="preserve">IPCS </w:t>
      </w:r>
      <w:r w:rsidR="00CC680F">
        <w:rPr>
          <w:sz w:val="26"/>
          <w:szCs w:val="26"/>
        </w:rPr>
        <w:t>providers</w:t>
      </w:r>
      <w:r w:rsidR="00F11DF2">
        <w:rPr>
          <w:sz w:val="26"/>
          <w:szCs w:val="26"/>
        </w:rPr>
        <w:t xml:space="preserve"> operate locational monopolies and, whether individually or collaboratively with incarceration facilities, </w:t>
      </w:r>
      <w:r w:rsidR="00761EF2">
        <w:rPr>
          <w:sz w:val="26"/>
          <w:szCs w:val="26"/>
        </w:rPr>
        <w:t>use their monopoly status within facilities to exercise market power</w:t>
      </w:r>
      <w:r w:rsidRPr="00E35065" w:rsidR="00AF4922">
        <w:rPr>
          <w:sz w:val="26"/>
          <w:szCs w:val="26"/>
        </w:rPr>
        <w:t xml:space="preserve">.  As such, in later sections of this decision we exercise the Commission’s authority </w:t>
      </w:r>
      <w:r w:rsidRPr="00E35065" w:rsidR="00AF4922">
        <w:rPr>
          <w:sz w:val="26"/>
          <w:szCs w:val="26"/>
        </w:rPr>
        <w:lastRenderedPageBreak/>
        <w:t xml:space="preserve">and jurisdiction over telephone corporations under Public Utilities Code </w:t>
      </w:r>
      <w:r w:rsidRPr="6C6BCE6E" w:rsidR="1C49750A">
        <w:rPr>
          <w:sz w:val="26"/>
          <w:szCs w:val="26"/>
        </w:rPr>
        <w:t>Section</w:t>
      </w:r>
      <w:r w:rsidR="00FB593E">
        <w:rPr>
          <w:sz w:val="26"/>
          <w:szCs w:val="26"/>
        </w:rPr>
        <w:t> </w:t>
      </w:r>
      <w:r w:rsidRPr="00E35065" w:rsidR="00AF4922">
        <w:rPr>
          <w:sz w:val="26"/>
          <w:szCs w:val="26"/>
        </w:rPr>
        <w:t>451</w:t>
      </w:r>
      <w:r w:rsidRPr="00E35065" w:rsidR="00E35065">
        <w:rPr>
          <w:sz w:val="26"/>
          <w:szCs w:val="26"/>
        </w:rPr>
        <w:t xml:space="preserve"> </w:t>
      </w:r>
      <w:r w:rsidRPr="00E35065" w:rsidR="00AF4922">
        <w:rPr>
          <w:sz w:val="26"/>
          <w:szCs w:val="26"/>
        </w:rPr>
        <w:t>to regulate IPCS rates and fees.</w:t>
      </w:r>
    </w:p>
    <w:p w:rsidR="007A05AA" w:rsidP="004605D2" w:rsidRDefault="007A05AA" w14:paraId="51F51258" w14:textId="38E6FD3B">
      <w:pPr>
        <w:pStyle w:val="Standard"/>
        <w:ind w:firstLine="720"/>
        <w:rPr>
          <w:sz w:val="26"/>
          <w:szCs w:val="26"/>
        </w:rPr>
      </w:pPr>
      <w:r>
        <w:rPr>
          <w:sz w:val="26"/>
          <w:szCs w:val="26"/>
        </w:rPr>
        <w:t xml:space="preserve">This section begins by reviewing Staff and Cal Advocates’ findings regarding IPCS prices in California.  </w:t>
      </w:r>
      <w:r w:rsidR="0055643D">
        <w:rPr>
          <w:sz w:val="26"/>
          <w:szCs w:val="26"/>
        </w:rPr>
        <w:t>Next, w</w:t>
      </w:r>
      <w:r>
        <w:rPr>
          <w:sz w:val="26"/>
          <w:szCs w:val="26"/>
        </w:rPr>
        <w:t>e review parties</w:t>
      </w:r>
      <w:r w:rsidR="00AF4922">
        <w:rPr>
          <w:sz w:val="26"/>
          <w:szCs w:val="26"/>
        </w:rPr>
        <w:t>’</w:t>
      </w:r>
      <w:r>
        <w:rPr>
          <w:sz w:val="26"/>
          <w:szCs w:val="26"/>
        </w:rPr>
        <w:t xml:space="preserve"> interpretations of these findings</w:t>
      </w:r>
      <w:r w:rsidR="00AF4922">
        <w:rPr>
          <w:sz w:val="26"/>
          <w:szCs w:val="26"/>
        </w:rPr>
        <w:t xml:space="preserve"> and conclude with our own discussion of their significance. </w:t>
      </w:r>
    </w:p>
    <w:p w:rsidR="009373A6" w:rsidP="009373A6" w:rsidRDefault="00BD1DB2" w14:paraId="60321E9F" w14:textId="54CC0439">
      <w:pPr>
        <w:pStyle w:val="Heading2"/>
      </w:pPr>
      <w:bookmarkStart w:name="_Toc80089395" w:id="30"/>
      <w:r>
        <w:t>5.1</w:t>
      </w:r>
      <w:r>
        <w:tab/>
      </w:r>
      <w:r w:rsidR="009373A6">
        <w:t>Staff</w:t>
      </w:r>
      <w:r w:rsidR="00D242D2">
        <w:t xml:space="preserve"> </w:t>
      </w:r>
      <w:r w:rsidR="00E609CE">
        <w:t xml:space="preserve">Findings on </w:t>
      </w:r>
      <w:r w:rsidR="00FC7E9B">
        <w:t xml:space="preserve">IPCS </w:t>
      </w:r>
      <w:r w:rsidR="00E609CE">
        <w:t>Rates</w:t>
      </w:r>
      <w:bookmarkEnd w:id="30"/>
    </w:p>
    <w:p w:rsidR="00097342" w:rsidP="00681E08" w:rsidRDefault="003328E8" w14:paraId="363406CC" w14:textId="316714CE">
      <w:pPr>
        <w:pStyle w:val="Standard"/>
        <w:ind w:firstLine="720"/>
        <w:rPr>
          <w:sz w:val="26"/>
          <w:szCs w:val="26"/>
        </w:rPr>
      </w:pPr>
      <w:r>
        <w:rPr>
          <w:sz w:val="26"/>
          <w:szCs w:val="26"/>
        </w:rPr>
        <w:t xml:space="preserve">Based on its data request to over 800 </w:t>
      </w:r>
      <w:r w:rsidRPr="00547AB2" w:rsidR="00547AB2">
        <w:rPr>
          <w:sz w:val="26"/>
          <w:szCs w:val="26"/>
        </w:rPr>
        <w:t xml:space="preserve">licensed and registered </w:t>
      </w:r>
      <w:r w:rsidR="00547AB2">
        <w:rPr>
          <w:sz w:val="26"/>
          <w:szCs w:val="26"/>
        </w:rPr>
        <w:t xml:space="preserve">calling </w:t>
      </w:r>
      <w:r w:rsidRPr="00547AB2" w:rsidR="00547AB2">
        <w:rPr>
          <w:sz w:val="26"/>
          <w:szCs w:val="26"/>
        </w:rPr>
        <w:t>service providers</w:t>
      </w:r>
      <w:r>
        <w:rPr>
          <w:sz w:val="26"/>
          <w:szCs w:val="26"/>
        </w:rPr>
        <w:t>, t</w:t>
      </w:r>
      <w:r w:rsidR="004F71CF">
        <w:rPr>
          <w:sz w:val="26"/>
          <w:szCs w:val="26"/>
        </w:rPr>
        <w:t xml:space="preserve">he </w:t>
      </w:r>
      <w:r w:rsidR="00FC7E9B">
        <w:rPr>
          <w:sz w:val="26"/>
          <w:szCs w:val="26"/>
        </w:rPr>
        <w:t>Staff</w:t>
      </w:r>
      <w:r w:rsidR="004F71CF">
        <w:rPr>
          <w:sz w:val="26"/>
          <w:szCs w:val="26"/>
        </w:rPr>
        <w:t xml:space="preserve"> Proposal </w:t>
      </w:r>
      <w:r w:rsidR="00547AB2">
        <w:rPr>
          <w:sz w:val="26"/>
          <w:szCs w:val="26"/>
        </w:rPr>
        <w:t xml:space="preserve">identified </w:t>
      </w:r>
      <w:r w:rsidR="00481564">
        <w:rPr>
          <w:sz w:val="26"/>
          <w:szCs w:val="26"/>
        </w:rPr>
        <w:t xml:space="preserve">six providers </w:t>
      </w:r>
      <w:r w:rsidR="00010F7E">
        <w:rPr>
          <w:sz w:val="26"/>
          <w:szCs w:val="26"/>
        </w:rPr>
        <w:t xml:space="preserve">that </w:t>
      </w:r>
      <w:r w:rsidR="00481564">
        <w:rPr>
          <w:sz w:val="26"/>
          <w:szCs w:val="26"/>
        </w:rPr>
        <w:t xml:space="preserve">serve the IPCS market in California, providing calling services </w:t>
      </w:r>
      <w:r w:rsidR="00FC7E9B">
        <w:rPr>
          <w:sz w:val="26"/>
          <w:szCs w:val="26"/>
        </w:rPr>
        <w:t xml:space="preserve">to </w:t>
      </w:r>
      <w:r w:rsidR="00C45949">
        <w:rPr>
          <w:sz w:val="26"/>
          <w:szCs w:val="26"/>
        </w:rPr>
        <w:t>approximately 354</w:t>
      </w:r>
      <w:r w:rsidR="00097342">
        <w:rPr>
          <w:sz w:val="26"/>
          <w:szCs w:val="26"/>
        </w:rPr>
        <w:t xml:space="preserve"> incarceration or detention facilities.  The six providers </w:t>
      </w:r>
      <w:r w:rsidR="00547AB2">
        <w:rPr>
          <w:sz w:val="26"/>
          <w:szCs w:val="26"/>
        </w:rPr>
        <w:t xml:space="preserve">identified by Staff </w:t>
      </w:r>
      <w:r w:rsidR="00097342">
        <w:rPr>
          <w:sz w:val="26"/>
          <w:szCs w:val="26"/>
        </w:rPr>
        <w:t xml:space="preserve">are: </w:t>
      </w:r>
    </w:p>
    <w:p w:rsidRPr="00CC680F" w:rsidR="00097342" w:rsidP="00FC7E9B" w:rsidRDefault="00097342" w14:paraId="3EC29F4D" w14:textId="6C82CCE6">
      <w:pPr>
        <w:pStyle w:val="ListBullet"/>
        <w:spacing w:line="240" w:lineRule="auto"/>
        <w:rPr>
          <w:sz w:val="26"/>
          <w:szCs w:val="26"/>
        </w:rPr>
      </w:pPr>
      <w:bookmarkStart w:name="_Hlk74124454" w:id="31"/>
      <w:proofErr w:type="gramStart"/>
      <w:r w:rsidRPr="00CC680F">
        <w:rPr>
          <w:sz w:val="26"/>
          <w:szCs w:val="26"/>
        </w:rPr>
        <w:t>Securus</w:t>
      </w:r>
      <w:r w:rsidRPr="00CC680F" w:rsidR="005F2DC0">
        <w:rPr>
          <w:sz w:val="26"/>
          <w:szCs w:val="26"/>
        </w:rPr>
        <w:t>;</w:t>
      </w:r>
      <w:proofErr w:type="gramEnd"/>
    </w:p>
    <w:p w:rsidRPr="00CC680F" w:rsidR="00097342" w:rsidP="00FC7E9B" w:rsidRDefault="00097342" w14:paraId="3D2A709B" w14:textId="70FB7615">
      <w:pPr>
        <w:pStyle w:val="ListBullet"/>
        <w:spacing w:line="240" w:lineRule="auto"/>
        <w:rPr>
          <w:sz w:val="26"/>
          <w:szCs w:val="26"/>
        </w:rPr>
      </w:pPr>
      <w:proofErr w:type="gramStart"/>
      <w:r w:rsidRPr="00CC680F">
        <w:rPr>
          <w:sz w:val="26"/>
          <w:szCs w:val="26"/>
        </w:rPr>
        <w:t>GTL</w:t>
      </w:r>
      <w:r w:rsidRPr="00CC680F" w:rsidR="005F2DC0">
        <w:rPr>
          <w:sz w:val="26"/>
          <w:szCs w:val="26"/>
        </w:rPr>
        <w:t>;</w:t>
      </w:r>
      <w:proofErr w:type="gramEnd"/>
    </w:p>
    <w:p w:rsidRPr="00CC680F" w:rsidR="00097342" w:rsidP="00FC7E9B" w:rsidRDefault="00097342" w14:paraId="7A3FE097" w14:textId="472A71F0">
      <w:pPr>
        <w:pStyle w:val="ListBullet"/>
        <w:spacing w:line="240" w:lineRule="auto"/>
        <w:rPr>
          <w:sz w:val="26"/>
          <w:szCs w:val="26"/>
        </w:rPr>
      </w:pPr>
      <w:r w:rsidRPr="00CC680F">
        <w:rPr>
          <w:sz w:val="26"/>
          <w:szCs w:val="26"/>
        </w:rPr>
        <w:t xml:space="preserve">IC </w:t>
      </w:r>
      <w:proofErr w:type="gramStart"/>
      <w:r w:rsidRPr="00CC680F">
        <w:rPr>
          <w:sz w:val="26"/>
          <w:szCs w:val="26"/>
        </w:rPr>
        <w:t>Solutions</w:t>
      </w:r>
      <w:r w:rsidRPr="00CC680F" w:rsidR="005F2DC0">
        <w:rPr>
          <w:sz w:val="26"/>
          <w:szCs w:val="26"/>
        </w:rPr>
        <w:t>;</w:t>
      </w:r>
      <w:proofErr w:type="gramEnd"/>
    </w:p>
    <w:p w:rsidRPr="00CC680F" w:rsidR="00097342" w:rsidP="00FC7E9B" w:rsidRDefault="00097342" w14:paraId="7EA36D8C" w14:textId="36514B45">
      <w:pPr>
        <w:pStyle w:val="ListBullet"/>
        <w:spacing w:line="240" w:lineRule="auto"/>
        <w:rPr>
          <w:sz w:val="26"/>
          <w:szCs w:val="26"/>
        </w:rPr>
      </w:pPr>
      <w:r w:rsidRPr="00CC680F">
        <w:rPr>
          <w:sz w:val="26"/>
          <w:szCs w:val="26"/>
        </w:rPr>
        <w:t>Legacy Inmate Communications</w:t>
      </w:r>
      <w:r w:rsidRPr="00CC680F" w:rsidR="005F2DC0">
        <w:rPr>
          <w:sz w:val="26"/>
          <w:szCs w:val="26"/>
        </w:rPr>
        <w:t>;</w:t>
      </w:r>
      <w:r w:rsidRPr="00651995" w:rsidR="00651995">
        <w:rPr>
          <w:rStyle w:val="FootnoteReference"/>
          <w:sz w:val="26"/>
          <w:szCs w:val="26"/>
        </w:rPr>
        <w:t xml:space="preserve"> </w:t>
      </w:r>
      <w:r w:rsidR="00651995">
        <w:rPr>
          <w:rStyle w:val="FootnoteReference"/>
          <w:sz w:val="26"/>
          <w:szCs w:val="26"/>
        </w:rPr>
        <w:footnoteReference w:id="78"/>
      </w:r>
    </w:p>
    <w:p w:rsidRPr="00CC680F" w:rsidR="00097342" w:rsidP="00FC7E9B" w:rsidRDefault="00097342" w14:paraId="1E7D7BD8" w14:textId="77777777">
      <w:pPr>
        <w:pStyle w:val="ListBullet"/>
        <w:spacing w:line="240" w:lineRule="auto"/>
        <w:rPr>
          <w:sz w:val="26"/>
          <w:szCs w:val="26"/>
        </w:rPr>
      </w:pPr>
      <w:r w:rsidRPr="00CC680F">
        <w:rPr>
          <w:sz w:val="26"/>
          <w:szCs w:val="26"/>
        </w:rPr>
        <w:t xml:space="preserve">NCIC Inmate Communications; and, </w:t>
      </w:r>
    </w:p>
    <w:p w:rsidRPr="00CC680F" w:rsidR="00097342" w:rsidP="00FC7E9B" w:rsidRDefault="00097342" w14:paraId="509D42D9" w14:textId="56405661">
      <w:pPr>
        <w:pStyle w:val="ListBullet"/>
        <w:spacing w:line="240" w:lineRule="auto"/>
        <w:rPr>
          <w:sz w:val="26"/>
          <w:szCs w:val="26"/>
        </w:rPr>
      </w:pPr>
      <w:r w:rsidRPr="00CC680F">
        <w:rPr>
          <w:sz w:val="26"/>
          <w:szCs w:val="26"/>
        </w:rPr>
        <w:t>Pay Tel</w:t>
      </w:r>
      <w:r w:rsidRPr="00CC680F" w:rsidR="005F2DC0">
        <w:rPr>
          <w:sz w:val="26"/>
          <w:szCs w:val="26"/>
        </w:rPr>
        <w:t>.</w:t>
      </w:r>
    </w:p>
    <w:bookmarkEnd w:id="31"/>
    <w:p w:rsidR="001D75D4" w:rsidP="00F53B60" w:rsidRDefault="005F2DC0" w14:paraId="569506BA" w14:textId="228CAEF9">
      <w:pPr>
        <w:pStyle w:val="Standard"/>
        <w:ind w:firstLine="720"/>
        <w:rPr>
          <w:sz w:val="26"/>
          <w:szCs w:val="26"/>
        </w:rPr>
      </w:pPr>
      <w:r>
        <w:rPr>
          <w:sz w:val="26"/>
          <w:szCs w:val="26"/>
        </w:rPr>
        <w:t xml:space="preserve">Staff </w:t>
      </w:r>
      <w:r w:rsidR="00F53B60">
        <w:rPr>
          <w:sz w:val="26"/>
          <w:szCs w:val="26"/>
        </w:rPr>
        <w:t xml:space="preserve">found </w:t>
      </w:r>
      <w:r w:rsidRPr="00681E08" w:rsidR="00681E08">
        <w:rPr>
          <w:sz w:val="26"/>
          <w:szCs w:val="26"/>
        </w:rPr>
        <w:t xml:space="preserve">that intrastate </w:t>
      </w:r>
      <w:r w:rsidR="00F53B60">
        <w:rPr>
          <w:sz w:val="26"/>
          <w:szCs w:val="26"/>
        </w:rPr>
        <w:t xml:space="preserve">IPCS </w:t>
      </w:r>
      <w:r w:rsidRPr="00681E08" w:rsidR="00681E08">
        <w:rPr>
          <w:sz w:val="26"/>
          <w:szCs w:val="26"/>
        </w:rPr>
        <w:t xml:space="preserve">per-minute rates </w:t>
      </w:r>
      <w:r w:rsidR="00F53B60">
        <w:rPr>
          <w:sz w:val="26"/>
          <w:szCs w:val="26"/>
        </w:rPr>
        <w:t xml:space="preserve">in California </w:t>
      </w:r>
      <w:r w:rsidRPr="00681E08" w:rsidR="00681E08">
        <w:rPr>
          <w:sz w:val="26"/>
          <w:szCs w:val="26"/>
        </w:rPr>
        <w:t xml:space="preserve">are as high as $1.75 per minute </w:t>
      </w:r>
      <w:r w:rsidR="00D11CB0">
        <w:rPr>
          <w:sz w:val="26"/>
          <w:szCs w:val="26"/>
        </w:rPr>
        <w:t xml:space="preserve">and </w:t>
      </w:r>
      <w:r w:rsidRPr="00681E08" w:rsidR="00681E08">
        <w:rPr>
          <w:sz w:val="26"/>
          <w:szCs w:val="26"/>
        </w:rPr>
        <w:t xml:space="preserve">connection fees or first minute rates are as high as $3.60 per minute.  </w:t>
      </w:r>
      <w:r w:rsidR="00F53B60">
        <w:rPr>
          <w:sz w:val="26"/>
          <w:szCs w:val="26"/>
        </w:rPr>
        <w:t>Staff also found that a</w:t>
      </w:r>
      <w:r w:rsidRPr="00681E08" w:rsidR="00681E08">
        <w:rPr>
          <w:sz w:val="26"/>
          <w:szCs w:val="26"/>
        </w:rPr>
        <w:t xml:space="preserve"> 15-minute intrastate </w:t>
      </w:r>
      <w:r w:rsidR="00F53B60">
        <w:rPr>
          <w:sz w:val="26"/>
          <w:szCs w:val="26"/>
        </w:rPr>
        <w:t xml:space="preserve">IPCS </w:t>
      </w:r>
      <w:r w:rsidRPr="00681E08" w:rsidR="00681E08">
        <w:rPr>
          <w:sz w:val="26"/>
          <w:szCs w:val="26"/>
        </w:rPr>
        <w:t xml:space="preserve">phone call in California can cost the caller as much as $26.25 </w:t>
      </w:r>
      <w:r w:rsidRPr="0C88AC9B" w:rsidR="41E01AA9">
        <w:rPr>
          <w:sz w:val="26"/>
          <w:szCs w:val="26"/>
        </w:rPr>
        <w:t>solely</w:t>
      </w:r>
      <w:r w:rsidRPr="0C88AC9B" w:rsidR="71EF2C62">
        <w:rPr>
          <w:sz w:val="26"/>
          <w:szCs w:val="26"/>
        </w:rPr>
        <w:t xml:space="preserve"> </w:t>
      </w:r>
      <w:r w:rsidRPr="00681E08" w:rsidR="00681E08">
        <w:rPr>
          <w:sz w:val="26"/>
          <w:szCs w:val="26"/>
        </w:rPr>
        <w:t xml:space="preserve">in per-minute charges, excluding any other transaction fees. </w:t>
      </w:r>
      <w:r w:rsidR="00B552EE">
        <w:rPr>
          <w:sz w:val="26"/>
          <w:szCs w:val="26"/>
        </w:rPr>
        <w:t xml:space="preserve"> </w:t>
      </w:r>
    </w:p>
    <w:p w:rsidR="001B57A1" w:rsidP="00564728" w:rsidRDefault="00B552EE" w14:paraId="0B50362B" w14:textId="6EE94687">
      <w:pPr>
        <w:pStyle w:val="Standard"/>
        <w:ind w:firstLine="720"/>
        <w:rPr>
          <w:sz w:val="26"/>
          <w:szCs w:val="26"/>
        </w:rPr>
      </w:pPr>
      <w:r>
        <w:rPr>
          <w:sz w:val="26"/>
          <w:szCs w:val="26"/>
        </w:rPr>
        <w:t xml:space="preserve">The </w:t>
      </w:r>
      <w:r w:rsidR="00EA1B09">
        <w:rPr>
          <w:sz w:val="26"/>
          <w:szCs w:val="26"/>
        </w:rPr>
        <w:t xml:space="preserve">initial Staff Proposal </w:t>
      </w:r>
      <w:r w:rsidR="000726C2">
        <w:rPr>
          <w:sz w:val="26"/>
          <w:szCs w:val="26"/>
        </w:rPr>
        <w:t xml:space="preserve">provided </w:t>
      </w:r>
      <w:r w:rsidR="00EA1B09">
        <w:rPr>
          <w:sz w:val="26"/>
          <w:szCs w:val="26"/>
        </w:rPr>
        <w:t>Staff’s analysis of IPCS data</w:t>
      </w:r>
      <w:r w:rsidR="00564728">
        <w:rPr>
          <w:sz w:val="26"/>
          <w:szCs w:val="26"/>
        </w:rPr>
        <w:t>.  Staff’s Revised Proposal</w:t>
      </w:r>
      <w:r w:rsidR="00713DF7">
        <w:rPr>
          <w:sz w:val="26"/>
          <w:szCs w:val="26"/>
        </w:rPr>
        <w:t xml:space="preserve"> (attached </w:t>
      </w:r>
      <w:r w:rsidR="00FB494A">
        <w:rPr>
          <w:sz w:val="26"/>
          <w:szCs w:val="26"/>
        </w:rPr>
        <w:t>as</w:t>
      </w:r>
      <w:r w:rsidR="00713DF7">
        <w:rPr>
          <w:sz w:val="26"/>
          <w:szCs w:val="26"/>
        </w:rPr>
        <w:t xml:space="preserve"> Appendix 1</w:t>
      </w:r>
      <w:r w:rsidR="00B7123F">
        <w:rPr>
          <w:sz w:val="26"/>
          <w:szCs w:val="26"/>
        </w:rPr>
        <w:t xml:space="preserve"> to this decision</w:t>
      </w:r>
      <w:r w:rsidR="00713DF7">
        <w:rPr>
          <w:sz w:val="26"/>
          <w:szCs w:val="26"/>
        </w:rPr>
        <w:t xml:space="preserve">) </w:t>
      </w:r>
      <w:r w:rsidR="00564728">
        <w:rPr>
          <w:sz w:val="26"/>
          <w:szCs w:val="26"/>
        </w:rPr>
        <w:t>update</w:t>
      </w:r>
      <w:r w:rsidR="00B7123F">
        <w:rPr>
          <w:sz w:val="26"/>
          <w:szCs w:val="26"/>
        </w:rPr>
        <w:t xml:space="preserve">s </w:t>
      </w:r>
      <w:r w:rsidR="000726C2">
        <w:rPr>
          <w:sz w:val="26"/>
          <w:szCs w:val="26"/>
        </w:rPr>
        <w:t>Staff</w:t>
      </w:r>
      <w:r w:rsidR="00713DF7">
        <w:rPr>
          <w:sz w:val="26"/>
          <w:szCs w:val="26"/>
        </w:rPr>
        <w:t xml:space="preserve">’s </w:t>
      </w:r>
      <w:r w:rsidR="00B7123F">
        <w:rPr>
          <w:sz w:val="26"/>
          <w:szCs w:val="26"/>
        </w:rPr>
        <w:t xml:space="preserve">initial proposal </w:t>
      </w:r>
      <w:r w:rsidR="00564728">
        <w:rPr>
          <w:sz w:val="26"/>
          <w:szCs w:val="26"/>
        </w:rPr>
        <w:t>slightly</w:t>
      </w:r>
      <w:r w:rsidR="00EA1B09">
        <w:rPr>
          <w:sz w:val="26"/>
          <w:szCs w:val="26"/>
        </w:rPr>
        <w:t xml:space="preserve">, </w:t>
      </w:r>
      <w:r w:rsidR="00FB494A">
        <w:rPr>
          <w:sz w:val="26"/>
          <w:szCs w:val="26"/>
        </w:rPr>
        <w:t xml:space="preserve">based on Staff’s analysis of the impact of adopting the </w:t>
      </w:r>
      <w:r w:rsidR="00203EDB">
        <w:rPr>
          <w:sz w:val="26"/>
          <w:szCs w:val="26"/>
        </w:rPr>
        <w:t xml:space="preserve">2021 </w:t>
      </w:r>
      <w:r w:rsidR="00FB494A">
        <w:rPr>
          <w:sz w:val="26"/>
          <w:szCs w:val="26"/>
        </w:rPr>
        <w:lastRenderedPageBreak/>
        <w:t>FCC Third Order rate caps of $0.14 per minute for jails and $0.16 per minute for prisons:</w:t>
      </w:r>
    </w:p>
    <w:p w:rsidRPr="00787A14" w:rsidR="00877DF3" w:rsidP="00D0697F" w:rsidRDefault="00FB494A" w14:paraId="17214514" w14:textId="5F586563">
      <w:pPr>
        <w:pStyle w:val="Standard"/>
        <w:keepNext/>
        <w:keepLines/>
        <w:ind w:left="2610"/>
        <w:rPr>
          <w:b/>
          <w:bCs/>
          <w:sz w:val="26"/>
          <w:szCs w:val="26"/>
        </w:rPr>
      </w:pPr>
      <w:r w:rsidRPr="00787A14">
        <w:rPr>
          <w:b/>
          <w:bCs/>
          <w:sz w:val="26"/>
          <w:szCs w:val="26"/>
        </w:rPr>
        <w:t xml:space="preserve">Table </w:t>
      </w:r>
      <w:r w:rsidRPr="00787A14" w:rsidR="006A741A">
        <w:rPr>
          <w:b/>
          <w:bCs/>
          <w:sz w:val="26"/>
          <w:szCs w:val="26"/>
        </w:rPr>
        <w:t>2</w:t>
      </w:r>
      <w:r w:rsidRPr="00787A14" w:rsidR="00B552EE">
        <w:rPr>
          <w:b/>
          <w:bCs/>
          <w:sz w:val="26"/>
          <w:szCs w:val="26"/>
        </w:rPr>
        <w:t>: Staff Summary of Findings</w:t>
      </w:r>
      <w:r w:rsidRPr="00787A14" w:rsidR="008C420D">
        <w:rPr>
          <w:rStyle w:val="FootnoteReference"/>
          <w:b/>
          <w:bCs/>
          <w:sz w:val="26"/>
          <w:szCs w:val="26"/>
        </w:rPr>
        <w:footnoteReference w:id="79"/>
      </w:r>
    </w:p>
    <w:tbl>
      <w:tblPr>
        <w:tblW w:w="9265" w:type="dxa"/>
        <w:tblLook w:val="04A0" w:firstRow="1" w:lastRow="0" w:firstColumn="1" w:lastColumn="0" w:noHBand="0" w:noVBand="1"/>
      </w:tblPr>
      <w:tblGrid>
        <w:gridCol w:w="5845"/>
        <w:gridCol w:w="3420"/>
      </w:tblGrid>
      <w:tr w:rsidRPr="00CC680F" w:rsidR="00877DF3" w:rsidTr="00877DF3" w14:paraId="6C7EEC92" w14:textId="77777777">
        <w:trPr>
          <w:trHeight w:val="440"/>
        </w:trPr>
        <w:tc>
          <w:tcPr>
            <w:tcW w:w="9265" w:type="dxa"/>
            <w:gridSpan w:val="2"/>
            <w:tcBorders>
              <w:top w:val="single" w:color="auto" w:sz="4" w:space="0"/>
              <w:left w:val="single" w:color="auto" w:sz="4" w:space="0"/>
              <w:bottom w:val="nil"/>
              <w:right w:val="single" w:color="auto" w:sz="4" w:space="0"/>
            </w:tcBorders>
            <w:shd w:val="clear" w:color="auto" w:fill="F2F2F2" w:themeFill="background1" w:themeFillShade="F2"/>
            <w:noWrap/>
            <w:vAlign w:val="bottom"/>
            <w:hideMark/>
          </w:tcPr>
          <w:p w:rsidRPr="00CC680F" w:rsidR="00877DF3" w:rsidP="00D0697F" w:rsidRDefault="00877DF3" w14:paraId="06510023" w14:textId="6B98DB0A">
            <w:pPr>
              <w:keepNext/>
              <w:keepLines/>
              <w:rPr>
                <w:rFonts w:ascii="Book Antiqua" w:hAnsi="Book Antiqua"/>
                <w:b/>
                <w:u w:val="single"/>
              </w:rPr>
            </w:pPr>
            <w:r w:rsidRPr="00CC680F">
              <w:rPr>
                <w:rFonts w:ascii="Book Antiqua" w:hAnsi="Book Antiqua"/>
                <w:b/>
                <w:u w:val="single"/>
              </w:rPr>
              <w:t>Incarcerated Person’s Calling Service Provision in California</w:t>
            </w:r>
          </w:p>
        </w:tc>
      </w:tr>
      <w:tr w:rsidRPr="00CC680F" w:rsidR="00B552EE" w:rsidTr="00CB6469" w14:paraId="14E89F39"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D0697F" w:rsidRDefault="00073597" w14:paraId="5C467D2C" w14:textId="598357AD">
            <w:pPr>
              <w:keepNext/>
              <w:keepLines/>
              <w:rPr>
                <w:rFonts w:ascii="Book Antiqua" w:hAnsi="Book Antiqua"/>
              </w:rPr>
            </w:pPr>
            <w:r>
              <w:rPr>
                <w:rFonts w:ascii="Book Antiqua" w:hAnsi="Book Antiqua"/>
              </w:rPr>
              <w:t>Approximate number of</w:t>
            </w:r>
            <w:r w:rsidRPr="00CC680F" w:rsidR="00B552EE">
              <w:rPr>
                <w:rFonts w:ascii="Book Antiqua" w:hAnsi="Book Antiqua"/>
              </w:rPr>
              <w:t xml:space="preserve"> facilities</w:t>
            </w:r>
          </w:p>
        </w:tc>
        <w:tc>
          <w:tcPr>
            <w:tcW w:w="3420" w:type="dxa"/>
            <w:tcBorders>
              <w:top w:val="nil"/>
              <w:left w:val="nil"/>
              <w:bottom w:val="nil"/>
              <w:right w:val="single" w:color="auto" w:sz="4" w:space="0"/>
            </w:tcBorders>
            <w:shd w:val="clear" w:color="auto" w:fill="auto"/>
            <w:noWrap/>
            <w:vAlign w:val="bottom"/>
            <w:hideMark/>
          </w:tcPr>
          <w:p w:rsidRPr="00CC680F" w:rsidR="00B552EE" w:rsidP="00D0697F" w:rsidRDefault="00B552EE" w14:paraId="173CDCA0" w14:textId="624BEAFD">
            <w:pPr>
              <w:keepNext/>
              <w:keepLines/>
              <w:jc w:val="center"/>
              <w:rPr>
                <w:rFonts w:ascii="Book Antiqua" w:hAnsi="Book Antiqua"/>
              </w:rPr>
            </w:pPr>
            <w:r w:rsidRPr="00CC680F">
              <w:rPr>
                <w:rFonts w:ascii="Book Antiqua" w:hAnsi="Book Antiqua"/>
              </w:rPr>
              <w:t>3</w:t>
            </w:r>
            <w:r w:rsidR="00073597">
              <w:rPr>
                <w:rFonts w:ascii="Book Antiqua" w:hAnsi="Book Antiqua"/>
              </w:rPr>
              <w:t>5</w:t>
            </w:r>
            <w:r w:rsidRPr="00CC680F">
              <w:rPr>
                <w:rFonts w:ascii="Book Antiqua" w:hAnsi="Book Antiqua"/>
              </w:rPr>
              <w:t>4</w:t>
            </w:r>
          </w:p>
        </w:tc>
      </w:tr>
      <w:tr w:rsidRPr="00CC680F" w:rsidR="00B552EE" w:rsidTr="00CB6469" w14:paraId="40020AD1"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D0697F" w:rsidRDefault="004327FC" w14:paraId="3B3110EB" w14:textId="0A214387">
            <w:pPr>
              <w:keepNext/>
              <w:keepLines/>
              <w:rPr>
                <w:rFonts w:ascii="Book Antiqua" w:hAnsi="Book Antiqua"/>
              </w:rPr>
            </w:pPr>
            <w:r>
              <w:rPr>
                <w:rFonts w:ascii="Book Antiqua" w:hAnsi="Book Antiqua"/>
              </w:rPr>
              <w:t>Estimated</w:t>
            </w:r>
            <w:r w:rsidRPr="00CC680F" w:rsidR="00B552EE">
              <w:rPr>
                <w:rFonts w:ascii="Book Antiqua" w:hAnsi="Book Antiqua"/>
              </w:rPr>
              <w:t xml:space="preserve"> inmate population</w:t>
            </w:r>
          </w:p>
        </w:tc>
        <w:tc>
          <w:tcPr>
            <w:tcW w:w="3420" w:type="dxa"/>
            <w:tcBorders>
              <w:top w:val="nil"/>
              <w:left w:val="nil"/>
              <w:bottom w:val="nil"/>
              <w:right w:val="single" w:color="auto" w:sz="4" w:space="0"/>
            </w:tcBorders>
            <w:shd w:val="clear" w:color="auto" w:fill="auto"/>
            <w:noWrap/>
            <w:vAlign w:val="bottom"/>
            <w:hideMark/>
          </w:tcPr>
          <w:p w:rsidRPr="00CC680F" w:rsidR="00B552EE" w:rsidP="00D0697F" w:rsidRDefault="004327FC" w14:paraId="6462DE96" w14:textId="392846F1">
            <w:pPr>
              <w:keepNext/>
              <w:keepLines/>
              <w:jc w:val="center"/>
              <w:rPr>
                <w:rFonts w:ascii="Book Antiqua" w:hAnsi="Book Antiqua"/>
              </w:rPr>
            </w:pPr>
            <w:r>
              <w:rPr>
                <w:rFonts w:ascii="Book Antiqua" w:hAnsi="Book Antiqua"/>
              </w:rPr>
              <w:t>172,543</w:t>
            </w:r>
          </w:p>
        </w:tc>
      </w:tr>
      <w:tr w:rsidRPr="00CC680F" w:rsidR="00B552EE" w:rsidTr="00CB6469" w14:paraId="476D73DE"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D0697F" w:rsidRDefault="00B552EE" w14:paraId="2965C41A" w14:textId="77777777">
            <w:pPr>
              <w:keepNext/>
              <w:keepLines/>
              <w:rPr>
                <w:rFonts w:ascii="Book Antiqua" w:hAnsi="Book Antiqua"/>
              </w:rPr>
            </w:pPr>
            <w:r w:rsidRPr="00CC680F">
              <w:rPr>
                <w:rFonts w:ascii="Book Antiqua" w:hAnsi="Book Antiqua"/>
              </w:rPr>
              <w:t>Facilities with rates over $0.21 per</w:t>
            </w:r>
            <w:r w:rsidRPr="00CC680F" w:rsidDel="00E84D65">
              <w:rPr>
                <w:rFonts w:ascii="Book Antiqua" w:hAnsi="Book Antiqua"/>
              </w:rPr>
              <w:t xml:space="preserve"> </w:t>
            </w:r>
            <w:r w:rsidRPr="00CC680F">
              <w:rPr>
                <w:rFonts w:ascii="Book Antiqua" w:hAnsi="Book Antiqua"/>
              </w:rPr>
              <w:t>minute</w:t>
            </w:r>
          </w:p>
        </w:tc>
        <w:tc>
          <w:tcPr>
            <w:tcW w:w="3420" w:type="dxa"/>
            <w:tcBorders>
              <w:top w:val="nil"/>
              <w:left w:val="nil"/>
              <w:bottom w:val="nil"/>
              <w:right w:val="single" w:color="auto" w:sz="4" w:space="0"/>
            </w:tcBorders>
            <w:shd w:val="clear" w:color="auto" w:fill="auto"/>
            <w:noWrap/>
            <w:vAlign w:val="bottom"/>
            <w:hideMark/>
          </w:tcPr>
          <w:p w:rsidRPr="00CC680F" w:rsidR="00B552EE" w:rsidP="00D0697F" w:rsidRDefault="00571D7B" w14:paraId="4020DA8F" w14:textId="30869BC7">
            <w:pPr>
              <w:keepNext/>
              <w:keepLines/>
              <w:jc w:val="center"/>
              <w:rPr>
                <w:rFonts w:ascii="Book Antiqua" w:hAnsi="Book Antiqua"/>
              </w:rPr>
            </w:pPr>
            <w:r w:rsidRPr="00CC680F">
              <w:rPr>
                <w:rFonts w:ascii="Book Antiqua" w:hAnsi="Book Antiqua"/>
              </w:rPr>
              <w:t>186</w:t>
            </w:r>
          </w:p>
        </w:tc>
      </w:tr>
      <w:tr w:rsidRPr="00CC680F" w:rsidR="00B552EE" w:rsidTr="00CB6469" w14:paraId="1767AC88"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D0697F" w:rsidRDefault="00B552EE" w14:paraId="4D02F645" w14:textId="0643AC19">
            <w:pPr>
              <w:keepNext/>
              <w:keepLines/>
              <w:rPr>
                <w:rFonts w:ascii="Book Antiqua" w:hAnsi="Book Antiqua"/>
              </w:rPr>
            </w:pPr>
            <w:r w:rsidRPr="00CC680F">
              <w:rPr>
                <w:rFonts w:ascii="Book Antiqua" w:hAnsi="Book Antiqua"/>
              </w:rPr>
              <w:t xml:space="preserve">Population affected by </w:t>
            </w:r>
            <w:r w:rsidRPr="00CC680F" w:rsidR="00896E37">
              <w:rPr>
                <w:rFonts w:ascii="Book Antiqua" w:hAnsi="Book Antiqua"/>
              </w:rPr>
              <w:t xml:space="preserve">initial </w:t>
            </w:r>
            <w:r w:rsidRPr="00CC680F" w:rsidR="000D6984">
              <w:rPr>
                <w:rFonts w:ascii="Book Antiqua" w:hAnsi="Book Antiqua"/>
              </w:rPr>
              <w:t>Staff Proposal</w:t>
            </w:r>
          </w:p>
        </w:tc>
        <w:tc>
          <w:tcPr>
            <w:tcW w:w="3420" w:type="dxa"/>
            <w:tcBorders>
              <w:top w:val="nil"/>
              <w:left w:val="nil"/>
              <w:bottom w:val="nil"/>
              <w:right w:val="single" w:color="auto" w:sz="4" w:space="0"/>
            </w:tcBorders>
            <w:shd w:val="clear" w:color="auto" w:fill="auto"/>
            <w:noWrap/>
            <w:vAlign w:val="bottom"/>
            <w:hideMark/>
          </w:tcPr>
          <w:p w:rsidRPr="00CC680F" w:rsidR="00B552EE" w:rsidP="00D0697F" w:rsidRDefault="00571D7B" w14:paraId="05AEA11E" w14:textId="2D99D38D">
            <w:pPr>
              <w:keepNext/>
              <w:keepLines/>
              <w:jc w:val="center"/>
              <w:rPr>
                <w:rFonts w:ascii="Book Antiqua" w:hAnsi="Book Antiqua"/>
              </w:rPr>
            </w:pPr>
            <w:r w:rsidRPr="00CC680F">
              <w:rPr>
                <w:rFonts w:ascii="Book Antiqua" w:hAnsi="Book Antiqua"/>
              </w:rPr>
              <w:t>46,649</w:t>
            </w:r>
          </w:p>
        </w:tc>
      </w:tr>
      <w:tr w:rsidRPr="00CC680F" w:rsidR="00896E37" w:rsidTr="00CB6469" w14:paraId="60AB527C" w14:textId="77777777">
        <w:trPr>
          <w:trHeight w:val="194"/>
        </w:trPr>
        <w:tc>
          <w:tcPr>
            <w:tcW w:w="5845" w:type="dxa"/>
            <w:tcBorders>
              <w:top w:val="nil"/>
              <w:left w:val="single" w:color="auto" w:sz="4" w:space="0"/>
              <w:right w:val="nil"/>
            </w:tcBorders>
            <w:shd w:val="clear" w:color="auto" w:fill="auto"/>
            <w:noWrap/>
            <w:vAlign w:val="bottom"/>
          </w:tcPr>
          <w:p w:rsidRPr="00CC680F" w:rsidR="00896E37" w:rsidP="00D0697F" w:rsidRDefault="00896E37" w14:paraId="38A2E2D1" w14:textId="67F32DB3">
            <w:pPr>
              <w:keepNext/>
              <w:keepLines/>
              <w:rPr>
                <w:rFonts w:ascii="Book Antiqua" w:hAnsi="Book Antiqua"/>
              </w:rPr>
            </w:pPr>
            <w:r w:rsidRPr="00CC680F">
              <w:rPr>
                <w:rFonts w:ascii="Book Antiqua" w:hAnsi="Book Antiqua"/>
              </w:rPr>
              <w:t>Facilities with rates over $0.16 per minute</w:t>
            </w:r>
          </w:p>
        </w:tc>
        <w:tc>
          <w:tcPr>
            <w:tcW w:w="3420" w:type="dxa"/>
            <w:tcBorders>
              <w:top w:val="nil"/>
              <w:left w:val="nil"/>
              <w:bottom w:val="nil"/>
              <w:right w:val="single" w:color="auto" w:sz="4" w:space="0"/>
            </w:tcBorders>
            <w:shd w:val="clear" w:color="auto" w:fill="auto"/>
            <w:noWrap/>
            <w:vAlign w:val="bottom"/>
          </w:tcPr>
          <w:p w:rsidRPr="00CC680F" w:rsidR="00896E37" w:rsidP="00D0697F" w:rsidRDefault="00896E37" w14:paraId="5BE44EAE" w14:textId="411B6BE8">
            <w:pPr>
              <w:keepNext/>
              <w:keepLines/>
              <w:jc w:val="center"/>
              <w:rPr>
                <w:rFonts w:ascii="Book Antiqua" w:hAnsi="Book Antiqua"/>
              </w:rPr>
            </w:pPr>
            <w:r w:rsidRPr="00CC680F">
              <w:rPr>
                <w:rFonts w:ascii="Book Antiqua" w:hAnsi="Book Antiqua"/>
              </w:rPr>
              <w:t>218</w:t>
            </w:r>
          </w:p>
        </w:tc>
      </w:tr>
      <w:tr w:rsidRPr="00CC680F" w:rsidR="00896E37" w:rsidTr="00CB6469" w14:paraId="0EC4E38B" w14:textId="77777777">
        <w:trPr>
          <w:trHeight w:val="194"/>
        </w:trPr>
        <w:tc>
          <w:tcPr>
            <w:tcW w:w="5845" w:type="dxa"/>
            <w:tcBorders>
              <w:left w:val="single" w:color="auto" w:sz="4" w:space="0"/>
              <w:bottom w:val="nil"/>
              <w:right w:val="nil"/>
            </w:tcBorders>
            <w:shd w:val="clear" w:color="auto" w:fill="auto"/>
            <w:noWrap/>
            <w:vAlign w:val="bottom"/>
          </w:tcPr>
          <w:p w:rsidRPr="00CC680F" w:rsidR="00896E37" w:rsidP="0028444B" w:rsidRDefault="000D6984" w14:paraId="4487E09B" w14:textId="0ECB6213">
            <w:pPr>
              <w:rPr>
                <w:rFonts w:ascii="Book Antiqua" w:hAnsi="Book Antiqua"/>
              </w:rPr>
            </w:pPr>
            <w:r w:rsidRPr="00CC680F">
              <w:rPr>
                <w:rFonts w:ascii="Book Antiqua" w:hAnsi="Book Antiqua"/>
              </w:rPr>
              <w:t>Population affected by Staff’s Revised Proposal</w:t>
            </w:r>
          </w:p>
        </w:tc>
        <w:tc>
          <w:tcPr>
            <w:tcW w:w="3420" w:type="dxa"/>
            <w:tcBorders>
              <w:top w:val="nil"/>
              <w:left w:val="nil"/>
              <w:bottom w:val="nil"/>
              <w:right w:val="single" w:color="auto" w:sz="4" w:space="0"/>
            </w:tcBorders>
            <w:shd w:val="clear" w:color="auto" w:fill="auto"/>
            <w:noWrap/>
            <w:vAlign w:val="bottom"/>
          </w:tcPr>
          <w:p w:rsidRPr="00CC680F" w:rsidR="00896E37" w:rsidP="0028444B" w:rsidRDefault="00896E37" w14:paraId="2BC063E4" w14:textId="6E3D234D">
            <w:pPr>
              <w:jc w:val="center"/>
              <w:rPr>
                <w:rFonts w:ascii="Book Antiqua" w:hAnsi="Book Antiqua"/>
              </w:rPr>
            </w:pPr>
            <w:r w:rsidRPr="00CC680F">
              <w:rPr>
                <w:rFonts w:ascii="Book Antiqua" w:hAnsi="Book Antiqua"/>
              </w:rPr>
              <w:t>64,356</w:t>
            </w:r>
          </w:p>
        </w:tc>
      </w:tr>
      <w:tr w:rsidRPr="00CC680F" w:rsidR="00B552EE" w:rsidTr="00CB6469" w14:paraId="0E88F2F5" w14:textId="77777777">
        <w:trPr>
          <w:trHeight w:val="300"/>
        </w:trPr>
        <w:tc>
          <w:tcPr>
            <w:tcW w:w="5845" w:type="dxa"/>
            <w:tcBorders>
              <w:top w:val="nil"/>
              <w:left w:val="single" w:color="auto" w:sz="4" w:space="0"/>
              <w:bottom w:val="nil"/>
              <w:right w:val="nil"/>
            </w:tcBorders>
            <w:shd w:val="clear" w:color="auto" w:fill="F2F2F2" w:themeFill="background1" w:themeFillShade="F2"/>
            <w:noWrap/>
            <w:vAlign w:val="bottom"/>
            <w:hideMark/>
          </w:tcPr>
          <w:p w:rsidRPr="00CC680F" w:rsidR="00B552EE" w:rsidP="0028444B" w:rsidRDefault="00B552EE" w14:paraId="13AD03ED" w14:textId="77777777">
            <w:pPr>
              <w:rPr>
                <w:rFonts w:ascii="Book Antiqua" w:hAnsi="Book Antiqua"/>
                <w:b/>
              </w:rPr>
            </w:pPr>
            <w:r w:rsidRPr="00CC680F">
              <w:rPr>
                <w:rFonts w:ascii="Book Antiqua" w:hAnsi="Book Antiqua"/>
                <w:b/>
              </w:rPr>
              <w:t>Calling Service Rates</w:t>
            </w:r>
          </w:p>
        </w:tc>
        <w:tc>
          <w:tcPr>
            <w:tcW w:w="3420" w:type="dxa"/>
            <w:tcBorders>
              <w:top w:val="nil"/>
              <w:left w:val="nil"/>
              <w:bottom w:val="nil"/>
              <w:right w:val="single" w:color="auto" w:sz="4" w:space="0"/>
            </w:tcBorders>
            <w:shd w:val="clear" w:color="auto" w:fill="F2F2F2" w:themeFill="background1" w:themeFillShade="F2"/>
            <w:noWrap/>
            <w:vAlign w:val="bottom"/>
            <w:hideMark/>
          </w:tcPr>
          <w:p w:rsidRPr="00CC680F" w:rsidR="00B552EE" w:rsidP="0028444B" w:rsidRDefault="00B552EE" w14:paraId="6F7C4C53" w14:textId="77777777">
            <w:pPr>
              <w:jc w:val="center"/>
              <w:rPr>
                <w:rFonts w:ascii="Book Antiqua" w:hAnsi="Book Antiqua"/>
              </w:rPr>
            </w:pPr>
            <w:r w:rsidRPr="00CC680F">
              <w:rPr>
                <w:rFonts w:ascii="Book Antiqua" w:hAnsi="Book Antiqua"/>
              </w:rPr>
              <w:t> </w:t>
            </w:r>
          </w:p>
        </w:tc>
      </w:tr>
      <w:tr w:rsidRPr="00CC680F" w:rsidR="00B552EE" w:rsidTr="00CB6469" w14:paraId="45745CA4"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28444B" w:rsidRDefault="00B552EE" w14:paraId="36DD5C93" w14:textId="77777777">
            <w:pPr>
              <w:rPr>
                <w:rFonts w:ascii="Book Antiqua" w:hAnsi="Book Antiqua"/>
              </w:rPr>
            </w:pPr>
            <w:r w:rsidRPr="00CC680F">
              <w:rPr>
                <w:rFonts w:ascii="Book Antiqua" w:hAnsi="Book Antiqua"/>
              </w:rPr>
              <w:t>Highest per minute rate</w:t>
            </w:r>
          </w:p>
        </w:tc>
        <w:tc>
          <w:tcPr>
            <w:tcW w:w="3420" w:type="dxa"/>
            <w:tcBorders>
              <w:top w:val="nil"/>
              <w:left w:val="nil"/>
              <w:bottom w:val="nil"/>
              <w:right w:val="single" w:color="auto" w:sz="4" w:space="0"/>
            </w:tcBorders>
            <w:shd w:val="clear" w:color="auto" w:fill="auto"/>
            <w:noWrap/>
            <w:vAlign w:val="bottom"/>
            <w:hideMark/>
          </w:tcPr>
          <w:p w:rsidRPr="00CC680F" w:rsidR="00B552EE" w:rsidP="0028444B" w:rsidRDefault="00B552EE" w14:paraId="65353663" w14:textId="77777777">
            <w:pPr>
              <w:jc w:val="center"/>
              <w:rPr>
                <w:rFonts w:ascii="Book Antiqua" w:hAnsi="Book Antiqua"/>
              </w:rPr>
            </w:pPr>
            <w:r w:rsidRPr="00CC680F">
              <w:rPr>
                <w:rFonts w:ascii="Book Antiqua" w:hAnsi="Book Antiqua"/>
              </w:rPr>
              <w:t xml:space="preserve">$1.75 </w:t>
            </w:r>
          </w:p>
        </w:tc>
      </w:tr>
      <w:tr w:rsidRPr="00CC680F" w:rsidR="00B552EE" w:rsidTr="00CB6469" w14:paraId="640BB8C5"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28444B" w:rsidRDefault="00B552EE" w14:paraId="1C12CFE7" w14:textId="77777777">
            <w:pPr>
              <w:rPr>
                <w:rFonts w:ascii="Book Antiqua" w:hAnsi="Book Antiqua"/>
              </w:rPr>
            </w:pPr>
            <w:r w:rsidRPr="00CC680F">
              <w:rPr>
                <w:rFonts w:ascii="Book Antiqua" w:hAnsi="Book Antiqua"/>
              </w:rPr>
              <w:t>Highest 1st minute rate</w:t>
            </w:r>
          </w:p>
        </w:tc>
        <w:tc>
          <w:tcPr>
            <w:tcW w:w="3420" w:type="dxa"/>
            <w:tcBorders>
              <w:top w:val="nil"/>
              <w:left w:val="nil"/>
              <w:bottom w:val="nil"/>
              <w:right w:val="single" w:color="auto" w:sz="4" w:space="0"/>
            </w:tcBorders>
            <w:shd w:val="clear" w:color="auto" w:fill="auto"/>
            <w:noWrap/>
            <w:vAlign w:val="bottom"/>
            <w:hideMark/>
          </w:tcPr>
          <w:p w:rsidRPr="00CC680F" w:rsidR="00B552EE" w:rsidP="0028444B" w:rsidRDefault="00B552EE" w14:paraId="18BE9FF8" w14:textId="77777777">
            <w:pPr>
              <w:jc w:val="center"/>
              <w:rPr>
                <w:rFonts w:ascii="Book Antiqua" w:hAnsi="Book Antiqua"/>
              </w:rPr>
            </w:pPr>
            <w:r w:rsidRPr="00CC680F">
              <w:rPr>
                <w:rFonts w:ascii="Book Antiqua" w:hAnsi="Book Antiqua"/>
              </w:rPr>
              <w:t xml:space="preserve">$3.60 </w:t>
            </w:r>
          </w:p>
        </w:tc>
      </w:tr>
      <w:tr w:rsidRPr="00CC680F" w:rsidR="00B552EE" w:rsidTr="00CB6469" w14:paraId="7274C864" w14:textId="77777777">
        <w:trPr>
          <w:trHeight w:val="300"/>
        </w:trPr>
        <w:tc>
          <w:tcPr>
            <w:tcW w:w="5845" w:type="dxa"/>
            <w:tcBorders>
              <w:top w:val="nil"/>
              <w:left w:val="single" w:color="auto" w:sz="4" w:space="0"/>
              <w:bottom w:val="nil"/>
              <w:right w:val="nil"/>
            </w:tcBorders>
            <w:shd w:val="clear" w:color="auto" w:fill="F2F2F2" w:themeFill="background1" w:themeFillShade="F2"/>
            <w:noWrap/>
            <w:vAlign w:val="bottom"/>
            <w:hideMark/>
          </w:tcPr>
          <w:p w:rsidRPr="00CC680F" w:rsidR="00B552EE" w:rsidP="0028444B" w:rsidRDefault="00B552EE" w14:paraId="639CE014" w14:textId="77777777">
            <w:pPr>
              <w:rPr>
                <w:rFonts w:ascii="Book Antiqua" w:hAnsi="Book Antiqua"/>
                <w:b/>
              </w:rPr>
            </w:pPr>
            <w:r w:rsidRPr="00CC680F">
              <w:rPr>
                <w:rFonts w:ascii="Book Antiqua" w:hAnsi="Book Antiqua"/>
                <w:b/>
              </w:rPr>
              <w:t>Ancillary Charges</w:t>
            </w:r>
          </w:p>
        </w:tc>
        <w:tc>
          <w:tcPr>
            <w:tcW w:w="3420" w:type="dxa"/>
            <w:tcBorders>
              <w:top w:val="nil"/>
              <w:left w:val="nil"/>
              <w:bottom w:val="nil"/>
              <w:right w:val="single" w:color="auto" w:sz="4" w:space="0"/>
            </w:tcBorders>
            <w:shd w:val="clear" w:color="auto" w:fill="F2F2F2" w:themeFill="background1" w:themeFillShade="F2"/>
            <w:noWrap/>
            <w:vAlign w:val="bottom"/>
            <w:hideMark/>
          </w:tcPr>
          <w:p w:rsidRPr="00CC680F" w:rsidR="00B552EE" w:rsidP="0028444B" w:rsidRDefault="00B552EE" w14:paraId="144D3EF4" w14:textId="77777777">
            <w:pPr>
              <w:jc w:val="center"/>
              <w:rPr>
                <w:rFonts w:ascii="Book Antiqua" w:hAnsi="Book Antiqua"/>
              </w:rPr>
            </w:pPr>
            <w:r w:rsidRPr="00CC680F">
              <w:rPr>
                <w:rFonts w:ascii="Book Antiqua" w:hAnsi="Book Antiqua"/>
              </w:rPr>
              <w:t> </w:t>
            </w:r>
          </w:p>
        </w:tc>
      </w:tr>
      <w:tr w:rsidRPr="00CC680F" w:rsidR="00B552EE" w:rsidTr="00CB6469" w14:paraId="033E4966"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28444B" w:rsidRDefault="00B552EE" w14:paraId="0538958C" w14:textId="145F8A0F">
            <w:pPr>
              <w:rPr>
                <w:rFonts w:ascii="Book Antiqua" w:hAnsi="Book Antiqua"/>
              </w:rPr>
            </w:pPr>
            <w:r w:rsidRPr="00CC680F">
              <w:rPr>
                <w:rFonts w:ascii="Book Antiqua" w:hAnsi="Book Antiqua"/>
              </w:rPr>
              <w:t>Highest single</w:t>
            </w:r>
            <w:r w:rsidR="00B43C2C">
              <w:rPr>
                <w:rFonts w:ascii="Book Antiqua" w:hAnsi="Book Antiqua"/>
              </w:rPr>
              <w:t>-</w:t>
            </w:r>
            <w:r w:rsidRPr="00CC680F">
              <w:rPr>
                <w:rFonts w:ascii="Book Antiqua" w:hAnsi="Book Antiqua"/>
              </w:rPr>
              <w:t>call</w:t>
            </w:r>
            <w:r w:rsidR="00B43C2C">
              <w:rPr>
                <w:rFonts w:ascii="Book Antiqua" w:hAnsi="Book Antiqua"/>
              </w:rPr>
              <w:t xml:space="preserve"> </w:t>
            </w:r>
            <w:r w:rsidRPr="00CC680F">
              <w:rPr>
                <w:rFonts w:ascii="Book Antiqua" w:hAnsi="Book Antiqua"/>
              </w:rPr>
              <w:t>rate</w:t>
            </w:r>
          </w:p>
        </w:tc>
        <w:tc>
          <w:tcPr>
            <w:tcW w:w="3420" w:type="dxa"/>
            <w:tcBorders>
              <w:top w:val="nil"/>
              <w:left w:val="nil"/>
              <w:bottom w:val="nil"/>
              <w:right w:val="single" w:color="auto" w:sz="4" w:space="0"/>
            </w:tcBorders>
            <w:shd w:val="clear" w:color="auto" w:fill="auto"/>
            <w:noWrap/>
            <w:vAlign w:val="bottom"/>
            <w:hideMark/>
          </w:tcPr>
          <w:p w:rsidRPr="00CC680F" w:rsidR="00B552EE" w:rsidP="0028444B" w:rsidRDefault="00B552EE" w14:paraId="66CDE104" w14:textId="77777777">
            <w:pPr>
              <w:jc w:val="center"/>
              <w:rPr>
                <w:rFonts w:ascii="Book Antiqua" w:hAnsi="Book Antiqua"/>
              </w:rPr>
            </w:pPr>
            <w:r w:rsidRPr="00CC680F">
              <w:rPr>
                <w:rFonts w:ascii="Book Antiqua" w:hAnsi="Book Antiqua"/>
              </w:rPr>
              <w:t xml:space="preserve">$3.00 </w:t>
            </w:r>
          </w:p>
        </w:tc>
      </w:tr>
      <w:tr w:rsidRPr="00CC680F" w:rsidR="00B552EE" w:rsidTr="00CB6469" w14:paraId="1ECCCFFD"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28444B" w:rsidRDefault="00B552EE" w14:paraId="07927399" w14:textId="77777777">
            <w:pPr>
              <w:rPr>
                <w:rFonts w:ascii="Book Antiqua" w:hAnsi="Book Antiqua"/>
              </w:rPr>
            </w:pPr>
            <w:r w:rsidRPr="00CC680F">
              <w:rPr>
                <w:rFonts w:ascii="Book Antiqua" w:hAnsi="Book Antiqua"/>
              </w:rPr>
              <w:t>Highest automated payment charge</w:t>
            </w:r>
          </w:p>
        </w:tc>
        <w:tc>
          <w:tcPr>
            <w:tcW w:w="3420" w:type="dxa"/>
            <w:tcBorders>
              <w:top w:val="nil"/>
              <w:left w:val="nil"/>
              <w:bottom w:val="nil"/>
              <w:right w:val="single" w:color="auto" w:sz="4" w:space="0"/>
            </w:tcBorders>
            <w:shd w:val="clear" w:color="auto" w:fill="auto"/>
            <w:noWrap/>
            <w:vAlign w:val="bottom"/>
            <w:hideMark/>
          </w:tcPr>
          <w:p w:rsidRPr="00CC680F" w:rsidR="00B552EE" w:rsidP="0028444B" w:rsidRDefault="00B552EE" w14:paraId="18696823" w14:textId="77777777">
            <w:pPr>
              <w:jc w:val="center"/>
              <w:rPr>
                <w:rFonts w:ascii="Book Antiqua" w:hAnsi="Book Antiqua"/>
              </w:rPr>
            </w:pPr>
            <w:r w:rsidRPr="00CC680F">
              <w:rPr>
                <w:rFonts w:ascii="Book Antiqua" w:hAnsi="Book Antiqua"/>
              </w:rPr>
              <w:t xml:space="preserve">$3.00 </w:t>
            </w:r>
          </w:p>
        </w:tc>
      </w:tr>
      <w:tr w:rsidRPr="00CC680F" w:rsidR="00B552EE" w:rsidTr="00CB6469" w14:paraId="212494C6"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28444B" w:rsidRDefault="00B552EE" w14:paraId="3253D9DE" w14:textId="77777777">
            <w:pPr>
              <w:rPr>
                <w:rFonts w:ascii="Book Antiqua" w:hAnsi="Book Antiqua"/>
              </w:rPr>
            </w:pPr>
            <w:r w:rsidRPr="00CC680F">
              <w:rPr>
                <w:rFonts w:ascii="Book Antiqua" w:hAnsi="Book Antiqua"/>
              </w:rPr>
              <w:t>Highest third-party fee</w:t>
            </w:r>
          </w:p>
        </w:tc>
        <w:tc>
          <w:tcPr>
            <w:tcW w:w="3420" w:type="dxa"/>
            <w:tcBorders>
              <w:top w:val="nil"/>
              <w:left w:val="nil"/>
              <w:bottom w:val="nil"/>
              <w:right w:val="single" w:color="auto" w:sz="4" w:space="0"/>
            </w:tcBorders>
            <w:shd w:val="clear" w:color="auto" w:fill="auto"/>
            <w:noWrap/>
            <w:vAlign w:val="bottom"/>
            <w:hideMark/>
          </w:tcPr>
          <w:p w:rsidRPr="00CC680F" w:rsidR="00B552EE" w:rsidP="0028444B" w:rsidRDefault="00B552EE" w14:paraId="55D9D747" w14:textId="77777777">
            <w:pPr>
              <w:jc w:val="center"/>
              <w:rPr>
                <w:rFonts w:ascii="Book Antiqua" w:hAnsi="Book Antiqua"/>
              </w:rPr>
            </w:pPr>
            <w:r w:rsidRPr="00CC680F">
              <w:rPr>
                <w:rFonts w:ascii="Book Antiqua" w:hAnsi="Book Antiqua"/>
              </w:rPr>
              <w:t xml:space="preserve">$6.95 </w:t>
            </w:r>
          </w:p>
        </w:tc>
      </w:tr>
      <w:tr w:rsidRPr="00CC680F" w:rsidR="00B552EE" w:rsidTr="00CB6469" w14:paraId="57AB6F60" w14:textId="77777777">
        <w:trPr>
          <w:trHeight w:val="300"/>
        </w:trPr>
        <w:tc>
          <w:tcPr>
            <w:tcW w:w="5845" w:type="dxa"/>
            <w:tcBorders>
              <w:top w:val="nil"/>
              <w:left w:val="single" w:color="auto" w:sz="4" w:space="0"/>
              <w:bottom w:val="nil"/>
              <w:right w:val="nil"/>
            </w:tcBorders>
            <w:shd w:val="clear" w:color="auto" w:fill="auto"/>
            <w:noWrap/>
            <w:vAlign w:val="bottom"/>
            <w:hideMark/>
          </w:tcPr>
          <w:p w:rsidRPr="00CC680F" w:rsidR="00B552EE" w:rsidP="0028444B" w:rsidRDefault="00B552EE" w14:paraId="136C4726" w14:textId="77777777">
            <w:pPr>
              <w:rPr>
                <w:rFonts w:ascii="Book Antiqua" w:hAnsi="Book Antiqua"/>
              </w:rPr>
            </w:pPr>
            <w:r w:rsidRPr="00CC680F">
              <w:rPr>
                <w:rFonts w:ascii="Book Antiqua" w:hAnsi="Book Antiqua"/>
              </w:rPr>
              <w:t>Highest live agent fee</w:t>
            </w:r>
          </w:p>
        </w:tc>
        <w:tc>
          <w:tcPr>
            <w:tcW w:w="3420" w:type="dxa"/>
            <w:tcBorders>
              <w:top w:val="nil"/>
              <w:left w:val="nil"/>
              <w:bottom w:val="nil"/>
              <w:right w:val="single" w:color="auto" w:sz="4" w:space="0"/>
            </w:tcBorders>
            <w:shd w:val="clear" w:color="auto" w:fill="auto"/>
            <w:noWrap/>
            <w:vAlign w:val="bottom"/>
            <w:hideMark/>
          </w:tcPr>
          <w:p w:rsidRPr="00CC680F" w:rsidR="00B552EE" w:rsidP="0028444B" w:rsidRDefault="00B552EE" w14:paraId="3BF240C4" w14:textId="77777777">
            <w:pPr>
              <w:jc w:val="center"/>
              <w:rPr>
                <w:rFonts w:ascii="Book Antiqua" w:hAnsi="Book Antiqua"/>
              </w:rPr>
            </w:pPr>
            <w:r w:rsidRPr="00CC680F">
              <w:rPr>
                <w:rFonts w:ascii="Book Antiqua" w:hAnsi="Book Antiqua"/>
              </w:rPr>
              <w:t xml:space="preserve">$5.95 </w:t>
            </w:r>
          </w:p>
        </w:tc>
      </w:tr>
      <w:tr w:rsidRPr="00CC680F" w:rsidR="00B552EE" w:rsidTr="00CB6469" w14:paraId="21B3C6A9" w14:textId="77777777">
        <w:trPr>
          <w:trHeight w:val="300"/>
        </w:trPr>
        <w:tc>
          <w:tcPr>
            <w:tcW w:w="5845" w:type="dxa"/>
            <w:tcBorders>
              <w:top w:val="nil"/>
              <w:left w:val="single" w:color="auto" w:sz="4" w:space="0"/>
              <w:bottom w:val="single" w:color="auto" w:sz="4" w:space="0"/>
              <w:right w:val="nil"/>
            </w:tcBorders>
            <w:shd w:val="clear" w:color="auto" w:fill="auto"/>
            <w:noWrap/>
            <w:vAlign w:val="bottom"/>
            <w:hideMark/>
          </w:tcPr>
          <w:p w:rsidRPr="00CC680F" w:rsidR="00B552EE" w:rsidP="0028444B" w:rsidRDefault="00B552EE" w14:paraId="66DC9D59" w14:textId="77777777">
            <w:pPr>
              <w:rPr>
                <w:rFonts w:ascii="Book Antiqua" w:hAnsi="Book Antiqua"/>
              </w:rPr>
            </w:pPr>
            <w:r w:rsidRPr="00CC680F">
              <w:rPr>
                <w:rFonts w:ascii="Book Antiqua" w:hAnsi="Book Antiqua"/>
              </w:rPr>
              <w:t>Highest paper bill fee</w:t>
            </w:r>
          </w:p>
        </w:tc>
        <w:tc>
          <w:tcPr>
            <w:tcW w:w="3420" w:type="dxa"/>
            <w:tcBorders>
              <w:top w:val="nil"/>
              <w:left w:val="nil"/>
              <w:bottom w:val="single" w:color="auto" w:sz="4" w:space="0"/>
              <w:right w:val="single" w:color="auto" w:sz="4" w:space="0"/>
            </w:tcBorders>
            <w:shd w:val="clear" w:color="auto" w:fill="auto"/>
            <w:noWrap/>
            <w:vAlign w:val="bottom"/>
            <w:hideMark/>
          </w:tcPr>
          <w:p w:rsidRPr="00CC680F" w:rsidR="00B552EE" w:rsidP="0028444B" w:rsidRDefault="00B552EE" w14:paraId="388D599E" w14:textId="77777777">
            <w:pPr>
              <w:jc w:val="center"/>
              <w:rPr>
                <w:rFonts w:ascii="Book Antiqua" w:hAnsi="Book Antiqua"/>
              </w:rPr>
            </w:pPr>
            <w:r w:rsidRPr="00CC680F">
              <w:rPr>
                <w:rFonts w:ascii="Book Antiqua" w:hAnsi="Book Antiqua"/>
              </w:rPr>
              <w:t xml:space="preserve">$2.49 </w:t>
            </w:r>
          </w:p>
        </w:tc>
      </w:tr>
    </w:tbl>
    <w:p w:rsidRPr="00787A14" w:rsidR="00B552EE" w:rsidP="00681E08" w:rsidRDefault="00B552EE" w14:paraId="46E38725" w14:textId="77777777">
      <w:pPr>
        <w:pStyle w:val="Standard"/>
        <w:ind w:firstLine="720"/>
        <w:rPr>
          <w:sz w:val="12"/>
          <w:szCs w:val="12"/>
        </w:rPr>
      </w:pPr>
    </w:p>
    <w:p w:rsidR="00E2078D" w:rsidP="00ED4D93" w:rsidRDefault="00E2078D" w14:paraId="40F40AA3" w14:textId="7127882C">
      <w:pPr>
        <w:pStyle w:val="Standard"/>
        <w:ind w:firstLine="720"/>
        <w:rPr>
          <w:sz w:val="26"/>
          <w:szCs w:val="26"/>
        </w:rPr>
      </w:pPr>
      <w:r>
        <w:rPr>
          <w:sz w:val="26"/>
          <w:szCs w:val="26"/>
        </w:rPr>
        <w:t xml:space="preserve">Staff also </w:t>
      </w:r>
      <w:r w:rsidR="00F53B60">
        <w:rPr>
          <w:sz w:val="26"/>
          <w:szCs w:val="26"/>
        </w:rPr>
        <w:t>identif</w:t>
      </w:r>
      <w:r w:rsidR="73B088B9">
        <w:rPr>
          <w:sz w:val="26"/>
          <w:szCs w:val="26"/>
        </w:rPr>
        <w:t>ied</w:t>
      </w:r>
      <w:r w:rsidR="00F53B60">
        <w:rPr>
          <w:sz w:val="26"/>
          <w:szCs w:val="26"/>
        </w:rPr>
        <w:t xml:space="preserve"> the </w:t>
      </w:r>
      <w:r w:rsidRPr="007B5400" w:rsidR="007B5400">
        <w:rPr>
          <w:sz w:val="26"/>
          <w:szCs w:val="26"/>
        </w:rPr>
        <w:t xml:space="preserve">fees and charges included in </w:t>
      </w:r>
      <w:r w:rsidR="00203EDB">
        <w:rPr>
          <w:sz w:val="26"/>
          <w:szCs w:val="26"/>
        </w:rPr>
        <w:t xml:space="preserve">IPCS </w:t>
      </w:r>
      <w:r w:rsidRPr="007B5400" w:rsidR="007B5400">
        <w:rPr>
          <w:sz w:val="26"/>
          <w:szCs w:val="26"/>
        </w:rPr>
        <w:t>service contracts</w:t>
      </w:r>
      <w:r w:rsidR="00F53B60">
        <w:rPr>
          <w:sz w:val="26"/>
          <w:szCs w:val="26"/>
        </w:rPr>
        <w:t xml:space="preserve"> </w:t>
      </w:r>
      <w:r w:rsidRPr="00E2078D">
        <w:rPr>
          <w:sz w:val="26"/>
          <w:szCs w:val="26"/>
        </w:rPr>
        <w:t>show</w:t>
      </w:r>
      <w:r w:rsidR="00F53B60">
        <w:rPr>
          <w:sz w:val="26"/>
          <w:szCs w:val="26"/>
        </w:rPr>
        <w:t>ing</w:t>
      </w:r>
      <w:r w:rsidRPr="00E2078D">
        <w:rPr>
          <w:sz w:val="26"/>
          <w:szCs w:val="26"/>
        </w:rPr>
        <w:t xml:space="preserve"> the extent of the various charges carriers currently provide</w:t>
      </w:r>
      <w:r w:rsidR="00F53B60">
        <w:rPr>
          <w:sz w:val="26"/>
          <w:szCs w:val="26"/>
        </w:rPr>
        <w:t xml:space="preserve">.  Staff found that </w:t>
      </w:r>
      <w:r w:rsidRPr="00E2078D">
        <w:rPr>
          <w:sz w:val="26"/>
          <w:szCs w:val="26"/>
        </w:rPr>
        <w:t>the per-minute</w:t>
      </w:r>
      <w:r w:rsidR="002B0B7F">
        <w:rPr>
          <w:sz w:val="26"/>
          <w:szCs w:val="26"/>
        </w:rPr>
        <w:t xml:space="preserve"> charges</w:t>
      </w:r>
      <w:r w:rsidR="001277E2">
        <w:rPr>
          <w:sz w:val="26"/>
          <w:szCs w:val="26"/>
        </w:rPr>
        <w:t xml:space="preserve"> </w:t>
      </w:r>
      <w:r w:rsidR="00B056D5">
        <w:rPr>
          <w:sz w:val="26"/>
          <w:szCs w:val="26"/>
        </w:rPr>
        <w:t xml:space="preserve">summarized </w:t>
      </w:r>
      <w:r w:rsidR="00F53B60">
        <w:rPr>
          <w:sz w:val="26"/>
          <w:szCs w:val="26"/>
        </w:rPr>
        <w:t xml:space="preserve">in </w:t>
      </w:r>
      <w:r w:rsidR="00AE3242">
        <w:rPr>
          <w:sz w:val="26"/>
          <w:szCs w:val="26"/>
        </w:rPr>
        <w:t xml:space="preserve">Table </w:t>
      </w:r>
      <w:r w:rsidR="006A741A">
        <w:rPr>
          <w:sz w:val="26"/>
          <w:szCs w:val="26"/>
        </w:rPr>
        <w:t>2</w:t>
      </w:r>
      <w:r w:rsidR="00F53B60">
        <w:rPr>
          <w:sz w:val="26"/>
          <w:szCs w:val="26"/>
        </w:rPr>
        <w:t xml:space="preserve"> </w:t>
      </w:r>
      <w:r w:rsidRPr="00E2078D">
        <w:rPr>
          <w:sz w:val="26"/>
          <w:szCs w:val="26"/>
        </w:rPr>
        <w:t xml:space="preserve">are only a portion of the </w:t>
      </w:r>
      <w:proofErr w:type="gramStart"/>
      <w:r w:rsidRPr="00E2078D">
        <w:rPr>
          <w:sz w:val="26"/>
          <w:szCs w:val="26"/>
        </w:rPr>
        <w:t>fees</w:t>
      </w:r>
      <w:proofErr w:type="gramEnd"/>
      <w:r w:rsidRPr="00E2078D">
        <w:rPr>
          <w:sz w:val="26"/>
          <w:szCs w:val="26"/>
        </w:rPr>
        <w:t xml:space="preserve"> in</w:t>
      </w:r>
      <w:r w:rsidR="00203EDB">
        <w:rPr>
          <w:sz w:val="26"/>
          <w:szCs w:val="26"/>
        </w:rPr>
        <w:t>carcerated persons</w:t>
      </w:r>
      <w:r w:rsidRPr="00E2078D">
        <w:rPr>
          <w:sz w:val="26"/>
          <w:szCs w:val="26"/>
        </w:rPr>
        <w:t xml:space="preserve"> are subject to.  </w:t>
      </w:r>
      <w:r w:rsidR="00B056D5">
        <w:rPr>
          <w:sz w:val="26"/>
          <w:szCs w:val="26"/>
        </w:rPr>
        <w:t xml:space="preserve">Staff </w:t>
      </w:r>
      <w:r w:rsidR="00F53B60">
        <w:rPr>
          <w:sz w:val="26"/>
          <w:szCs w:val="26"/>
        </w:rPr>
        <w:t xml:space="preserve">found </w:t>
      </w:r>
      <w:r w:rsidR="00B056D5">
        <w:rPr>
          <w:sz w:val="26"/>
          <w:szCs w:val="26"/>
        </w:rPr>
        <w:t>that m</w:t>
      </w:r>
      <w:r w:rsidRPr="00E2078D">
        <w:rPr>
          <w:sz w:val="26"/>
          <w:szCs w:val="26"/>
        </w:rPr>
        <w:t xml:space="preserve">ost of the </w:t>
      </w:r>
      <w:r w:rsidR="00B056D5">
        <w:rPr>
          <w:sz w:val="26"/>
          <w:szCs w:val="26"/>
        </w:rPr>
        <w:t>fees</w:t>
      </w:r>
      <w:r w:rsidR="00A61961">
        <w:rPr>
          <w:sz w:val="26"/>
          <w:szCs w:val="26"/>
        </w:rPr>
        <w:t xml:space="preserve"> </w:t>
      </w:r>
      <w:r w:rsidR="00F53B60">
        <w:rPr>
          <w:sz w:val="26"/>
          <w:szCs w:val="26"/>
        </w:rPr>
        <w:t xml:space="preserve">intrastate IPCS providers are currently charging </w:t>
      </w:r>
      <w:r w:rsidRPr="00E2078D">
        <w:rPr>
          <w:sz w:val="26"/>
          <w:szCs w:val="26"/>
        </w:rPr>
        <w:t>are not imposed in any other segment of the telecommunication market in California</w:t>
      </w:r>
      <w:r w:rsidR="00ED4D93">
        <w:rPr>
          <w:sz w:val="26"/>
          <w:szCs w:val="26"/>
        </w:rPr>
        <w:t>.</w:t>
      </w:r>
      <w:r w:rsidR="00ED4D93">
        <w:rPr>
          <w:rStyle w:val="FootnoteReference"/>
          <w:sz w:val="26"/>
          <w:szCs w:val="26"/>
        </w:rPr>
        <w:footnoteReference w:id="80"/>
      </w:r>
      <w:r w:rsidR="00ED4D93">
        <w:rPr>
          <w:sz w:val="26"/>
          <w:szCs w:val="26"/>
        </w:rPr>
        <w:t xml:space="preserve"> </w:t>
      </w:r>
      <w:r w:rsidRPr="00E2078D">
        <w:rPr>
          <w:sz w:val="26"/>
          <w:szCs w:val="26"/>
        </w:rPr>
        <w:t xml:space="preserve">  </w:t>
      </w:r>
    </w:p>
    <w:p w:rsidR="0013155C" w:rsidP="00D84FFC" w:rsidRDefault="00F53B60" w14:paraId="18037389" w14:textId="6F458045">
      <w:pPr>
        <w:pStyle w:val="Standard"/>
        <w:ind w:firstLine="720"/>
        <w:rPr>
          <w:sz w:val="26"/>
          <w:szCs w:val="26"/>
        </w:rPr>
      </w:pPr>
      <w:r>
        <w:rPr>
          <w:sz w:val="26"/>
          <w:szCs w:val="26"/>
        </w:rPr>
        <w:t xml:space="preserve">As a result of these </w:t>
      </w:r>
      <w:r w:rsidR="00B539A3">
        <w:rPr>
          <w:sz w:val="26"/>
          <w:szCs w:val="26"/>
        </w:rPr>
        <w:t>and other</w:t>
      </w:r>
      <w:r>
        <w:rPr>
          <w:sz w:val="26"/>
          <w:szCs w:val="26"/>
        </w:rPr>
        <w:t xml:space="preserve"> findings, </w:t>
      </w:r>
      <w:r w:rsidR="003328E8">
        <w:rPr>
          <w:sz w:val="26"/>
          <w:szCs w:val="26"/>
        </w:rPr>
        <w:t xml:space="preserve">the </w:t>
      </w:r>
      <w:r>
        <w:rPr>
          <w:sz w:val="26"/>
          <w:szCs w:val="26"/>
        </w:rPr>
        <w:t>S</w:t>
      </w:r>
      <w:r w:rsidR="00F223C3">
        <w:rPr>
          <w:sz w:val="26"/>
          <w:szCs w:val="26"/>
        </w:rPr>
        <w:t xml:space="preserve">taff </w:t>
      </w:r>
      <w:r w:rsidR="003328E8">
        <w:rPr>
          <w:sz w:val="26"/>
          <w:szCs w:val="26"/>
        </w:rPr>
        <w:t>Proposal concludes</w:t>
      </w:r>
      <w:r w:rsidR="00F0386B">
        <w:rPr>
          <w:sz w:val="26"/>
          <w:szCs w:val="26"/>
        </w:rPr>
        <w:t xml:space="preserve"> </w:t>
      </w:r>
      <w:r w:rsidR="00F223C3">
        <w:rPr>
          <w:sz w:val="26"/>
          <w:szCs w:val="26"/>
        </w:rPr>
        <w:t xml:space="preserve">that </w:t>
      </w:r>
      <w:r>
        <w:rPr>
          <w:sz w:val="26"/>
          <w:szCs w:val="26"/>
        </w:rPr>
        <w:t xml:space="preserve">intrastate IPCS providers </w:t>
      </w:r>
      <w:r w:rsidR="003328E8">
        <w:rPr>
          <w:sz w:val="26"/>
          <w:szCs w:val="26"/>
        </w:rPr>
        <w:t xml:space="preserve">are </w:t>
      </w:r>
      <w:r>
        <w:rPr>
          <w:sz w:val="26"/>
          <w:szCs w:val="26"/>
        </w:rPr>
        <w:t xml:space="preserve">operating </w:t>
      </w:r>
      <w:r w:rsidR="00F223C3">
        <w:rPr>
          <w:sz w:val="26"/>
          <w:szCs w:val="26"/>
        </w:rPr>
        <w:t>“</w:t>
      </w:r>
      <w:r w:rsidRPr="00F223C3" w:rsidR="00F223C3">
        <w:rPr>
          <w:sz w:val="26"/>
          <w:szCs w:val="26"/>
        </w:rPr>
        <w:t xml:space="preserve">monopolies and are charging inmates </w:t>
      </w:r>
      <w:r w:rsidRPr="00F223C3" w:rsidR="00F223C3">
        <w:rPr>
          <w:sz w:val="26"/>
          <w:szCs w:val="26"/>
        </w:rPr>
        <w:lastRenderedPageBreak/>
        <w:t xml:space="preserve">and their </w:t>
      </w:r>
      <w:proofErr w:type="gramStart"/>
      <w:r w:rsidRPr="00F223C3" w:rsidR="00F223C3">
        <w:rPr>
          <w:sz w:val="26"/>
          <w:szCs w:val="26"/>
        </w:rPr>
        <w:t>families</w:t>
      </w:r>
      <w:proofErr w:type="gramEnd"/>
      <w:r w:rsidRPr="00F223C3" w:rsidR="00F223C3">
        <w:rPr>
          <w:sz w:val="26"/>
          <w:szCs w:val="26"/>
        </w:rPr>
        <w:t xml:space="preserve"> unreasonable rates, which is unlawful.</w:t>
      </w:r>
      <w:r w:rsidR="00F223C3">
        <w:rPr>
          <w:sz w:val="26"/>
          <w:szCs w:val="26"/>
        </w:rPr>
        <w:t>”</w:t>
      </w:r>
      <w:r w:rsidR="0013155C">
        <w:rPr>
          <w:rStyle w:val="FootnoteReference"/>
          <w:sz w:val="26"/>
          <w:szCs w:val="26"/>
        </w:rPr>
        <w:footnoteReference w:id="81"/>
      </w:r>
      <w:r w:rsidR="00A95512">
        <w:rPr>
          <w:sz w:val="26"/>
          <w:szCs w:val="26"/>
        </w:rPr>
        <w:t xml:space="preserve">  </w:t>
      </w:r>
      <w:r w:rsidRPr="00A95512" w:rsidR="00A95512">
        <w:rPr>
          <w:sz w:val="26"/>
          <w:szCs w:val="26"/>
        </w:rPr>
        <w:t xml:space="preserve">Staff </w:t>
      </w:r>
      <w:r w:rsidR="00A95512">
        <w:rPr>
          <w:sz w:val="26"/>
          <w:szCs w:val="26"/>
        </w:rPr>
        <w:t xml:space="preserve">also assert that the IPCS </w:t>
      </w:r>
      <w:r w:rsidRPr="00A95512" w:rsidR="00A95512">
        <w:rPr>
          <w:sz w:val="26"/>
          <w:szCs w:val="26"/>
        </w:rPr>
        <w:t xml:space="preserve">market </w:t>
      </w:r>
      <w:r w:rsidR="00FD04D0">
        <w:rPr>
          <w:sz w:val="26"/>
          <w:szCs w:val="26"/>
        </w:rPr>
        <w:t>“</w:t>
      </w:r>
      <w:r w:rsidRPr="00A95512" w:rsidR="00A95512">
        <w:rPr>
          <w:sz w:val="26"/>
          <w:szCs w:val="26"/>
        </w:rPr>
        <w:t>demonstrates market power abuse</w:t>
      </w:r>
      <w:r w:rsidR="00934A47">
        <w:rPr>
          <w:sz w:val="26"/>
          <w:szCs w:val="26"/>
        </w:rPr>
        <w:t>:</w:t>
      </w:r>
      <w:r w:rsidR="00FD04D0">
        <w:rPr>
          <w:sz w:val="26"/>
          <w:szCs w:val="26"/>
        </w:rPr>
        <w:t>”</w:t>
      </w:r>
      <w:r w:rsidR="00FD04D0">
        <w:rPr>
          <w:rStyle w:val="FootnoteReference"/>
          <w:sz w:val="26"/>
          <w:szCs w:val="26"/>
        </w:rPr>
        <w:footnoteReference w:id="82"/>
      </w:r>
      <w:r w:rsidRPr="00A95512" w:rsidR="00A95512">
        <w:rPr>
          <w:sz w:val="26"/>
          <w:szCs w:val="26"/>
        </w:rPr>
        <w:t xml:space="preserve"> </w:t>
      </w:r>
    </w:p>
    <w:p w:rsidRPr="00EE20CD" w:rsidR="0013155C" w:rsidP="00787A14" w:rsidRDefault="0013155C" w14:paraId="57740E75" w14:textId="109A802D">
      <w:pPr>
        <w:pStyle w:val="BlockQuote"/>
        <w:spacing w:line="240" w:lineRule="auto"/>
        <w:ind w:right="1440"/>
        <w:rPr>
          <w:sz w:val="26"/>
          <w:szCs w:val="26"/>
        </w:rPr>
      </w:pPr>
      <w:r w:rsidRPr="00EE20CD">
        <w:rPr>
          <w:sz w:val="26"/>
          <w:szCs w:val="26"/>
        </w:rPr>
        <w:t>Staff was unable to identify any instance in which an inmate or any person communicating with an</w:t>
      </w:r>
      <w:r w:rsidR="00203EDB">
        <w:rPr>
          <w:sz w:val="26"/>
          <w:szCs w:val="26"/>
        </w:rPr>
        <w:t xml:space="preserve"> [incarcerated person]</w:t>
      </w:r>
      <w:r w:rsidRPr="00EE20CD">
        <w:rPr>
          <w:sz w:val="26"/>
          <w:szCs w:val="26"/>
        </w:rPr>
        <w:t xml:space="preserve"> has a choice of service provider.  Accordingly, </w:t>
      </w:r>
      <w:r w:rsidR="00203EDB">
        <w:rPr>
          <w:sz w:val="26"/>
          <w:szCs w:val="26"/>
        </w:rPr>
        <w:t xml:space="preserve">[incarcerated person’s] </w:t>
      </w:r>
      <w:r w:rsidRPr="00EE20CD">
        <w:rPr>
          <w:sz w:val="26"/>
          <w:szCs w:val="26"/>
        </w:rPr>
        <w:t xml:space="preserve">calling services providers are the sole providers within any given detention center.  </w:t>
      </w:r>
      <w:proofErr w:type="gramStart"/>
      <w:r w:rsidRPr="00EE20CD">
        <w:rPr>
          <w:sz w:val="26"/>
          <w:szCs w:val="26"/>
        </w:rPr>
        <w:t>In</w:t>
      </w:r>
      <w:r w:rsidR="00203EDB">
        <w:rPr>
          <w:sz w:val="26"/>
          <w:szCs w:val="26"/>
        </w:rPr>
        <w:t>[</w:t>
      </w:r>
      <w:proofErr w:type="spellStart"/>
      <w:proofErr w:type="gramEnd"/>
      <w:r w:rsidR="00203EDB">
        <w:rPr>
          <w:sz w:val="26"/>
          <w:szCs w:val="26"/>
        </w:rPr>
        <w:t>carcerated</w:t>
      </w:r>
      <w:proofErr w:type="spellEnd"/>
      <w:r w:rsidR="00203EDB">
        <w:rPr>
          <w:sz w:val="26"/>
          <w:szCs w:val="26"/>
        </w:rPr>
        <w:t xml:space="preserve"> persons]</w:t>
      </w:r>
      <w:r w:rsidRPr="00EE20CD">
        <w:rPr>
          <w:sz w:val="26"/>
          <w:szCs w:val="26"/>
        </w:rPr>
        <w:t xml:space="preserve"> are a captive customer class who have no choice in service provider, and therefore, must pay exorbitant communication service rates or forego communication with family or friends.</w:t>
      </w:r>
      <w:r w:rsidRPr="00EE20CD">
        <w:rPr>
          <w:rStyle w:val="FootnoteReference"/>
          <w:sz w:val="26"/>
          <w:szCs w:val="26"/>
        </w:rPr>
        <w:footnoteReference w:id="83"/>
      </w:r>
    </w:p>
    <w:p w:rsidR="00D84FFC" w:rsidP="00D84FFC" w:rsidRDefault="00F223C3" w14:paraId="28FC97EB" w14:textId="1BE485D0">
      <w:pPr>
        <w:pStyle w:val="Standard"/>
        <w:ind w:firstLine="720"/>
        <w:rPr>
          <w:sz w:val="26"/>
          <w:szCs w:val="26"/>
        </w:rPr>
      </w:pPr>
      <w:r>
        <w:rPr>
          <w:sz w:val="26"/>
          <w:szCs w:val="26"/>
        </w:rPr>
        <w:t xml:space="preserve"> </w:t>
      </w:r>
      <w:r w:rsidR="00D5696D">
        <w:rPr>
          <w:sz w:val="26"/>
          <w:szCs w:val="26"/>
        </w:rPr>
        <w:t xml:space="preserve">Based on their research, </w:t>
      </w:r>
      <w:r w:rsidR="00F0386B">
        <w:rPr>
          <w:sz w:val="26"/>
          <w:szCs w:val="26"/>
        </w:rPr>
        <w:t xml:space="preserve">Staff </w:t>
      </w:r>
      <w:r w:rsidRPr="00D84FFC" w:rsidR="00F0386B">
        <w:rPr>
          <w:sz w:val="26"/>
          <w:szCs w:val="26"/>
        </w:rPr>
        <w:t xml:space="preserve">recommend </w:t>
      </w:r>
      <w:r w:rsidR="00F0386B">
        <w:rPr>
          <w:sz w:val="26"/>
          <w:szCs w:val="26"/>
        </w:rPr>
        <w:t xml:space="preserve">that </w:t>
      </w:r>
      <w:r w:rsidRPr="00D84FFC" w:rsidR="00F0386B">
        <w:rPr>
          <w:sz w:val="26"/>
          <w:szCs w:val="26"/>
        </w:rPr>
        <w:t>the C</w:t>
      </w:r>
      <w:r w:rsidR="00E32A9F">
        <w:rPr>
          <w:sz w:val="26"/>
          <w:szCs w:val="26"/>
        </w:rPr>
        <w:t xml:space="preserve">ommission </w:t>
      </w:r>
      <w:r w:rsidRPr="00D84FFC" w:rsidR="00F0386B">
        <w:rPr>
          <w:sz w:val="26"/>
          <w:szCs w:val="26"/>
        </w:rPr>
        <w:t>take immediate action to institute interim rate relief</w:t>
      </w:r>
      <w:r w:rsidR="00345F93">
        <w:rPr>
          <w:sz w:val="26"/>
          <w:szCs w:val="26"/>
        </w:rPr>
        <w:t xml:space="preserve">. </w:t>
      </w:r>
    </w:p>
    <w:p w:rsidR="00DA6A65" w:rsidP="00DA6A65" w:rsidRDefault="00BD1DB2" w14:paraId="6897AC4E" w14:textId="2E2CF44A">
      <w:pPr>
        <w:pStyle w:val="Heading2"/>
      </w:pPr>
      <w:bookmarkStart w:name="_Toc80089396" w:id="32"/>
      <w:r>
        <w:t>5.2</w:t>
      </w:r>
      <w:r>
        <w:tab/>
      </w:r>
      <w:r w:rsidR="00DA6A65">
        <w:t xml:space="preserve">Cal Advocates’ </w:t>
      </w:r>
      <w:r w:rsidR="00E609CE">
        <w:t xml:space="preserve">Findings on </w:t>
      </w:r>
      <w:r w:rsidR="00DA6A65">
        <w:t xml:space="preserve">IPCS </w:t>
      </w:r>
      <w:r w:rsidR="00E609CE">
        <w:t>Rates</w:t>
      </w:r>
      <w:bookmarkEnd w:id="32"/>
    </w:p>
    <w:p w:rsidR="00DA6A65" w:rsidP="00DA6A65" w:rsidRDefault="00DA6A65" w14:paraId="436A8482" w14:textId="0324EE8D">
      <w:pPr>
        <w:pStyle w:val="Standard"/>
        <w:ind w:firstLine="720"/>
        <w:rPr>
          <w:sz w:val="26"/>
          <w:szCs w:val="26"/>
        </w:rPr>
      </w:pPr>
      <w:r w:rsidRPr="001F1B01">
        <w:rPr>
          <w:sz w:val="26"/>
          <w:szCs w:val="26"/>
        </w:rPr>
        <w:t xml:space="preserve">Cal Advocates presents </w:t>
      </w:r>
      <w:r>
        <w:rPr>
          <w:sz w:val="26"/>
          <w:szCs w:val="26"/>
        </w:rPr>
        <w:t xml:space="preserve">a detailed </w:t>
      </w:r>
      <w:r w:rsidRPr="001F1B01">
        <w:rPr>
          <w:sz w:val="26"/>
          <w:szCs w:val="26"/>
        </w:rPr>
        <w:t xml:space="preserve">analysis </w:t>
      </w:r>
      <w:r>
        <w:rPr>
          <w:sz w:val="26"/>
          <w:szCs w:val="26"/>
        </w:rPr>
        <w:t xml:space="preserve">of intrastate </w:t>
      </w:r>
      <w:r w:rsidRPr="001F1B01">
        <w:rPr>
          <w:sz w:val="26"/>
          <w:szCs w:val="26"/>
        </w:rPr>
        <w:t>IPCS rates in California</w:t>
      </w:r>
      <w:r w:rsidR="00592686">
        <w:rPr>
          <w:sz w:val="26"/>
          <w:szCs w:val="26"/>
        </w:rPr>
        <w:t xml:space="preserve"> </w:t>
      </w:r>
      <w:r>
        <w:rPr>
          <w:sz w:val="26"/>
          <w:szCs w:val="26"/>
        </w:rPr>
        <w:t>to supplement Staff’s analysis.</w:t>
      </w:r>
      <w:r w:rsidR="00592686">
        <w:rPr>
          <w:sz w:val="26"/>
          <w:szCs w:val="26"/>
        </w:rPr>
        <w:t xml:space="preserve">  Cal Advocates bases its analysis on data request responses from four of California’s largest IPCS providers- Securus, GTL, IC</w:t>
      </w:r>
      <w:r w:rsidR="00E362DD">
        <w:rPr>
          <w:sz w:val="26"/>
          <w:szCs w:val="26"/>
        </w:rPr>
        <w:t xml:space="preserve"> </w:t>
      </w:r>
      <w:r w:rsidR="00592686">
        <w:rPr>
          <w:sz w:val="26"/>
          <w:szCs w:val="26"/>
        </w:rPr>
        <w:t>Solutions, and NCIC Inmate Communications.</w:t>
      </w:r>
      <w:r>
        <w:rPr>
          <w:rStyle w:val="FootnoteReference"/>
          <w:sz w:val="26"/>
          <w:szCs w:val="26"/>
        </w:rPr>
        <w:footnoteReference w:id="84"/>
      </w:r>
      <w:r>
        <w:rPr>
          <w:sz w:val="26"/>
          <w:szCs w:val="26"/>
        </w:rPr>
        <w:t xml:space="preserve">  </w:t>
      </w:r>
    </w:p>
    <w:p w:rsidR="00714499" w:rsidP="005974AF" w:rsidRDefault="00DA6A65" w14:paraId="3A0E2130" w14:textId="54D5FC8C">
      <w:pPr>
        <w:pStyle w:val="Standard"/>
        <w:spacing w:after="120"/>
        <w:ind w:firstLine="720"/>
        <w:rPr>
          <w:sz w:val="26"/>
          <w:szCs w:val="26"/>
        </w:rPr>
      </w:pPr>
      <w:r w:rsidRPr="001F1B01">
        <w:rPr>
          <w:sz w:val="26"/>
          <w:szCs w:val="26"/>
        </w:rPr>
        <w:t xml:space="preserve">Cal Advocates </w:t>
      </w:r>
      <w:r w:rsidR="00A61961">
        <w:rPr>
          <w:sz w:val="26"/>
          <w:szCs w:val="26"/>
        </w:rPr>
        <w:t xml:space="preserve">concludes </w:t>
      </w:r>
      <w:r w:rsidR="00965893">
        <w:rPr>
          <w:sz w:val="26"/>
          <w:szCs w:val="26"/>
        </w:rPr>
        <w:t>that t</w:t>
      </w:r>
      <w:r w:rsidRPr="00965893" w:rsidR="00965893">
        <w:rPr>
          <w:sz w:val="26"/>
          <w:szCs w:val="26"/>
        </w:rPr>
        <w:t>he average per-minute calling rates for intrastate I</w:t>
      </w:r>
      <w:r w:rsidR="00965893">
        <w:rPr>
          <w:sz w:val="26"/>
          <w:szCs w:val="26"/>
        </w:rPr>
        <w:t>P</w:t>
      </w:r>
      <w:r w:rsidRPr="00965893" w:rsidR="00965893">
        <w:rPr>
          <w:sz w:val="26"/>
          <w:szCs w:val="26"/>
        </w:rPr>
        <w:t>CS in California var</w:t>
      </w:r>
      <w:r w:rsidR="00A61961">
        <w:rPr>
          <w:sz w:val="26"/>
          <w:szCs w:val="26"/>
        </w:rPr>
        <w:t xml:space="preserve">y significantly </w:t>
      </w:r>
      <w:r w:rsidRPr="00965893" w:rsidR="00965893">
        <w:rPr>
          <w:sz w:val="26"/>
          <w:szCs w:val="26"/>
        </w:rPr>
        <w:t>by incarceration facility type (prison, county, and local jails for example), with the highest rates often being two to three times more expensive than the state-wide</w:t>
      </w:r>
      <w:r w:rsidR="00B653FF">
        <w:rPr>
          <w:sz w:val="26"/>
          <w:szCs w:val="26"/>
        </w:rPr>
        <w:t xml:space="preserve"> average rate</w:t>
      </w:r>
      <w:r w:rsidR="00714499">
        <w:rPr>
          <w:sz w:val="26"/>
          <w:szCs w:val="26"/>
        </w:rPr>
        <w:t xml:space="preserve">.  We reproduce Cal Advocates’ summary findings in </w:t>
      </w:r>
      <w:r w:rsidR="005D4879">
        <w:rPr>
          <w:sz w:val="26"/>
          <w:szCs w:val="26"/>
        </w:rPr>
        <w:t>Figure 1</w:t>
      </w:r>
      <w:r w:rsidR="00714499">
        <w:rPr>
          <w:sz w:val="26"/>
          <w:szCs w:val="26"/>
        </w:rPr>
        <w:t xml:space="preserve"> below:</w:t>
      </w:r>
    </w:p>
    <w:p w:rsidR="00714499" w:rsidP="00662204" w:rsidRDefault="00714499" w14:paraId="0F22AA33" w14:textId="0B31F7AF">
      <w:pPr>
        <w:pStyle w:val="Standard"/>
        <w:spacing w:after="120" w:line="240" w:lineRule="auto"/>
        <w:rPr>
          <w:sz w:val="26"/>
          <w:szCs w:val="26"/>
        </w:rPr>
      </w:pPr>
      <w:r w:rsidRPr="00EC6AF8">
        <w:rPr>
          <w:b/>
          <w:bCs/>
          <w:sz w:val="26"/>
          <w:szCs w:val="26"/>
        </w:rPr>
        <w:lastRenderedPageBreak/>
        <w:t xml:space="preserve">Figure 1:  </w:t>
      </w:r>
      <w:r w:rsidR="00662204">
        <w:rPr>
          <w:b/>
          <w:bCs/>
          <w:sz w:val="26"/>
          <w:szCs w:val="26"/>
        </w:rPr>
        <w:t xml:space="preserve"> </w:t>
      </w:r>
      <w:r w:rsidRPr="00EC6AF8">
        <w:rPr>
          <w:b/>
          <w:bCs/>
          <w:sz w:val="26"/>
          <w:szCs w:val="26"/>
        </w:rPr>
        <w:t>California Intrastate IPCS Pre-Paid Call Per-Minute Rates by Facility Type</w:t>
      </w:r>
      <w:r w:rsidRPr="00EC6AF8" w:rsidR="00EC6AF8">
        <w:rPr>
          <w:rStyle w:val="FootnoteReference"/>
          <w:b/>
          <w:bCs/>
          <w:sz w:val="26"/>
          <w:szCs w:val="26"/>
        </w:rPr>
        <w:footnoteReference w:id="85"/>
      </w:r>
      <w:r w:rsidRPr="005943EE" w:rsidR="005943EE">
        <w:rPr>
          <w:noProof/>
        </w:rPr>
        <w:t xml:space="preserve"> </w:t>
      </w:r>
      <w:r w:rsidR="005943EE">
        <w:rPr>
          <w:noProof/>
        </w:rPr>
        <w:drawing>
          <wp:inline distT="0" distB="0" distL="0" distR="0" wp14:anchorId="2CC0EDA6" wp14:editId="67B6954B">
            <wp:extent cx="5943600" cy="3034030"/>
            <wp:effectExtent l="0" t="0" r="12700" b="13970"/>
            <wp:docPr id="2" name="Chart 2">
              <a:extLst xmlns:a="http://schemas.openxmlformats.org/drawingml/2006/main">
                <a:ext uri="{FF2B5EF4-FFF2-40B4-BE49-F238E27FC236}">
                  <a16:creationId xmlns:a16="http://schemas.microsoft.com/office/drawing/2014/main" id="{C40E59F8-72E3-AA4F-934A-11B2629C2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4499" w:rsidP="00714499" w:rsidRDefault="00714499" w14:paraId="401FA9F1" w14:textId="30466E09">
      <w:pPr>
        <w:pStyle w:val="Standard"/>
        <w:ind w:firstLine="720"/>
        <w:rPr>
          <w:sz w:val="26"/>
          <w:szCs w:val="26"/>
        </w:rPr>
      </w:pPr>
      <w:r>
        <w:rPr>
          <w:sz w:val="26"/>
          <w:szCs w:val="26"/>
        </w:rPr>
        <w:t xml:space="preserve">As illustrated in Figure 1, Cal Advocates </w:t>
      </w:r>
      <w:r w:rsidR="001277E2">
        <w:rPr>
          <w:sz w:val="26"/>
          <w:szCs w:val="26"/>
        </w:rPr>
        <w:t xml:space="preserve">indicates </w:t>
      </w:r>
      <w:r>
        <w:rPr>
          <w:sz w:val="26"/>
          <w:szCs w:val="26"/>
        </w:rPr>
        <w:t>that:</w:t>
      </w:r>
    </w:p>
    <w:p w:rsidRPr="004069C3" w:rsidR="00714499" w:rsidP="00662204" w:rsidRDefault="00714499" w14:paraId="3AF46D7C" w14:textId="28BEA068">
      <w:pPr>
        <w:pStyle w:val="ListBullet"/>
        <w:spacing w:line="240" w:lineRule="auto"/>
        <w:ind w:right="1440"/>
        <w:rPr>
          <w:sz w:val="26"/>
          <w:szCs w:val="26"/>
        </w:rPr>
      </w:pPr>
      <w:r w:rsidRPr="004D1050">
        <w:rPr>
          <w:sz w:val="26"/>
          <w:szCs w:val="26"/>
        </w:rPr>
        <w:t>I</w:t>
      </w:r>
      <w:r w:rsidRPr="004D1050" w:rsidR="00DA6A65">
        <w:rPr>
          <w:sz w:val="26"/>
          <w:szCs w:val="26"/>
        </w:rPr>
        <w:t xml:space="preserve">ntrastate IPCS rates in county jails are about 996 </w:t>
      </w:r>
      <w:r w:rsidR="004069C3">
        <w:rPr>
          <w:sz w:val="26"/>
          <w:szCs w:val="26"/>
        </w:rPr>
        <w:t>and 82.4</w:t>
      </w:r>
      <w:r w:rsidR="00E53F42">
        <w:rPr>
          <w:sz w:val="26"/>
          <w:szCs w:val="26"/>
        </w:rPr>
        <w:t> </w:t>
      </w:r>
      <w:r w:rsidRPr="004D1050" w:rsidR="00DA6A65">
        <w:rPr>
          <w:sz w:val="26"/>
          <w:szCs w:val="26"/>
        </w:rPr>
        <w:t>percent higher</w:t>
      </w:r>
      <w:r w:rsidR="007D029C">
        <w:rPr>
          <w:sz w:val="26"/>
          <w:szCs w:val="26"/>
        </w:rPr>
        <w:t xml:space="preserve">, respectively, </w:t>
      </w:r>
      <w:r w:rsidRPr="004D1050" w:rsidR="00DA6A65">
        <w:rPr>
          <w:sz w:val="26"/>
          <w:szCs w:val="26"/>
        </w:rPr>
        <w:t xml:space="preserve">than those in state </w:t>
      </w:r>
      <w:r w:rsidR="004069C3">
        <w:rPr>
          <w:sz w:val="26"/>
          <w:szCs w:val="26"/>
        </w:rPr>
        <w:t xml:space="preserve">and federal </w:t>
      </w:r>
      <w:r w:rsidRPr="004069C3" w:rsidR="00DA6A65">
        <w:rPr>
          <w:sz w:val="26"/>
          <w:szCs w:val="26"/>
        </w:rPr>
        <w:t>prisons</w:t>
      </w:r>
      <w:r w:rsidR="007D029C">
        <w:rPr>
          <w:sz w:val="26"/>
          <w:szCs w:val="26"/>
        </w:rPr>
        <w:t xml:space="preserve"> </w:t>
      </w:r>
      <w:r w:rsidRPr="004069C3" w:rsidR="00DA6A65">
        <w:rPr>
          <w:sz w:val="26"/>
          <w:szCs w:val="26"/>
        </w:rPr>
        <w:t>in California.</w:t>
      </w:r>
      <w:r w:rsidRPr="004D1050" w:rsidR="00DA6A65">
        <w:rPr>
          <w:rStyle w:val="FootnoteReference"/>
          <w:sz w:val="26"/>
          <w:szCs w:val="26"/>
        </w:rPr>
        <w:footnoteReference w:id="86"/>
      </w:r>
      <w:r w:rsidRPr="004069C3" w:rsidR="00DA6A65">
        <w:rPr>
          <w:sz w:val="26"/>
          <w:szCs w:val="26"/>
        </w:rPr>
        <w:t xml:space="preserve">  </w:t>
      </w:r>
    </w:p>
    <w:p w:rsidRPr="004069C3" w:rsidR="003165FE" w:rsidP="00662204" w:rsidRDefault="003165FE" w14:paraId="28616B1D" w14:textId="1D263EBF">
      <w:pPr>
        <w:pStyle w:val="ListBullet"/>
        <w:spacing w:line="240" w:lineRule="auto"/>
        <w:ind w:right="1440"/>
        <w:rPr>
          <w:sz w:val="26"/>
          <w:szCs w:val="26"/>
        </w:rPr>
      </w:pPr>
      <w:r w:rsidRPr="004D1050">
        <w:rPr>
          <w:sz w:val="26"/>
          <w:szCs w:val="26"/>
        </w:rPr>
        <w:t xml:space="preserve">Intrastate IPCS rates in </w:t>
      </w:r>
      <w:r>
        <w:rPr>
          <w:sz w:val="26"/>
          <w:szCs w:val="26"/>
        </w:rPr>
        <w:t xml:space="preserve">local (city) jails are about </w:t>
      </w:r>
      <w:r w:rsidRPr="004D1050">
        <w:rPr>
          <w:sz w:val="26"/>
          <w:szCs w:val="26"/>
        </w:rPr>
        <w:t xml:space="preserve">1,124 </w:t>
      </w:r>
      <w:r>
        <w:rPr>
          <w:sz w:val="26"/>
          <w:szCs w:val="26"/>
        </w:rPr>
        <w:t xml:space="preserve">and 58.8 </w:t>
      </w:r>
      <w:r w:rsidRPr="004D1050">
        <w:rPr>
          <w:sz w:val="26"/>
          <w:szCs w:val="26"/>
        </w:rPr>
        <w:t>percent higher</w:t>
      </w:r>
      <w:r w:rsidR="007D029C">
        <w:rPr>
          <w:sz w:val="26"/>
          <w:szCs w:val="26"/>
        </w:rPr>
        <w:t xml:space="preserve">, respectively, </w:t>
      </w:r>
      <w:r w:rsidRPr="004D1050">
        <w:rPr>
          <w:sz w:val="26"/>
          <w:szCs w:val="26"/>
        </w:rPr>
        <w:t xml:space="preserve">than those in state </w:t>
      </w:r>
      <w:r>
        <w:rPr>
          <w:sz w:val="26"/>
          <w:szCs w:val="26"/>
        </w:rPr>
        <w:t xml:space="preserve">and federal </w:t>
      </w:r>
      <w:r w:rsidRPr="004069C3">
        <w:rPr>
          <w:sz w:val="26"/>
          <w:szCs w:val="26"/>
        </w:rPr>
        <w:t>prisons</w:t>
      </w:r>
      <w:r w:rsidR="007D029C">
        <w:rPr>
          <w:sz w:val="26"/>
          <w:szCs w:val="26"/>
        </w:rPr>
        <w:t xml:space="preserve"> </w:t>
      </w:r>
      <w:r w:rsidRPr="004069C3">
        <w:rPr>
          <w:sz w:val="26"/>
          <w:szCs w:val="26"/>
        </w:rPr>
        <w:t>in California.</w:t>
      </w:r>
      <w:r w:rsidRPr="004D1050">
        <w:rPr>
          <w:rStyle w:val="FootnoteReference"/>
          <w:sz w:val="26"/>
          <w:szCs w:val="26"/>
        </w:rPr>
        <w:footnoteReference w:id="87"/>
      </w:r>
      <w:r w:rsidRPr="004069C3">
        <w:rPr>
          <w:sz w:val="26"/>
          <w:szCs w:val="26"/>
        </w:rPr>
        <w:t xml:space="preserve">  </w:t>
      </w:r>
    </w:p>
    <w:p w:rsidRPr="004D1050" w:rsidR="00DA6A65" w:rsidP="00662204" w:rsidRDefault="00714499" w14:paraId="686A380E" w14:textId="036CDE74">
      <w:pPr>
        <w:pStyle w:val="ListBullet"/>
        <w:spacing w:line="240" w:lineRule="auto"/>
        <w:ind w:right="1440"/>
        <w:rPr>
          <w:sz w:val="26"/>
          <w:szCs w:val="26"/>
        </w:rPr>
      </w:pPr>
      <w:r w:rsidRPr="004D1050">
        <w:rPr>
          <w:sz w:val="26"/>
          <w:szCs w:val="26"/>
        </w:rPr>
        <w:t>I</w:t>
      </w:r>
      <w:r w:rsidRPr="004D1050" w:rsidR="00DA6A65">
        <w:rPr>
          <w:sz w:val="26"/>
          <w:szCs w:val="26"/>
        </w:rPr>
        <w:t xml:space="preserve">ntrastate IPCS rates in federal prisons in California are, on average, 584 percent higher than the $.025 per minute rate recently instated between the </w:t>
      </w:r>
      <w:r w:rsidR="008A7069">
        <w:rPr>
          <w:sz w:val="26"/>
          <w:szCs w:val="26"/>
        </w:rPr>
        <w:t xml:space="preserve">CDCR </w:t>
      </w:r>
      <w:r w:rsidRPr="004D1050" w:rsidR="00DA6A65">
        <w:rPr>
          <w:sz w:val="26"/>
          <w:szCs w:val="26"/>
        </w:rPr>
        <w:t>and GTL.</w:t>
      </w:r>
      <w:r w:rsidRPr="004D1050" w:rsidR="00DA6A65">
        <w:rPr>
          <w:rStyle w:val="FootnoteReference"/>
          <w:sz w:val="26"/>
          <w:szCs w:val="26"/>
        </w:rPr>
        <w:footnoteReference w:id="88"/>
      </w:r>
    </w:p>
    <w:p w:rsidR="0087423F" w:rsidP="00E53F42" w:rsidRDefault="005E3D23" w14:paraId="5251BB30" w14:textId="3DC638A9">
      <w:pPr>
        <w:pStyle w:val="Standard"/>
        <w:keepNext/>
        <w:keepLines/>
        <w:ind w:firstLine="720"/>
        <w:rPr>
          <w:sz w:val="26"/>
          <w:szCs w:val="26"/>
        </w:rPr>
      </w:pPr>
      <w:r>
        <w:rPr>
          <w:sz w:val="26"/>
          <w:szCs w:val="26"/>
        </w:rPr>
        <w:lastRenderedPageBreak/>
        <w:t>Cal Advocates present</w:t>
      </w:r>
      <w:r w:rsidR="008A7069">
        <w:rPr>
          <w:sz w:val="26"/>
          <w:szCs w:val="26"/>
        </w:rPr>
        <w:t>s</w:t>
      </w:r>
      <w:r>
        <w:rPr>
          <w:sz w:val="26"/>
          <w:szCs w:val="26"/>
        </w:rPr>
        <w:t xml:space="preserve"> the following summary table:</w:t>
      </w:r>
    </w:p>
    <w:p w:rsidRPr="00E53F42" w:rsidR="005E3D23" w:rsidP="00E53F42" w:rsidRDefault="005E3D23" w14:paraId="54B72D22" w14:textId="2900C829">
      <w:pPr>
        <w:pStyle w:val="Standard"/>
        <w:keepNext/>
        <w:keepLines/>
        <w:spacing w:after="120" w:line="240" w:lineRule="auto"/>
        <w:rPr>
          <w:b/>
          <w:bCs/>
          <w:sz w:val="26"/>
          <w:szCs w:val="26"/>
        </w:rPr>
      </w:pPr>
      <w:r w:rsidRPr="00E53F42">
        <w:rPr>
          <w:b/>
          <w:bCs/>
          <w:sz w:val="26"/>
          <w:szCs w:val="26"/>
        </w:rPr>
        <w:t xml:space="preserve">Table </w:t>
      </w:r>
      <w:r w:rsidRPr="00E53F42" w:rsidR="00541B07">
        <w:rPr>
          <w:b/>
          <w:bCs/>
          <w:sz w:val="26"/>
          <w:szCs w:val="26"/>
        </w:rPr>
        <w:t>3</w:t>
      </w:r>
      <w:r w:rsidRPr="00E53F42">
        <w:rPr>
          <w:b/>
          <w:bCs/>
          <w:sz w:val="26"/>
          <w:szCs w:val="26"/>
        </w:rPr>
        <w:t xml:space="preserve">: </w:t>
      </w:r>
      <w:r w:rsidRPr="00E53F42" w:rsidR="006958F9">
        <w:rPr>
          <w:b/>
          <w:bCs/>
          <w:sz w:val="26"/>
          <w:szCs w:val="26"/>
        </w:rPr>
        <w:t xml:space="preserve"> Average Intrastate IPC</w:t>
      </w:r>
      <w:r w:rsidRPr="00E53F42" w:rsidR="00BA312E">
        <w:rPr>
          <w:b/>
          <w:bCs/>
          <w:sz w:val="26"/>
          <w:szCs w:val="26"/>
        </w:rPr>
        <w:t>S Pre-Paid Per-Minute Calling Rates by Facility Type Compared to State Prison IPCS Calling Rates</w:t>
      </w:r>
      <w:r w:rsidRPr="00E53F42" w:rsidR="00BA312E">
        <w:rPr>
          <w:rStyle w:val="FootnoteReference"/>
          <w:b/>
          <w:bCs/>
          <w:sz w:val="26"/>
          <w:szCs w:val="26"/>
        </w:rPr>
        <w:footnoteReference w:id="89"/>
      </w:r>
    </w:p>
    <w:tbl>
      <w:tblPr>
        <w:tblW w:w="9265" w:type="dxa"/>
        <w:tblLayout w:type="fixed"/>
        <w:tblLook w:val="04A0" w:firstRow="1" w:lastRow="0" w:firstColumn="1" w:lastColumn="0" w:noHBand="0" w:noVBand="1"/>
      </w:tblPr>
      <w:tblGrid>
        <w:gridCol w:w="2316"/>
        <w:gridCol w:w="2316"/>
        <w:gridCol w:w="2316"/>
        <w:gridCol w:w="2317"/>
      </w:tblGrid>
      <w:tr w:rsidRPr="00BA312E" w:rsidR="00BA312E" w:rsidTr="004069C3" w14:paraId="720B5750" w14:textId="77777777">
        <w:trPr>
          <w:trHeight w:val="791"/>
        </w:trPr>
        <w:tc>
          <w:tcPr>
            <w:tcW w:w="23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53DF1" w:rsidR="00BA312E" w:rsidP="00BA312E" w:rsidRDefault="00BA312E" w14:paraId="1C171200" w14:textId="77777777">
            <w:pPr>
              <w:rPr>
                <w:rFonts w:ascii="Book Antiqua" w:hAnsi="Book Antiqua" w:cs="Calibri"/>
                <w:b/>
                <w:color w:val="000000"/>
              </w:rPr>
            </w:pPr>
            <w:r w:rsidRPr="00753DF1">
              <w:rPr>
                <w:rFonts w:ascii="Book Antiqua" w:hAnsi="Book Antiqua" w:cs="Calibri"/>
                <w:b/>
                <w:color w:val="000000"/>
              </w:rPr>
              <w:t>Facility Type</w:t>
            </w:r>
          </w:p>
        </w:tc>
        <w:tc>
          <w:tcPr>
            <w:tcW w:w="2316" w:type="dxa"/>
            <w:tcBorders>
              <w:top w:val="single" w:color="auto" w:sz="4" w:space="0"/>
              <w:left w:val="nil"/>
              <w:bottom w:val="single" w:color="auto" w:sz="4" w:space="0"/>
              <w:right w:val="single" w:color="auto" w:sz="4" w:space="0"/>
            </w:tcBorders>
            <w:shd w:val="clear" w:color="auto" w:fill="auto"/>
            <w:vAlign w:val="bottom"/>
            <w:hideMark/>
          </w:tcPr>
          <w:p w:rsidRPr="00753DF1" w:rsidR="00BA312E" w:rsidP="00BA312E" w:rsidRDefault="00BA312E" w14:paraId="3C1A4678" w14:textId="77777777">
            <w:pPr>
              <w:rPr>
                <w:rFonts w:ascii="Book Antiqua" w:hAnsi="Book Antiqua" w:cs="Calibri"/>
                <w:b/>
                <w:color w:val="000000"/>
              </w:rPr>
            </w:pPr>
            <w:r w:rsidRPr="00753DF1">
              <w:rPr>
                <w:rFonts w:ascii="Book Antiqua" w:hAnsi="Book Antiqua" w:cs="Calibri"/>
                <w:b/>
                <w:color w:val="000000"/>
              </w:rPr>
              <w:t>Intrastate IPCS Per-Minute Rate</w:t>
            </w:r>
          </w:p>
        </w:tc>
        <w:tc>
          <w:tcPr>
            <w:tcW w:w="2316" w:type="dxa"/>
            <w:tcBorders>
              <w:top w:val="single" w:color="auto" w:sz="4" w:space="0"/>
              <w:left w:val="nil"/>
              <w:bottom w:val="single" w:color="auto" w:sz="4" w:space="0"/>
              <w:right w:val="single" w:color="auto" w:sz="4" w:space="0"/>
            </w:tcBorders>
            <w:shd w:val="clear" w:color="auto" w:fill="auto"/>
            <w:vAlign w:val="bottom"/>
            <w:hideMark/>
          </w:tcPr>
          <w:p w:rsidRPr="00753DF1" w:rsidR="00BA312E" w:rsidP="00BA312E" w:rsidRDefault="00BA312E" w14:paraId="570E3379" w14:textId="77777777">
            <w:pPr>
              <w:rPr>
                <w:rFonts w:ascii="Book Antiqua" w:hAnsi="Book Antiqua" w:cs="Calibri"/>
                <w:b/>
                <w:color w:val="000000"/>
              </w:rPr>
            </w:pPr>
            <w:r w:rsidRPr="00753DF1">
              <w:rPr>
                <w:rFonts w:ascii="Book Antiqua" w:hAnsi="Book Antiqua" w:cs="Calibri"/>
                <w:b/>
                <w:color w:val="000000"/>
              </w:rPr>
              <w:t>Average $ Greater than State Rate</w:t>
            </w:r>
          </w:p>
        </w:tc>
        <w:tc>
          <w:tcPr>
            <w:tcW w:w="2317" w:type="dxa"/>
            <w:tcBorders>
              <w:top w:val="single" w:color="auto" w:sz="4" w:space="0"/>
              <w:left w:val="nil"/>
              <w:bottom w:val="single" w:color="auto" w:sz="4" w:space="0"/>
              <w:right w:val="single" w:color="auto" w:sz="4" w:space="0"/>
            </w:tcBorders>
            <w:shd w:val="clear" w:color="auto" w:fill="auto"/>
            <w:vAlign w:val="bottom"/>
            <w:hideMark/>
          </w:tcPr>
          <w:p w:rsidRPr="00753DF1" w:rsidR="00BA312E" w:rsidP="00BA312E" w:rsidRDefault="00BA312E" w14:paraId="56D9868B" w14:textId="77777777">
            <w:pPr>
              <w:rPr>
                <w:rFonts w:ascii="Book Antiqua" w:hAnsi="Book Antiqua" w:cs="Calibri"/>
                <w:b/>
                <w:color w:val="000000"/>
              </w:rPr>
            </w:pPr>
            <w:r w:rsidRPr="00753DF1">
              <w:rPr>
                <w:rFonts w:ascii="Book Antiqua" w:hAnsi="Book Antiqua" w:cs="Calibri"/>
                <w:b/>
                <w:color w:val="000000"/>
              </w:rPr>
              <w:t>Average Percent Greater than State Rate</w:t>
            </w:r>
          </w:p>
        </w:tc>
      </w:tr>
      <w:tr w:rsidRPr="00BA312E" w:rsidR="00BA312E" w:rsidTr="004069C3" w14:paraId="72B225D5" w14:textId="77777777">
        <w:trPr>
          <w:trHeight w:val="300"/>
        </w:trPr>
        <w:tc>
          <w:tcPr>
            <w:tcW w:w="2316" w:type="dxa"/>
            <w:tcBorders>
              <w:top w:val="nil"/>
              <w:left w:val="single" w:color="auto" w:sz="4" w:space="0"/>
              <w:bottom w:val="single" w:color="auto" w:sz="4" w:space="0"/>
              <w:right w:val="single" w:color="auto" w:sz="4" w:space="0"/>
            </w:tcBorders>
            <w:shd w:val="clear" w:color="auto" w:fill="auto"/>
            <w:noWrap/>
            <w:vAlign w:val="bottom"/>
            <w:hideMark/>
          </w:tcPr>
          <w:p w:rsidRPr="00753DF1" w:rsidR="00BA312E" w:rsidP="00BA312E" w:rsidRDefault="00BA312E" w14:paraId="38218994" w14:textId="77777777">
            <w:pPr>
              <w:rPr>
                <w:rFonts w:ascii="Book Antiqua" w:hAnsi="Book Antiqua" w:cs="Calibri"/>
                <w:color w:val="000000"/>
              </w:rPr>
            </w:pPr>
            <w:r w:rsidRPr="00753DF1">
              <w:rPr>
                <w:rFonts w:ascii="Book Antiqua" w:hAnsi="Book Antiqua" w:cs="Calibri"/>
                <w:color w:val="000000"/>
              </w:rPr>
              <w:t>State Prisons</w:t>
            </w:r>
          </w:p>
        </w:tc>
        <w:tc>
          <w:tcPr>
            <w:tcW w:w="2316"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79A7D3CB" w14:textId="0626F62C">
            <w:pPr>
              <w:jc w:val="center"/>
              <w:rPr>
                <w:rFonts w:ascii="Book Antiqua" w:hAnsi="Book Antiqua" w:cs="Calibri"/>
                <w:color w:val="000000"/>
              </w:rPr>
            </w:pPr>
            <w:r w:rsidRPr="00753DF1">
              <w:rPr>
                <w:rFonts w:ascii="Book Antiqua" w:hAnsi="Book Antiqua" w:cs="Calibri"/>
                <w:color w:val="000000"/>
              </w:rPr>
              <w:t>$0.025</w:t>
            </w:r>
          </w:p>
        </w:tc>
        <w:tc>
          <w:tcPr>
            <w:tcW w:w="2316"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36751B91" w14:textId="1FBEA1F8">
            <w:pPr>
              <w:jc w:val="center"/>
              <w:rPr>
                <w:rFonts w:ascii="Book Antiqua" w:hAnsi="Book Antiqua" w:cs="Calibri"/>
                <w:color w:val="000000"/>
              </w:rPr>
            </w:pPr>
          </w:p>
        </w:tc>
        <w:tc>
          <w:tcPr>
            <w:tcW w:w="2317"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45AF573A" w14:textId="6F587278">
            <w:pPr>
              <w:jc w:val="center"/>
              <w:rPr>
                <w:rFonts w:ascii="Book Antiqua" w:hAnsi="Book Antiqua" w:cs="Calibri"/>
                <w:color w:val="000000"/>
              </w:rPr>
            </w:pPr>
          </w:p>
        </w:tc>
      </w:tr>
      <w:tr w:rsidRPr="00BA312E" w:rsidR="00BA312E" w:rsidTr="004069C3" w14:paraId="08643703" w14:textId="77777777">
        <w:trPr>
          <w:trHeight w:val="300"/>
        </w:trPr>
        <w:tc>
          <w:tcPr>
            <w:tcW w:w="2316" w:type="dxa"/>
            <w:tcBorders>
              <w:top w:val="nil"/>
              <w:left w:val="single" w:color="auto" w:sz="4" w:space="0"/>
              <w:bottom w:val="single" w:color="auto" w:sz="4" w:space="0"/>
              <w:right w:val="single" w:color="auto" w:sz="4" w:space="0"/>
            </w:tcBorders>
            <w:shd w:val="clear" w:color="auto" w:fill="auto"/>
            <w:noWrap/>
            <w:vAlign w:val="bottom"/>
            <w:hideMark/>
          </w:tcPr>
          <w:p w:rsidRPr="00753DF1" w:rsidR="00BA312E" w:rsidP="00BA312E" w:rsidRDefault="00BA312E" w14:paraId="37624D72" w14:textId="77777777">
            <w:pPr>
              <w:rPr>
                <w:rFonts w:ascii="Book Antiqua" w:hAnsi="Book Antiqua" w:cs="Calibri"/>
                <w:color w:val="000000"/>
              </w:rPr>
            </w:pPr>
            <w:r w:rsidRPr="00753DF1">
              <w:rPr>
                <w:rFonts w:ascii="Book Antiqua" w:hAnsi="Book Antiqua" w:cs="Calibri"/>
                <w:color w:val="000000"/>
              </w:rPr>
              <w:t>Federal Prisons</w:t>
            </w:r>
          </w:p>
        </w:tc>
        <w:tc>
          <w:tcPr>
            <w:tcW w:w="2316"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5141EC00" w14:textId="2F2C5B75">
            <w:pPr>
              <w:jc w:val="center"/>
              <w:rPr>
                <w:rFonts w:ascii="Book Antiqua" w:hAnsi="Book Antiqua" w:cs="Calibri"/>
                <w:color w:val="000000"/>
              </w:rPr>
            </w:pPr>
            <w:r w:rsidRPr="00753DF1">
              <w:rPr>
                <w:rFonts w:ascii="Book Antiqua" w:hAnsi="Book Antiqua" w:cs="Calibri"/>
                <w:color w:val="000000"/>
              </w:rPr>
              <w:t>$0.171</w:t>
            </w:r>
          </w:p>
        </w:tc>
        <w:tc>
          <w:tcPr>
            <w:tcW w:w="2316"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690790D1" w14:textId="53BD66B4">
            <w:pPr>
              <w:jc w:val="center"/>
              <w:rPr>
                <w:rFonts w:ascii="Book Antiqua" w:hAnsi="Book Antiqua" w:cs="Calibri"/>
                <w:color w:val="000000"/>
              </w:rPr>
            </w:pPr>
            <w:r w:rsidRPr="00753DF1">
              <w:rPr>
                <w:rFonts w:ascii="Book Antiqua" w:hAnsi="Book Antiqua" w:cs="Calibri"/>
                <w:color w:val="000000"/>
              </w:rPr>
              <w:t>$0.146</w:t>
            </w:r>
          </w:p>
        </w:tc>
        <w:tc>
          <w:tcPr>
            <w:tcW w:w="2317"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624B9371" w14:textId="77777777">
            <w:pPr>
              <w:jc w:val="center"/>
              <w:rPr>
                <w:rFonts w:ascii="Book Antiqua" w:hAnsi="Book Antiqua" w:cs="Calibri"/>
                <w:color w:val="000000"/>
              </w:rPr>
            </w:pPr>
            <w:r w:rsidRPr="00753DF1">
              <w:rPr>
                <w:rFonts w:ascii="Book Antiqua" w:hAnsi="Book Antiqua" w:cs="Calibri"/>
                <w:color w:val="000000"/>
              </w:rPr>
              <w:t>584%</w:t>
            </w:r>
          </w:p>
        </w:tc>
      </w:tr>
      <w:tr w:rsidRPr="00BA312E" w:rsidR="00BA312E" w:rsidTr="004069C3" w14:paraId="04356F12" w14:textId="77777777">
        <w:trPr>
          <w:trHeight w:val="300"/>
        </w:trPr>
        <w:tc>
          <w:tcPr>
            <w:tcW w:w="2316" w:type="dxa"/>
            <w:tcBorders>
              <w:top w:val="nil"/>
              <w:left w:val="single" w:color="auto" w:sz="4" w:space="0"/>
              <w:bottom w:val="single" w:color="auto" w:sz="4" w:space="0"/>
              <w:right w:val="single" w:color="auto" w:sz="4" w:space="0"/>
            </w:tcBorders>
            <w:shd w:val="clear" w:color="auto" w:fill="auto"/>
            <w:noWrap/>
            <w:vAlign w:val="bottom"/>
            <w:hideMark/>
          </w:tcPr>
          <w:p w:rsidRPr="00753DF1" w:rsidR="00BA312E" w:rsidP="00BA312E" w:rsidRDefault="00BA312E" w14:paraId="079F2338" w14:textId="77777777">
            <w:pPr>
              <w:rPr>
                <w:rFonts w:ascii="Book Antiqua" w:hAnsi="Book Antiqua" w:cs="Calibri"/>
                <w:color w:val="000000"/>
              </w:rPr>
            </w:pPr>
            <w:r w:rsidRPr="00753DF1">
              <w:rPr>
                <w:rFonts w:ascii="Book Antiqua" w:hAnsi="Book Antiqua" w:cs="Calibri"/>
                <w:color w:val="000000"/>
              </w:rPr>
              <w:t>County Jails</w:t>
            </w:r>
          </w:p>
        </w:tc>
        <w:tc>
          <w:tcPr>
            <w:tcW w:w="2316"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7F16C680" w14:textId="2419E102">
            <w:pPr>
              <w:jc w:val="center"/>
              <w:rPr>
                <w:rFonts w:ascii="Book Antiqua" w:hAnsi="Book Antiqua" w:cs="Calibri"/>
                <w:color w:val="000000"/>
              </w:rPr>
            </w:pPr>
            <w:r w:rsidRPr="00753DF1">
              <w:rPr>
                <w:rFonts w:ascii="Book Antiqua" w:hAnsi="Book Antiqua" w:cs="Calibri"/>
                <w:color w:val="000000"/>
              </w:rPr>
              <w:t>$0.306</w:t>
            </w:r>
          </w:p>
        </w:tc>
        <w:tc>
          <w:tcPr>
            <w:tcW w:w="2316"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27CA0E51" w14:textId="0FD9C67F">
            <w:pPr>
              <w:jc w:val="center"/>
              <w:rPr>
                <w:rFonts w:ascii="Book Antiqua" w:hAnsi="Book Antiqua" w:cs="Calibri"/>
                <w:color w:val="000000"/>
              </w:rPr>
            </w:pPr>
            <w:r w:rsidRPr="00753DF1">
              <w:rPr>
                <w:rFonts w:ascii="Book Antiqua" w:hAnsi="Book Antiqua" w:cs="Calibri"/>
                <w:color w:val="000000"/>
              </w:rPr>
              <w:t>$0.281</w:t>
            </w:r>
          </w:p>
        </w:tc>
        <w:tc>
          <w:tcPr>
            <w:tcW w:w="2317"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0D940FF9" w14:textId="77777777">
            <w:pPr>
              <w:jc w:val="center"/>
              <w:rPr>
                <w:rFonts w:ascii="Book Antiqua" w:hAnsi="Book Antiqua" w:cs="Calibri"/>
                <w:color w:val="000000"/>
              </w:rPr>
            </w:pPr>
            <w:r w:rsidRPr="00753DF1">
              <w:rPr>
                <w:rFonts w:ascii="Book Antiqua" w:hAnsi="Book Antiqua" w:cs="Calibri"/>
                <w:color w:val="000000"/>
              </w:rPr>
              <w:t>1124%</w:t>
            </w:r>
          </w:p>
        </w:tc>
      </w:tr>
      <w:tr w:rsidRPr="00BA312E" w:rsidR="00BA312E" w:rsidTr="004069C3" w14:paraId="59B32317" w14:textId="77777777">
        <w:trPr>
          <w:trHeight w:val="300"/>
        </w:trPr>
        <w:tc>
          <w:tcPr>
            <w:tcW w:w="2316" w:type="dxa"/>
            <w:tcBorders>
              <w:top w:val="nil"/>
              <w:left w:val="single" w:color="auto" w:sz="4" w:space="0"/>
              <w:bottom w:val="single" w:color="auto" w:sz="4" w:space="0"/>
              <w:right w:val="single" w:color="auto" w:sz="4" w:space="0"/>
            </w:tcBorders>
            <w:shd w:val="clear" w:color="auto" w:fill="auto"/>
            <w:noWrap/>
            <w:vAlign w:val="bottom"/>
            <w:hideMark/>
          </w:tcPr>
          <w:p w:rsidRPr="00753DF1" w:rsidR="00BA312E" w:rsidP="00BA312E" w:rsidRDefault="00BA312E" w14:paraId="10F2AE14" w14:textId="77777777">
            <w:pPr>
              <w:rPr>
                <w:rFonts w:ascii="Book Antiqua" w:hAnsi="Book Antiqua" w:cs="Calibri"/>
                <w:color w:val="000000"/>
              </w:rPr>
            </w:pPr>
            <w:r w:rsidRPr="00753DF1">
              <w:rPr>
                <w:rFonts w:ascii="Book Antiqua" w:hAnsi="Book Antiqua" w:cs="Calibri"/>
                <w:color w:val="000000"/>
              </w:rPr>
              <w:t>Local Jails</w:t>
            </w:r>
          </w:p>
        </w:tc>
        <w:tc>
          <w:tcPr>
            <w:tcW w:w="2316"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490CF302" w14:textId="30A0B587">
            <w:pPr>
              <w:jc w:val="center"/>
              <w:rPr>
                <w:rFonts w:ascii="Book Antiqua" w:hAnsi="Book Antiqua" w:cs="Calibri"/>
                <w:color w:val="000000"/>
              </w:rPr>
            </w:pPr>
            <w:r w:rsidRPr="00753DF1">
              <w:rPr>
                <w:rFonts w:ascii="Book Antiqua" w:hAnsi="Book Antiqua" w:cs="Calibri"/>
                <w:color w:val="000000"/>
              </w:rPr>
              <w:t>$0.274</w:t>
            </w:r>
          </w:p>
        </w:tc>
        <w:tc>
          <w:tcPr>
            <w:tcW w:w="2316"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10D360FB" w14:textId="2060C925">
            <w:pPr>
              <w:jc w:val="center"/>
              <w:rPr>
                <w:rFonts w:ascii="Book Antiqua" w:hAnsi="Book Antiqua" w:cs="Calibri"/>
                <w:color w:val="000000"/>
              </w:rPr>
            </w:pPr>
            <w:r w:rsidRPr="00753DF1">
              <w:rPr>
                <w:rFonts w:ascii="Book Antiqua" w:hAnsi="Book Antiqua" w:cs="Calibri"/>
                <w:color w:val="000000"/>
              </w:rPr>
              <w:t>$0.249</w:t>
            </w:r>
          </w:p>
        </w:tc>
        <w:tc>
          <w:tcPr>
            <w:tcW w:w="2317" w:type="dxa"/>
            <w:tcBorders>
              <w:top w:val="nil"/>
              <w:left w:val="nil"/>
              <w:bottom w:val="single" w:color="auto" w:sz="4" w:space="0"/>
              <w:right w:val="single" w:color="auto" w:sz="4" w:space="0"/>
            </w:tcBorders>
            <w:shd w:val="clear" w:color="auto" w:fill="auto"/>
            <w:noWrap/>
            <w:vAlign w:val="bottom"/>
            <w:hideMark/>
          </w:tcPr>
          <w:p w:rsidRPr="00753DF1" w:rsidR="00BA312E" w:rsidP="00BA312E" w:rsidRDefault="00BA312E" w14:paraId="183C3B14" w14:textId="77777777">
            <w:pPr>
              <w:jc w:val="center"/>
              <w:rPr>
                <w:rFonts w:ascii="Book Antiqua" w:hAnsi="Book Antiqua" w:cs="Calibri"/>
                <w:color w:val="000000"/>
              </w:rPr>
            </w:pPr>
            <w:r w:rsidRPr="00753DF1">
              <w:rPr>
                <w:rFonts w:ascii="Book Antiqua" w:hAnsi="Book Antiqua" w:cs="Calibri"/>
                <w:color w:val="000000"/>
              </w:rPr>
              <w:t>996%</w:t>
            </w:r>
          </w:p>
        </w:tc>
      </w:tr>
    </w:tbl>
    <w:p w:rsidRPr="00315509" w:rsidR="00910A3A" w:rsidP="00DA6A65" w:rsidRDefault="00910A3A" w14:paraId="28F16A3D" w14:textId="77777777">
      <w:pPr>
        <w:pStyle w:val="Standard"/>
        <w:ind w:firstLine="720"/>
        <w:rPr>
          <w:sz w:val="12"/>
          <w:szCs w:val="12"/>
        </w:rPr>
      </w:pPr>
    </w:p>
    <w:p w:rsidR="00DA6A65" w:rsidP="00F51820" w:rsidRDefault="0087423F" w14:paraId="39EFE680" w14:textId="0F705F57">
      <w:pPr>
        <w:pStyle w:val="Standard"/>
        <w:ind w:firstLine="720"/>
        <w:rPr>
          <w:sz w:val="26"/>
          <w:szCs w:val="26"/>
        </w:rPr>
      </w:pPr>
      <w:r>
        <w:rPr>
          <w:sz w:val="26"/>
          <w:szCs w:val="26"/>
        </w:rPr>
        <w:t>B</w:t>
      </w:r>
      <w:r w:rsidRPr="001F1B01">
        <w:rPr>
          <w:sz w:val="26"/>
          <w:szCs w:val="26"/>
        </w:rPr>
        <w:t xml:space="preserve">ased on </w:t>
      </w:r>
      <w:r>
        <w:rPr>
          <w:sz w:val="26"/>
          <w:szCs w:val="26"/>
        </w:rPr>
        <w:t>its analysis</w:t>
      </w:r>
      <w:r w:rsidRPr="001F1B01">
        <w:rPr>
          <w:sz w:val="26"/>
          <w:szCs w:val="26"/>
        </w:rPr>
        <w:t>,</w:t>
      </w:r>
      <w:r>
        <w:rPr>
          <w:sz w:val="26"/>
          <w:szCs w:val="26"/>
        </w:rPr>
        <w:t xml:space="preserve"> Cal Advocates</w:t>
      </w:r>
      <w:r w:rsidRPr="001F1B01">
        <w:rPr>
          <w:sz w:val="26"/>
          <w:szCs w:val="26"/>
        </w:rPr>
        <w:t xml:space="preserve"> </w:t>
      </w:r>
      <w:r>
        <w:rPr>
          <w:sz w:val="26"/>
          <w:szCs w:val="26"/>
        </w:rPr>
        <w:t xml:space="preserve">concludes that </w:t>
      </w:r>
      <w:r w:rsidRPr="001F1B01">
        <w:rPr>
          <w:sz w:val="26"/>
          <w:szCs w:val="26"/>
        </w:rPr>
        <w:t>IPCS rates are “unreasonably high in both county and local jails in comparison with [IPCS] rates in both state and federal prisons</w:t>
      </w:r>
      <w:r>
        <w:rPr>
          <w:sz w:val="26"/>
          <w:szCs w:val="26"/>
        </w:rPr>
        <w:t>.”</w:t>
      </w:r>
      <w:r>
        <w:rPr>
          <w:rStyle w:val="FootnoteReference"/>
          <w:sz w:val="26"/>
          <w:szCs w:val="26"/>
        </w:rPr>
        <w:footnoteReference w:id="90"/>
      </w:r>
      <w:r>
        <w:rPr>
          <w:sz w:val="26"/>
          <w:szCs w:val="26"/>
        </w:rPr>
        <w:t xml:space="preserve"> </w:t>
      </w:r>
    </w:p>
    <w:p w:rsidRPr="00AD2239" w:rsidR="0007025A" w:rsidP="00FE7AE7" w:rsidRDefault="00BD1DB2" w14:paraId="4D49A5C6" w14:textId="498350EF">
      <w:pPr>
        <w:pStyle w:val="Heading2"/>
      </w:pPr>
      <w:bookmarkStart w:name="_Toc80089397" w:id="33"/>
      <w:r>
        <w:t>5.</w:t>
      </w:r>
      <w:r w:rsidR="008A2A1B">
        <w:t>3.</w:t>
      </w:r>
      <w:r>
        <w:tab/>
      </w:r>
      <w:r w:rsidR="00FE7AE7">
        <w:t>Part</w:t>
      </w:r>
      <w:r w:rsidR="00351F6E">
        <w:t xml:space="preserve">ies Differ on the Cause and Significance </w:t>
      </w:r>
      <w:r w:rsidR="00BE0F4F">
        <w:br/>
      </w:r>
      <w:r w:rsidR="00351F6E">
        <w:t xml:space="preserve">of the High and Widely Varying IPCS Rates </w:t>
      </w:r>
      <w:r w:rsidR="00BE0F4F">
        <w:br/>
      </w:r>
      <w:r w:rsidR="00351F6E">
        <w:t>in California</w:t>
      </w:r>
      <w:bookmarkEnd w:id="33"/>
    </w:p>
    <w:p w:rsidR="00875027" w:rsidP="00AF4922" w:rsidRDefault="00875027" w14:paraId="42D9C371" w14:textId="7BF27417">
      <w:pPr>
        <w:pStyle w:val="Standard"/>
        <w:ind w:firstLine="720"/>
        <w:rPr>
          <w:sz w:val="26"/>
          <w:szCs w:val="26"/>
        </w:rPr>
      </w:pPr>
      <w:r>
        <w:rPr>
          <w:sz w:val="26"/>
          <w:szCs w:val="26"/>
        </w:rPr>
        <w:t>No party dispute</w:t>
      </w:r>
      <w:r w:rsidR="008A7069">
        <w:rPr>
          <w:sz w:val="26"/>
          <w:szCs w:val="26"/>
        </w:rPr>
        <w:t>s</w:t>
      </w:r>
      <w:r>
        <w:rPr>
          <w:sz w:val="26"/>
          <w:szCs w:val="26"/>
        </w:rPr>
        <w:t xml:space="preserve"> Staff or Cal Advocates’ findings regarding IPCS prices in California.  Where part</w:t>
      </w:r>
      <w:r w:rsidR="001F61E4">
        <w:rPr>
          <w:sz w:val="26"/>
          <w:szCs w:val="26"/>
        </w:rPr>
        <w:t>y comments</w:t>
      </w:r>
      <w:r>
        <w:rPr>
          <w:sz w:val="26"/>
          <w:szCs w:val="26"/>
        </w:rPr>
        <w:t xml:space="preserve"> differ is on the cause and significance of these prices.  </w:t>
      </w:r>
      <w:r w:rsidR="00731954">
        <w:rPr>
          <w:sz w:val="26"/>
          <w:szCs w:val="26"/>
        </w:rPr>
        <w:t xml:space="preserve">This section </w:t>
      </w:r>
      <w:r w:rsidR="00095F83">
        <w:rPr>
          <w:sz w:val="26"/>
          <w:szCs w:val="26"/>
        </w:rPr>
        <w:t>summarize</w:t>
      </w:r>
      <w:r w:rsidR="00731954">
        <w:rPr>
          <w:sz w:val="26"/>
          <w:szCs w:val="26"/>
        </w:rPr>
        <w:t>s</w:t>
      </w:r>
      <w:r w:rsidR="001F61E4">
        <w:rPr>
          <w:sz w:val="26"/>
          <w:szCs w:val="26"/>
        </w:rPr>
        <w:t xml:space="preserve"> these</w:t>
      </w:r>
      <w:r w:rsidR="00731954">
        <w:rPr>
          <w:sz w:val="26"/>
          <w:szCs w:val="26"/>
        </w:rPr>
        <w:t xml:space="preserve"> </w:t>
      </w:r>
      <w:r w:rsidR="00095F83">
        <w:rPr>
          <w:sz w:val="26"/>
          <w:szCs w:val="26"/>
        </w:rPr>
        <w:t xml:space="preserve">opposing views. </w:t>
      </w:r>
    </w:p>
    <w:p w:rsidR="008839DC" w:rsidP="00430799" w:rsidRDefault="008A2A1B" w14:paraId="03D14DC0" w14:textId="69FDD7E2">
      <w:pPr>
        <w:pStyle w:val="Heading3"/>
      </w:pPr>
      <w:bookmarkStart w:name="_Toc80089398" w:id="34"/>
      <w:r>
        <w:t>5.3.1</w:t>
      </w:r>
      <w:r w:rsidR="1B9E9581">
        <w:t xml:space="preserve"> </w:t>
      </w:r>
      <w:r>
        <w:tab/>
      </w:r>
      <w:r w:rsidR="008839DC">
        <w:t>IPCS Provider</w:t>
      </w:r>
      <w:r w:rsidR="0067537C">
        <w:t xml:space="preserve"> Comments</w:t>
      </w:r>
      <w:bookmarkEnd w:id="34"/>
    </w:p>
    <w:p w:rsidR="00DA564D" w:rsidP="00674AAD" w:rsidRDefault="002403C0" w14:paraId="3ACBC831" w14:textId="26771719">
      <w:pPr>
        <w:pStyle w:val="Standard"/>
        <w:ind w:firstLine="720"/>
        <w:rPr>
          <w:sz w:val="26"/>
          <w:szCs w:val="26"/>
        </w:rPr>
      </w:pPr>
      <w:r w:rsidRPr="00674AAD">
        <w:rPr>
          <w:sz w:val="26"/>
          <w:szCs w:val="26"/>
        </w:rPr>
        <w:t xml:space="preserve">The </w:t>
      </w:r>
      <w:r w:rsidRPr="00674AAD" w:rsidR="00674AAD">
        <w:rPr>
          <w:sz w:val="26"/>
          <w:szCs w:val="26"/>
        </w:rPr>
        <w:t>basic contention of IPCS providers</w:t>
      </w:r>
      <w:r w:rsidR="00674AAD">
        <w:rPr>
          <w:sz w:val="26"/>
          <w:szCs w:val="26"/>
        </w:rPr>
        <w:t xml:space="preserve">, led by Securus, is that high </w:t>
      </w:r>
      <w:r w:rsidR="006C291F">
        <w:rPr>
          <w:sz w:val="26"/>
          <w:szCs w:val="26"/>
        </w:rPr>
        <w:t xml:space="preserve">IPCS </w:t>
      </w:r>
      <w:r w:rsidR="00674AAD">
        <w:rPr>
          <w:sz w:val="26"/>
          <w:szCs w:val="26"/>
        </w:rPr>
        <w:t xml:space="preserve">rates are just </w:t>
      </w:r>
      <w:r w:rsidR="00753DF1">
        <w:rPr>
          <w:sz w:val="26"/>
          <w:szCs w:val="26"/>
        </w:rPr>
        <w:t xml:space="preserve">and </w:t>
      </w:r>
      <w:r w:rsidR="006C291F">
        <w:rPr>
          <w:sz w:val="26"/>
          <w:szCs w:val="26"/>
        </w:rPr>
        <w:t xml:space="preserve">reasonable </w:t>
      </w:r>
      <w:r w:rsidR="00674AAD">
        <w:rPr>
          <w:sz w:val="26"/>
          <w:szCs w:val="26"/>
        </w:rPr>
        <w:t xml:space="preserve">if </w:t>
      </w:r>
      <w:r w:rsidR="00D76CAB">
        <w:rPr>
          <w:sz w:val="26"/>
          <w:szCs w:val="26"/>
        </w:rPr>
        <w:t>they reflect the actual costs of providing</w:t>
      </w:r>
      <w:r w:rsidR="006C291F">
        <w:rPr>
          <w:sz w:val="26"/>
          <w:szCs w:val="26"/>
        </w:rPr>
        <w:t xml:space="preserve"> calling services within incarceration facilities. </w:t>
      </w:r>
      <w:r w:rsidR="00973481">
        <w:rPr>
          <w:sz w:val="26"/>
          <w:szCs w:val="26"/>
        </w:rPr>
        <w:t xml:space="preserve"> </w:t>
      </w:r>
      <w:r w:rsidR="466E461C">
        <w:rPr>
          <w:sz w:val="26"/>
          <w:szCs w:val="26"/>
        </w:rPr>
        <w:t>T</w:t>
      </w:r>
      <w:r w:rsidR="26E315D2">
        <w:rPr>
          <w:sz w:val="26"/>
          <w:szCs w:val="26"/>
        </w:rPr>
        <w:t>he</w:t>
      </w:r>
      <w:r w:rsidR="2E132932">
        <w:rPr>
          <w:sz w:val="26"/>
          <w:szCs w:val="26"/>
        </w:rPr>
        <w:t>y allege that the</w:t>
      </w:r>
      <w:r w:rsidR="007E4692">
        <w:rPr>
          <w:sz w:val="26"/>
          <w:szCs w:val="26"/>
        </w:rPr>
        <w:t xml:space="preserve"> </w:t>
      </w:r>
      <w:r w:rsidR="00D76CAB">
        <w:rPr>
          <w:sz w:val="26"/>
          <w:szCs w:val="26"/>
        </w:rPr>
        <w:t xml:space="preserve">costs of providing </w:t>
      </w:r>
      <w:r w:rsidR="006C291F">
        <w:rPr>
          <w:sz w:val="26"/>
          <w:szCs w:val="26"/>
        </w:rPr>
        <w:t xml:space="preserve">calling </w:t>
      </w:r>
      <w:r w:rsidR="00D76CAB">
        <w:rPr>
          <w:sz w:val="26"/>
          <w:szCs w:val="26"/>
        </w:rPr>
        <w:t xml:space="preserve">services </w:t>
      </w:r>
      <w:r w:rsidR="006C291F">
        <w:rPr>
          <w:sz w:val="26"/>
          <w:szCs w:val="26"/>
        </w:rPr>
        <w:t xml:space="preserve">within incarceration facilities </w:t>
      </w:r>
      <w:r w:rsidR="00D76CAB">
        <w:rPr>
          <w:sz w:val="26"/>
          <w:szCs w:val="26"/>
        </w:rPr>
        <w:t xml:space="preserve">are high </w:t>
      </w:r>
      <w:r w:rsidR="007E4692">
        <w:rPr>
          <w:sz w:val="26"/>
          <w:szCs w:val="26"/>
        </w:rPr>
        <w:t xml:space="preserve">because </w:t>
      </w:r>
      <w:r w:rsidR="006C291F">
        <w:rPr>
          <w:sz w:val="26"/>
          <w:szCs w:val="26"/>
        </w:rPr>
        <w:t xml:space="preserve">the </w:t>
      </w:r>
      <w:r w:rsidR="00C73AF1">
        <w:rPr>
          <w:sz w:val="26"/>
          <w:szCs w:val="26"/>
        </w:rPr>
        <w:t xml:space="preserve">facilities require </w:t>
      </w:r>
      <w:r w:rsidR="0038395A">
        <w:rPr>
          <w:sz w:val="26"/>
          <w:szCs w:val="26"/>
        </w:rPr>
        <w:t xml:space="preserve">additional </w:t>
      </w:r>
      <w:r w:rsidR="00D76CAB">
        <w:rPr>
          <w:sz w:val="26"/>
          <w:szCs w:val="26"/>
        </w:rPr>
        <w:t xml:space="preserve">security </w:t>
      </w:r>
      <w:r w:rsidR="00C73AF1">
        <w:rPr>
          <w:sz w:val="26"/>
          <w:szCs w:val="26"/>
        </w:rPr>
        <w:t xml:space="preserve">and monitoring features </w:t>
      </w:r>
      <w:r w:rsidR="00E54240">
        <w:rPr>
          <w:sz w:val="26"/>
          <w:szCs w:val="26"/>
        </w:rPr>
        <w:t>not required in commercial market</w:t>
      </w:r>
      <w:r w:rsidR="0038395A">
        <w:rPr>
          <w:sz w:val="26"/>
          <w:szCs w:val="26"/>
        </w:rPr>
        <w:t>s</w:t>
      </w:r>
      <w:r w:rsidR="00E54240">
        <w:rPr>
          <w:sz w:val="26"/>
          <w:szCs w:val="26"/>
        </w:rPr>
        <w:t xml:space="preserve">, </w:t>
      </w:r>
      <w:r w:rsidR="00C73AF1">
        <w:rPr>
          <w:sz w:val="26"/>
          <w:szCs w:val="26"/>
        </w:rPr>
        <w:t xml:space="preserve">and </w:t>
      </w:r>
      <w:r w:rsidR="0038395A">
        <w:rPr>
          <w:sz w:val="26"/>
          <w:szCs w:val="26"/>
        </w:rPr>
        <w:t xml:space="preserve">they </w:t>
      </w:r>
      <w:r w:rsidR="00C73AF1">
        <w:rPr>
          <w:sz w:val="26"/>
          <w:szCs w:val="26"/>
        </w:rPr>
        <w:t>require or allow</w:t>
      </w:r>
      <w:r w:rsidR="0038395A">
        <w:rPr>
          <w:sz w:val="26"/>
          <w:szCs w:val="26"/>
        </w:rPr>
        <w:t xml:space="preserve"> the</w:t>
      </w:r>
      <w:r w:rsidR="00C73AF1">
        <w:rPr>
          <w:sz w:val="26"/>
          <w:szCs w:val="26"/>
        </w:rPr>
        <w:t xml:space="preserve"> payment of site commissions</w:t>
      </w:r>
      <w:r w:rsidR="0038395A">
        <w:rPr>
          <w:sz w:val="26"/>
          <w:szCs w:val="26"/>
        </w:rPr>
        <w:t>.</w:t>
      </w:r>
      <w:r w:rsidR="00016192">
        <w:rPr>
          <w:rStyle w:val="FootnoteReference"/>
          <w:sz w:val="26"/>
          <w:szCs w:val="26"/>
        </w:rPr>
        <w:footnoteReference w:id="91"/>
      </w:r>
      <w:r w:rsidR="00850127">
        <w:rPr>
          <w:sz w:val="26"/>
          <w:szCs w:val="26"/>
        </w:rPr>
        <w:t xml:space="preserve">  </w:t>
      </w:r>
      <w:r w:rsidR="459E9834">
        <w:rPr>
          <w:sz w:val="26"/>
          <w:szCs w:val="26"/>
        </w:rPr>
        <w:t xml:space="preserve">The IPCS </w:t>
      </w:r>
      <w:r w:rsidR="459E9834">
        <w:rPr>
          <w:sz w:val="26"/>
          <w:szCs w:val="26"/>
        </w:rPr>
        <w:lastRenderedPageBreak/>
        <w:t xml:space="preserve">providers </w:t>
      </w:r>
      <w:r w:rsidR="78DDB70E">
        <w:rPr>
          <w:sz w:val="26"/>
          <w:szCs w:val="26"/>
        </w:rPr>
        <w:t>allege that</w:t>
      </w:r>
      <w:r w:rsidR="00722E57">
        <w:rPr>
          <w:sz w:val="26"/>
          <w:szCs w:val="26"/>
        </w:rPr>
        <w:t xml:space="preserve"> smaller facilities cost more to serve because </w:t>
      </w:r>
      <w:r w:rsidR="00016192">
        <w:rPr>
          <w:sz w:val="26"/>
          <w:szCs w:val="26"/>
        </w:rPr>
        <w:t xml:space="preserve">facilities have varied needs and </w:t>
      </w:r>
      <w:r w:rsidR="00722E57">
        <w:rPr>
          <w:sz w:val="26"/>
          <w:szCs w:val="26"/>
        </w:rPr>
        <w:t xml:space="preserve">providers cannot leverage economies of scale. </w:t>
      </w:r>
      <w:r w:rsidR="002F5F2B">
        <w:rPr>
          <w:sz w:val="26"/>
          <w:szCs w:val="26"/>
        </w:rPr>
        <w:t xml:space="preserve"> </w:t>
      </w:r>
      <w:r w:rsidR="79CA7C22">
        <w:rPr>
          <w:sz w:val="26"/>
          <w:szCs w:val="26"/>
        </w:rPr>
        <w:t>The</w:t>
      </w:r>
      <w:r w:rsidR="7F5F1EC2">
        <w:rPr>
          <w:sz w:val="26"/>
          <w:szCs w:val="26"/>
        </w:rPr>
        <w:t xml:space="preserve"> </w:t>
      </w:r>
      <w:r w:rsidR="1ACAB0A1">
        <w:rPr>
          <w:sz w:val="26"/>
          <w:szCs w:val="26"/>
        </w:rPr>
        <w:t xml:space="preserve">IPCS </w:t>
      </w:r>
      <w:r w:rsidR="7F5F1EC2">
        <w:rPr>
          <w:sz w:val="26"/>
          <w:szCs w:val="26"/>
        </w:rPr>
        <w:t>providers state that</w:t>
      </w:r>
      <w:r w:rsidR="00DA564D">
        <w:rPr>
          <w:sz w:val="26"/>
          <w:szCs w:val="26"/>
        </w:rPr>
        <w:t>, taken together, this</w:t>
      </w:r>
      <w:r w:rsidR="0041302A">
        <w:rPr>
          <w:sz w:val="26"/>
          <w:szCs w:val="26"/>
        </w:rPr>
        <w:t xml:space="preserve"> lead</w:t>
      </w:r>
      <w:r w:rsidR="006809C8">
        <w:rPr>
          <w:sz w:val="26"/>
          <w:szCs w:val="26"/>
        </w:rPr>
        <w:t>s</w:t>
      </w:r>
      <w:r w:rsidR="0041302A">
        <w:rPr>
          <w:sz w:val="26"/>
          <w:szCs w:val="26"/>
        </w:rPr>
        <w:t xml:space="preserve"> to </w:t>
      </w:r>
      <w:r w:rsidR="003A57E9">
        <w:rPr>
          <w:sz w:val="26"/>
          <w:szCs w:val="26"/>
        </w:rPr>
        <w:t>higher</w:t>
      </w:r>
      <w:r w:rsidR="00850127">
        <w:rPr>
          <w:sz w:val="26"/>
          <w:szCs w:val="26"/>
        </w:rPr>
        <w:t xml:space="preserve"> costs </w:t>
      </w:r>
      <w:r w:rsidR="003A57E9">
        <w:rPr>
          <w:sz w:val="26"/>
          <w:szCs w:val="26"/>
        </w:rPr>
        <w:t xml:space="preserve">and </w:t>
      </w:r>
      <w:r w:rsidR="00850127">
        <w:rPr>
          <w:sz w:val="26"/>
          <w:szCs w:val="26"/>
        </w:rPr>
        <w:t>higher</w:t>
      </w:r>
      <w:r w:rsidR="003A57E9">
        <w:rPr>
          <w:sz w:val="26"/>
          <w:szCs w:val="26"/>
        </w:rPr>
        <w:t xml:space="preserve"> IPCS</w:t>
      </w:r>
      <w:r w:rsidR="00850127">
        <w:rPr>
          <w:sz w:val="26"/>
          <w:szCs w:val="26"/>
        </w:rPr>
        <w:t xml:space="preserve"> rates</w:t>
      </w:r>
      <w:r w:rsidR="003A5AF7">
        <w:rPr>
          <w:sz w:val="26"/>
          <w:szCs w:val="26"/>
        </w:rPr>
        <w:t xml:space="preserve">.  </w:t>
      </w:r>
    </w:p>
    <w:p w:rsidR="002403C0" w:rsidP="00674AAD" w:rsidRDefault="00DA564D" w14:paraId="3FC0BD07" w14:textId="094B5205">
      <w:pPr>
        <w:pStyle w:val="Standard"/>
        <w:ind w:firstLine="720"/>
        <w:rPr>
          <w:sz w:val="26"/>
          <w:szCs w:val="26"/>
        </w:rPr>
      </w:pPr>
      <w:r>
        <w:rPr>
          <w:sz w:val="26"/>
          <w:szCs w:val="26"/>
        </w:rPr>
        <w:t xml:space="preserve">Securus </w:t>
      </w:r>
      <w:r w:rsidR="39D18FE5">
        <w:rPr>
          <w:sz w:val="26"/>
          <w:szCs w:val="26"/>
        </w:rPr>
        <w:t>propose</w:t>
      </w:r>
      <w:r>
        <w:rPr>
          <w:sz w:val="26"/>
          <w:szCs w:val="26"/>
        </w:rPr>
        <w:t>s that</w:t>
      </w:r>
      <w:r w:rsidR="00FB4EC0">
        <w:rPr>
          <w:sz w:val="26"/>
          <w:szCs w:val="26"/>
        </w:rPr>
        <w:t>,</w:t>
      </w:r>
      <w:r w:rsidR="39D18FE5">
        <w:rPr>
          <w:sz w:val="26"/>
          <w:szCs w:val="26"/>
        </w:rPr>
        <w:t xml:space="preserve"> </w:t>
      </w:r>
      <w:r w:rsidR="50E36C4A">
        <w:rPr>
          <w:sz w:val="26"/>
          <w:szCs w:val="26"/>
        </w:rPr>
        <w:t>f</w:t>
      </w:r>
      <w:r w:rsidR="55AFD6E3">
        <w:rPr>
          <w:sz w:val="26"/>
          <w:szCs w:val="26"/>
        </w:rPr>
        <w:t>or</w:t>
      </w:r>
      <w:r w:rsidR="00F55DCA">
        <w:rPr>
          <w:sz w:val="26"/>
          <w:szCs w:val="26"/>
        </w:rPr>
        <w:t xml:space="preserve"> purposes of adopting interim rate relief, t</w:t>
      </w:r>
      <w:r w:rsidR="003A5AF7">
        <w:rPr>
          <w:sz w:val="26"/>
          <w:szCs w:val="26"/>
        </w:rPr>
        <w:t xml:space="preserve">he </w:t>
      </w:r>
      <w:r w:rsidR="00A75B86">
        <w:rPr>
          <w:sz w:val="26"/>
          <w:szCs w:val="26"/>
        </w:rPr>
        <w:t xml:space="preserve">Commission </w:t>
      </w:r>
      <w:r w:rsidR="00E13AB7">
        <w:rPr>
          <w:sz w:val="26"/>
          <w:szCs w:val="26"/>
        </w:rPr>
        <w:t xml:space="preserve">should </w:t>
      </w:r>
      <w:r w:rsidR="003A5AF7">
        <w:rPr>
          <w:sz w:val="26"/>
          <w:szCs w:val="26"/>
        </w:rPr>
        <w:t xml:space="preserve">treat the FCC’s adopted rate caps as </w:t>
      </w:r>
      <w:r w:rsidR="00F55DCA">
        <w:rPr>
          <w:sz w:val="26"/>
          <w:szCs w:val="26"/>
        </w:rPr>
        <w:t xml:space="preserve">benchmarks and allow providers to negotiate rates above these levels within a reasonable range or allow a waiver application process.  Further, the Commission should </w:t>
      </w:r>
      <w:r w:rsidR="00E13AB7">
        <w:rPr>
          <w:sz w:val="26"/>
          <w:szCs w:val="26"/>
        </w:rPr>
        <w:t xml:space="preserve">examine </w:t>
      </w:r>
      <w:r w:rsidR="003A57E9">
        <w:rPr>
          <w:sz w:val="26"/>
          <w:szCs w:val="26"/>
        </w:rPr>
        <w:t xml:space="preserve">providers’ </w:t>
      </w:r>
      <w:r w:rsidR="00E13768">
        <w:rPr>
          <w:sz w:val="26"/>
          <w:szCs w:val="26"/>
        </w:rPr>
        <w:t xml:space="preserve">actual </w:t>
      </w:r>
      <w:r w:rsidR="00A75B86">
        <w:rPr>
          <w:sz w:val="26"/>
          <w:szCs w:val="26"/>
        </w:rPr>
        <w:t>costs</w:t>
      </w:r>
      <w:r w:rsidR="00E13AB7">
        <w:rPr>
          <w:sz w:val="26"/>
          <w:szCs w:val="26"/>
        </w:rPr>
        <w:t xml:space="preserve"> </w:t>
      </w:r>
      <w:r w:rsidR="00C242DB">
        <w:rPr>
          <w:sz w:val="26"/>
          <w:szCs w:val="26"/>
        </w:rPr>
        <w:t xml:space="preserve">and </w:t>
      </w:r>
      <w:r w:rsidR="00E13768">
        <w:rPr>
          <w:sz w:val="26"/>
          <w:szCs w:val="26"/>
        </w:rPr>
        <w:t xml:space="preserve">IPCS </w:t>
      </w:r>
      <w:r w:rsidR="00C242DB">
        <w:rPr>
          <w:sz w:val="26"/>
          <w:szCs w:val="26"/>
        </w:rPr>
        <w:t xml:space="preserve">market bidding </w:t>
      </w:r>
      <w:r w:rsidR="00B54171">
        <w:rPr>
          <w:sz w:val="26"/>
          <w:szCs w:val="26"/>
        </w:rPr>
        <w:t>dynamics</w:t>
      </w:r>
      <w:r w:rsidR="00C242DB">
        <w:rPr>
          <w:sz w:val="26"/>
          <w:szCs w:val="26"/>
        </w:rPr>
        <w:t xml:space="preserve"> </w:t>
      </w:r>
      <w:r w:rsidR="00E13AB7">
        <w:rPr>
          <w:sz w:val="26"/>
          <w:szCs w:val="26"/>
        </w:rPr>
        <w:t>before adopting any permanent rate caps</w:t>
      </w:r>
      <w:r w:rsidR="00E60800">
        <w:rPr>
          <w:sz w:val="26"/>
          <w:szCs w:val="26"/>
        </w:rPr>
        <w:t xml:space="preserve"> according to Securus</w:t>
      </w:r>
      <w:r w:rsidR="00E13AB7">
        <w:rPr>
          <w:sz w:val="26"/>
          <w:szCs w:val="26"/>
        </w:rPr>
        <w:t>.</w:t>
      </w:r>
      <w:r w:rsidRPr="00674AAD" w:rsidR="00C242DB">
        <w:rPr>
          <w:sz w:val="26"/>
          <w:szCs w:val="26"/>
          <w:vertAlign w:val="superscript"/>
        </w:rPr>
        <w:footnoteReference w:id="92"/>
      </w:r>
      <w:r w:rsidR="00E13AB7">
        <w:rPr>
          <w:sz w:val="26"/>
          <w:szCs w:val="26"/>
        </w:rPr>
        <w:t xml:space="preserve"> </w:t>
      </w:r>
      <w:r w:rsidR="00A75B86">
        <w:rPr>
          <w:sz w:val="26"/>
          <w:szCs w:val="26"/>
        </w:rPr>
        <w:t xml:space="preserve"> </w:t>
      </w:r>
    </w:p>
    <w:p w:rsidR="000B4A78" w:rsidP="000B4A78" w:rsidRDefault="007C3397" w14:paraId="73020CA8" w14:textId="257265B6">
      <w:pPr>
        <w:pStyle w:val="Standard"/>
        <w:ind w:firstLine="720"/>
        <w:rPr>
          <w:sz w:val="26"/>
          <w:szCs w:val="26"/>
        </w:rPr>
      </w:pPr>
      <w:r>
        <w:rPr>
          <w:sz w:val="26"/>
          <w:szCs w:val="26"/>
        </w:rPr>
        <w:t xml:space="preserve">The </w:t>
      </w:r>
      <w:r w:rsidR="00A34D7C">
        <w:rPr>
          <w:sz w:val="26"/>
          <w:szCs w:val="26"/>
        </w:rPr>
        <w:t xml:space="preserve">IPCS providers </w:t>
      </w:r>
      <w:r w:rsidR="00D54ECA">
        <w:rPr>
          <w:sz w:val="26"/>
          <w:szCs w:val="26"/>
        </w:rPr>
        <w:t xml:space="preserve">reject </w:t>
      </w:r>
      <w:r w:rsidR="00A34D7C">
        <w:rPr>
          <w:sz w:val="26"/>
          <w:szCs w:val="26"/>
        </w:rPr>
        <w:t xml:space="preserve">Staff’s conclusion that the IPCS market in California is monopolistic and allows for </w:t>
      </w:r>
      <w:r w:rsidR="00722E57">
        <w:rPr>
          <w:sz w:val="26"/>
          <w:szCs w:val="26"/>
        </w:rPr>
        <w:t>the exercise of market power</w:t>
      </w:r>
      <w:r>
        <w:rPr>
          <w:sz w:val="26"/>
          <w:szCs w:val="26"/>
        </w:rPr>
        <w:t xml:space="preserve">.  </w:t>
      </w:r>
      <w:r w:rsidR="00F55DCA">
        <w:rPr>
          <w:sz w:val="26"/>
          <w:szCs w:val="26"/>
        </w:rPr>
        <w:t xml:space="preserve">Securus </w:t>
      </w:r>
      <w:r w:rsidR="00231B7B">
        <w:rPr>
          <w:sz w:val="26"/>
          <w:szCs w:val="26"/>
        </w:rPr>
        <w:t>state</w:t>
      </w:r>
      <w:r w:rsidR="00F55DCA">
        <w:rPr>
          <w:sz w:val="26"/>
          <w:szCs w:val="26"/>
        </w:rPr>
        <w:t>s</w:t>
      </w:r>
      <w:r w:rsidR="00231B7B">
        <w:rPr>
          <w:sz w:val="26"/>
          <w:szCs w:val="26"/>
        </w:rPr>
        <w:t xml:space="preserve"> that the existence of at least six IPCS providers in California</w:t>
      </w:r>
      <w:r w:rsidR="00D54ECA">
        <w:rPr>
          <w:sz w:val="26"/>
          <w:szCs w:val="26"/>
        </w:rPr>
        <w:t xml:space="preserve"> </w:t>
      </w:r>
      <w:r w:rsidR="00F87EA2">
        <w:rPr>
          <w:sz w:val="26"/>
          <w:szCs w:val="26"/>
        </w:rPr>
        <w:t>compet</w:t>
      </w:r>
      <w:r w:rsidR="00D54ECA">
        <w:rPr>
          <w:sz w:val="26"/>
          <w:szCs w:val="26"/>
        </w:rPr>
        <w:t>ing</w:t>
      </w:r>
      <w:r w:rsidR="00F87EA2">
        <w:rPr>
          <w:sz w:val="26"/>
          <w:szCs w:val="26"/>
        </w:rPr>
        <w:t xml:space="preserve"> through Request for Proposal (RFP) processes for </w:t>
      </w:r>
      <w:r w:rsidR="00F16E4E">
        <w:rPr>
          <w:sz w:val="26"/>
          <w:szCs w:val="26"/>
        </w:rPr>
        <w:t xml:space="preserve">IPCS </w:t>
      </w:r>
      <w:r w:rsidR="00F87EA2">
        <w:rPr>
          <w:sz w:val="26"/>
          <w:szCs w:val="26"/>
        </w:rPr>
        <w:t xml:space="preserve">contracts </w:t>
      </w:r>
      <w:r w:rsidR="00E647A6">
        <w:rPr>
          <w:sz w:val="26"/>
          <w:szCs w:val="26"/>
        </w:rPr>
        <w:t xml:space="preserve">belies the conclusion that </w:t>
      </w:r>
      <w:r w:rsidR="002C273C">
        <w:rPr>
          <w:sz w:val="26"/>
          <w:szCs w:val="26"/>
        </w:rPr>
        <w:t>providers exercise monopoly power to unilaterally set rates</w:t>
      </w:r>
      <w:r w:rsidR="00D54ECA">
        <w:rPr>
          <w:sz w:val="26"/>
          <w:szCs w:val="26"/>
        </w:rPr>
        <w:t>.</w:t>
      </w:r>
      <w:r w:rsidRPr="00674AAD" w:rsidR="002C273C">
        <w:rPr>
          <w:sz w:val="26"/>
          <w:szCs w:val="26"/>
          <w:vertAlign w:val="superscript"/>
        </w:rPr>
        <w:footnoteReference w:id="93"/>
      </w:r>
      <w:r w:rsidR="00311060">
        <w:rPr>
          <w:sz w:val="26"/>
          <w:szCs w:val="26"/>
        </w:rPr>
        <w:t xml:space="preserve"> </w:t>
      </w:r>
      <w:r w:rsidR="00D54ECA">
        <w:rPr>
          <w:sz w:val="26"/>
          <w:szCs w:val="26"/>
        </w:rPr>
        <w:t xml:space="preserve"> </w:t>
      </w:r>
      <w:r w:rsidR="00FB4EC0">
        <w:rPr>
          <w:sz w:val="26"/>
          <w:szCs w:val="26"/>
        </w:rPr>
        <w:t xml:space="preserve">Securus </w:t>
      </w:r>
      <w:r w:rsidR="36103E37">
        <w:rPr>
          <w:sz w:val="26"/>
          <w:szCs w:val="26"/>
        </w:rPr>
        <w:t>state</w:t>
      </w:r>
      <w:r w:rsidR="00E46B74">
        <w:rPr>
          <w:sz w:val="26"/>
          <w:szCs w:val="26"/>
        </w:rPr>
        <w:t>s</w:t>
      </w:r>
      <w:r w:rsidR="36103E37">
        <w:rPr>
          <w:sz w:val="26"/>
          <w:szCs w:val="26"/>
        </w:rPr>
        <w:t xml:space="preserve"> that </w:t>
      </w:r>
      <w:r w:rsidRPr="00674AAD" w:rsidR="00674AAD">
        <w:rPr>
          <w:sz w:val="26"/>
          <w:szCs w:val="26"/>
        </w:rPr>
        <w:t>IPCS rates are “set in a collaborative manner with agency customers</w:t>
      </w:r>
      <w:r w:rsidR="009E6689">
        <w:rPr>
          <w:sz w:val="26"/>
          <w:szCs w:val="26"/>
        </w:rPr>
        <w:t>”</w:t>
      </w:r>
      <w:r w:rsidRPr="00674AAD" w:rsidR="00674AAD">
        <w:rPr>
          <w:sz w:val="26"/>
          <w:szCs w:val="26"/>
          <w:vertAlign w:val="superscript"/>
        </w:rPr>
        <w:footnoteReference w:id="94"/>
      </w:r>
      <w:r w:rsidR="00D54ECA">
        <w:rPr>
          <w:sz w:val="26"/>
          <w:szCs w:val="26"/>
        </w:rPr>
        <w:t xml:space="preserve"> or </w:t>
      </w:r>
      <w:r w:rsidR="002B7B63">
        <w:rPr>
          <w:sz w:val="26"/>
          <w:szCs w:val="26"/>
        </w:rPr>
        <w:t>“</w:t>
      </w:r>
      <w:r w:rsidR="00D54ECA">
        <w:rPr>
          <w:sz w:val="26"/>
          <w:szCs w:val="26"/>
        </w:rPr>
        <w:t>dictated</w:t>
      </w:r>
      <w:r w:rsidR="002B7B63">
        <w:rPr>
          <w:sz w:val="26"/>
          <w:szCs w:val="26"/>
        </w:rPr>
        <w:t>”</w:t>
      </w:r>
      <w:r w:rsidR="00D54ECA">
        <w:rPr>
          <w:sz w:val="26"/>
          <w:szCs w:val="26"/>
        </w:rPr>
        <w:t xml:space="preserve"> by the facilities.</w:t>
      </w:r>
      <w:r w:rsidRPr="00D54ECA" w:rsidR="00D54ECA">
        <w:rPr>
          <w:sz w:val="26"/>
          <w:szCs w:val="26"/>
          <w:vertAlign w:val="superscript"/>
        </w:rPr>
        <w:t xml:space="preserve"> </w:t>
      </w:r>
      <w:r w:rsidRPr="00674AAD" w:rsidR="00D54ECA">
        <w:rPr>
          <w:sz w:val="26"/>
          <w:szCs w:val="26"/>
          <w:vertAlign w:val="superscript"/>
        </w:rPr>
        <w:footnoteReference w:id="95"/>
      </w:r>
      <w:r w:rsidRPr="00674AAD" w:rsidR="00D54ECA">
        <w:rPr>
          <w:sz w:val="26"/>
          <w:szCs w:val="26"/>
        </w:rPr>
        <w:t xml:space="preserve"> </w:t>
      </w:r>
      <w:r w:rsidR="002B7B63">
        <w:rPr>
          <w:sz w:val="26"/>
          <w:szCs w:val="26"/>
        </w:rPr>
        <w:t xml:space="preserve"> </w:t>
      </w:r>
      <w:r w:rsidR="004138AB">
        <w:rPr>
          <w:sz w:val="26"/>
          <w:szCs w:val="26"/>
        </w:rPr>
        <w:t>S</w:t>
      </w:r>
      <w:r w:rsidR="007D086B">
        <w:rPr>
          <w:sz w:val="26"/>
          <w:szCs w:val="26"/>
        </w:rPr>
        <w:t xml:space="preserve">ecurus </w:t>
      </w:r>
      <w:r w:rsidR="007932C4">
        <w:rPr>
          <w:sz w:val="26"/>
          <w:szCs w:val="26"/>
        </w:rPr>
        <w:t xml:space="preserve">argues </w:t>
      </w:r>
      <w:r w:rsidR="007D086B">
        <w:rPr>
          <w:sz w:val="26"/>
          <w:szCs w:val="26"/>
        </w:rPr>
        <w:t>that</w:t>
      </w:r>
      <w:r w:rsidRPr="00674AAD" w:rsidR="007D086B">
        <w:rPr>
          <w:sz w:val="26"/>
          <w:szCs w:val="26"/>
        </w:rPr>
        <w:t xml:space="preserve"> “[t]</w:t>
      </w:r>
      <w:proofErr w:type="gramStart"/>
      <w:r w:rsidRPr="00674AAD" w:rsidR="007D086B">
        <w:rPr>
          <w:sz w:val="26"/>
          <w:szCs w:val="26"/>
        </w:rPr>
        <w:t>he</w:t>
      </w:r>
      <w:proofErr w:type="gramEnd"/>
      <w:r w:rsidRPr="00674AAD" w:rsidR="007D086B">
        <w:rPr>
          <w:sz w:val="26"/>
          <w:szCs w:val="26"/>
        </w:rPr>
        <w:t xml:space="preserve"> practice of utilizing a competitive bidding process to select a sole provider has in fact resulted in substantial rate reductions</w:t>
      </w:r>
      <w:r w:rsidRPr="0035050D" w:rsidR="004138AB">
        <w:rPr>
          <w:sz w:val="26"/>
          <w:szCs w:val="26"/>
        </w:rPr>
        <w:t>.</w:t>
      </w:r>
      <w:r w:rsidRPr="0035050D" w:rsidR="0035050D">
        <w:rPr>
          <w:sz w:val="26"/>
          <w:szCs w:val="26"/>
        </w:rPr>
        <w:t>”</w:t>
      </w:r>
      <w:r w:rsidRPr="0035050D" w:rsidR="007D086B">
        <w:rPr>
          <w:sz w:val="26"/>
          <w:szCs w:val="26"/>
          <w:vertAlign w:val="superscript"/>
        </w:rPr>
        <w:footnoteReference w:id="96"/>
      </w:r>
    </w:p>
    <w:p w:rsidR="000453AF" w:rsidP="000B4A78" w:rsidRDefault="00063720" w14:paraId="30B4ABDE" w14:textId="71C32F97">
      <w:pPr>
        <w:pStyle w:val="Standard"/>
        <w:ind w:firstLine="720"/>
        <w:rPr>
          <w:sz w:val="26"/>
          <w:szCs w:val="26"/>
        </w:rPr>
      </w:pPr>
      <w:r>
        <w:rPr>
          <w:sz w:val="26"/>
          <w:szCs w:val="26"/>
        </w:rPr>
        <w:lastRenderedPageBreak/>
        <w:t>In comments on the proposed decision, Securus argue</w:t>
      </w:r>
      <w:r w:rsidR="002F2EA1">
        <w:rPr>
          <w:sz w:val="26"/>
          <w:szCs w:val="26"/>
        </w:rPr>
        <w:t>s</w:t>
      </w:r>
      <w:r>
        <w:rPr>
          <w:sz w:val="26"/>
          <w:szCs w:val="26"/>
        </w:rPr>
        <w:t xml:space="preserve"> that data from the Prison Policy In</w:t>
      </w:r>
      <w:r w:rsidR="00331523">
        <w:rPr>
          <w:sz w:val="26"/>
          <w:szCs w:val="26"/>
        </w:rPr>
        <w:t>itiative</w:t>
      </w:r>
      <w:r w:rsidR="00E63C7D">
        <w:rPr>
          <w:sz w:val="26"/>
          <w:szCs w:val="26"/>
        </w:rPr>
        <w:t xml:space="preserve"> </w:t>
      </w:r>
      <w:r w:rsidR="004267A4">
        <w:rPr>
          <w:sz w:val="26"/>
          <w:szCs w:val="26"/>
        </w:rPr>
        <w:t xml:space="preserve">indicating </w:t>
      </w:r>
      <w:r w:rsidR="00255772">
        <w:rPr>
          <w:sz w:val="26"/>
          <w:szCs w:val="26"/>
        </w:rPr>
        <w:t xml:space="preserve">that </w:t>
      </w:r>
      <w:r w:rsidR="004267A4">
        <w:rPr>
          <w:sz w:val="26"/>
          <w:szCs w:val="26"/>
        </w:rPr>
        <w:t xml:space="preserve">rates </w:t>
      </w:r>
      <w:r w:rsidR="00255772">
        <w:rPr>
          <w:sz w:val="26"/>
          <w:szCs w:val="26"/>
        </w:rPr>
        <w:t>decline</w:t>
      </w:r>
      <w:r w:rsidR="00D65EC2">
        <w:rPr>
          <w:sz w:val="26"/>
          <w:szCs w:val="26"/>
        </w:rPr>
        <w:t xml:space="preserve">d </w:t>
      </w:r>
      <w:r w:rsidR="004267A4">
        <w:rPr>
          <w:sz w:val="26"/>
          <w:szCs w:val="26"/>
        </w:rPr>
        <w:t xml:space="preserve">between 2018 and 2020 </w:t>
      </w:r>
      <w:r w:rsidR="00D65EC2">
        <w:rPr>
          <w:sz w:val="26"/>
          <w:szCs w:val="26"/>
        </w:rPr>
        <w:t xml:space="preserve">for 67 state systems </w:t>
      </w:r>
      <w:r w:rsidR="003772BF">
        <w:rPr>
          <w:sz w:val="26"/>
          <w:szCs w:val="26"/>
        </w:rPr>
        <w:t>reflects the existence of a competitive market.</w:t>
      </w:r>
      <w:r w:rsidR="002F2EA1">
        <w:rPr>
          <w:rStyle w:val="FootnoteReference"/>
          <w:sz w:val="26"/>
          <w:szCs w:val="26"/>
        </w:rPr>
        <w:footnoteReference w:id="97"/>
      </w:r>
      <w:r w:rsidR="003772BF">
        <w:rPr>
          <w:sz w:val="26"/>
          <w:szCs w:val="26"/>
        </w:rPr>
        <w:t xml:space="preserve">  GTL states that it</w:t>
      </w:r>
      <w:r w:rsidR="000118A3">
        <w:rPr>
          <w:sz w:val="26"/>
          <w:szCs w:val="26"/>
        </w:rPr>
        <w:t xml:space="preserve">s actions to increase the </w:t>
      </w:r>
      <w:r w:rsidR="003772BF">
        <w:rPr>
          <w:sz w:val="26"/>
          <w:szCs w:val="26"/>
        </w:rPr>
        <w:t>affordability of calls and provide</w:t>
      </w:r>
      <w:r w:rsidR="000118A3">
        <w:rPr>
          <w:sz w:val="26"/>
          <w:szCs w:val="26"/>
        </w:rPr>
        <w:t xml:space="preserve"> </w:t>
      </w:r>
      <w:r w:rsidR="003772BF">
        <w:rPr>
          <w:sz w:val="26"/>
          <w:szCs w:val="26"/>
        </w:rPr>
        <w:t>free calls</w:t>
      </w:r>
      <w:r w:rsidR="000118A3">
        <w:rPr>
          <w:sz w:val="26"/>
          <w:szCs w:val="26"/>
        </w:rPr>
        <w:t xml:space="preserve"> reflect a competitive market.</w:t>
      </w:r>
      <w:r w:rsidR="00F64767">
        <w:rPr>
          <w:rStyle w:val="FootnoteReference"/>
          <w:sz w:val="26"/>
          <w:szCs w:val="26"/>
        </w:rPr>
        <w:footnoteReference w:id="98"/>
      </w:r>
      <w:r w:rsidR="002E20F5">
        <w:rPr>
          <w:sz w:val="26"/>
          <w:szCs w:val="26"/>
        </w:rPr>
        <w:t xml:space="preserve">  Securus rejects </w:t>
      </w:r>
      <w:r w:rsidR="00F20B6D">
        <w:rPr>
          <w:sz w:val="26"/>
          <w:szCs w:val="26"/>
        </w:rPr>
        <w:t>the notion that it operates locational monopolies, stating that “</w:t>
      </w:r>
      <w:r w:rsidR="001C0B1B">
        <w:rPr>
          <w:sz w:val="26"/>
          <w:szCs w:val="26"/>
        </w:rPr>
        <w:t>[c]</w:t>
      </w:r>
      <w:proofErr w:type="spellStart"/>
      <w:r w:rsidRPr="001C0B1B" w:rsidR="001C0B1B">
        <w:rPr>
          <w:sz w:val="26"/>
          <w:szCs w:val="26"/>
        </w:rPr>
        <w:t>orrectional</w:t>
      </w:r>
      <w:proofErr w:type="spellEnd"/>
      <w:r w:rsidRPr="001C0B1B" w:rsidR="001C0B1B">
        <w:rPr>
          <w:sz w:val="26"/>
          <w:szCs w:val="26"/>
        </w:rPr>
        <w:t xml:space="preserve"> facilities are not locational monopolies and site commission payments are not locational rents or shared profits. </w:t>
      </w:r>
      <w:r w:rsidR="009B7BCF">
        <w:rPr>
          <w:sz w:val="26"/>
          <w:szCs w:val="26"/>
        </w:rPr>
        <w:t xml:space="preserve"> </w:t>
      </w:r>
      <w:r w:rsidRPr="001C0B1B" w:rsidR="001C0B1B">
        <w:rPr>
          <w:sz w:val="26"/>
          <w:szCs w:val="26"/>
        </w:rPr>
        <w:t>Site commissions instead are ’costs of doing business incurred by ICS providers.</w:t>
      </w:r>
      <w:r w:rsidR="001C0B1B">
        <w:rPr>
          <w:sz w:val="26"/>
          <w:szCs w:val="26"/>
        </w:rPr>
        <w:t>’”</w:t>
      </w:r>
      <w:r w:rsidR="001C0B1B">
        <w:rPr>
          <w:rStyle w:val="FootnoteReference"/>
          <w:sz w:val="26"/>
          <w:szCs w:val="26"/>
        </w:rPr>
        <w:footnoteReference w:id="99"/>
      </w:r>
    </w:p>
    <w:p w:rsidR="00674AAD" w:rsidP="002B7B63" w:rsidRDefault="10572BFD" w14:paraId="4FA1CE43" w14:textId="40D3ABBC">
      <w:pPr>
        <w:pStyle w:val="Standard"/>
        <w:ind w:firstLine="720"/>
        <w:rPr>
          <w:sz w:val="26"/>
          <w:szCs w:val="26"/>
        </w:rPr>
      </w:pPr>
      <w:r>
        <w:rPr>
          <w:sz w:val="26"/>
          <w:szCs w:val="26"/>
        </w:rPr>
        <w:t>IPCS providers</w:t>
      </w:r>
      <w:r w:rsidR="002B7B63">
        <w:rPr>
          <w:sz w:val="26"/>
          <w:szCs w:val="26"/>
        </w:rPr>
        <w:t xml:space="preserve"> also argue that </w:t>
      </w:r>
      <w:r w:rsidR="00F55DCA">
        <w:rPr>
          <w:sz w:val="26"/>
          <w:szCs w:val="26"/>
        </w:rPr>
        <w:t xml:space="preserve">the IPCS market is not </w:t>
      </w:r>
      <w:r w:rsidR="002B5D99">
        <w:rPr>
          <w:sz w:val="26"/>
          <w:szCs w:val="26"/>
        </w:rPr>
        <w:t xml:space="preserve">monopolistic because </w:t>
      </w:r>
      <w:r w:rsidR="002B7B63">
        <w:rPr>
          <w:sz w:val="26"/>
          <w:szCs w:val="26"/>
        </w:rPr>
        <w:t>g</w:t>
      </w:r>
      <w:r w:rsidR="00A60E6A">
        <w:rPr>
          <w:sz w:val="26"/>
          <w:szCs w:val="26"/>
        </w:rPr>
        <w:t>o</w:t>
      </w:r>
      <w:r w:rsidRPr="00674AAD" w:rsidR="00D54ECA">
        <w:rPr>
          <w:sz w:val="26"/>
          <w:szCs w:val="26"/>
        </w:rPr>
        <w:t>vernment bodies are “free to award contracts to multiple vendors”</w:t>
      </w:r>
      <w:r w:rsidR="00D54ECA">
        <w:rPr>
          <w:sz w:val="26"/>
          <w:szCs w:val="26"/>
        </w:rPr>
        <w:t xml:space="preserve"> </w:t>
      </w:r>
      <w:r w:rsidR="007E1953">
        <w:rPr>
          <w:sz w:val="26"/>
          <w:szCs w:val="26"/>
        </w:rPr>
        <w:t xml:space="preserve">but decline to do so </w:t>
      </w:r>
      <w:r w:rsidRPr="00674AAD" w:rsidR="00FB00DC">
        <w:rPr>
          <w:sz w:val="26"/>
          <w:szCs w:val="26"/>
        </w:rPr>
        <w:t>because awarding contracts to multiple providers would “increase infrastructure installation, redundant security capabilities, training of separate platforms, and increase amount to consumers.”</w:t>
      </w:r>
      <w:r w:rsidRPr="00674AAD" w:rsidR="00FB00DC">
        <w:rPr>
          <w:sz w:val="26"/>
          <w:szCs w:val="26"/>
          <w:vertAlign w:val="superscript"/>
        </w:rPr>
        <w:footnoteReference w:id="100"/>
      </w:r>
      <w:r w:rsidRPr="00674AAD" w:rsidR="00FB00DC">
        <w:rPr>
          <w:sz w:val="26"/>
          <w:szCs w:val="26"/>
        </w:rPr>
        <w:t xml:space="preserve">  </w:t>
      </w:r>
      <w:r w:rsidRPr="00674AAD" w:rsidR="00674AAD">
        <w:rPr>
          <w:sz w:val="26"/>
          <w:szCs w:val="26"/>
        </w:rPr>
        <w:t xml:space="preserve">GTL </w:t>
      </w:r>
      <w:r w:rsidR="004E3BB5">
        <w:rPr>
          <w:sz w:val="26"/>
          <w:szCs w:val="26"/>
        </w:rPr>
        <w:t>asserts</w:t>
      </w:r>
      <w:r w:rsidRPr="00674AAD" w:rsidR="00674AAD">
        <w:rPr>
          <w:sz w:val="26"/>
          <w:szCs w:val="26"/>
        </w:rPr>
        <w:t xml:space="preserve"> that it has </w:t>
      </w:r>
      <w:r w:rsidR="007D086B">
        <w:rPr>
          <w:sz w:val="26"/>
          <w:szCs w:val="26"/>
        </w:rPr>
        <w:t xml:space="preserve">recently improved the affordability of calls or </w:t>
      </w:r>
      <w:r w:rsidRPr="00674AAD" w:rsidR="00674AAD">
        <w:rPr>
          <w:sz w:val="26"/>
          <w:szCs w:val="26"/>
        </w:rPr>
        <w:t>provid</w:t>
      </w:r>
      <w:r w:rsidR="007D086B">
        <w:rPr>
          <w:sz w:val="26"/>
          <w:szCs w:val="26"/>
        </w:rPr>
        <w:t>ed free calls</w:t>
      </w:r>
      <w:r w:rsidR="005F567F">
        <w:rPr>
          <w:sz w:val="26"/>
          <w:szCs w:val="26"/>
        </w:rPr>
        <w:t>, which i</w:t>
      </w:r>
      <w:r w:rsidR="008C7102">
        <w:rPr>
          <w:sz w:val="26"/>
          <w:szCs w:val="26"/>
        </w:rPr>
        <w:t xml:space="preserve">t states is </w:t>
      </w:r>
      <w:r w:rsidR="005F567F">
        <w:rPr>
          <w:sz w:val="26"/>
          <w:szCs w:val="26"/>
        </w:rPr>
        <w:t>t</w:t>
      </w:r>
      <w:r w:rsidRPr="00674AAD" w:rsidR="00674AAD">
        <w:rPr>
          <w:sz w:val="26"/>
          <w:szCs w:val="26"/>
        </w:rPr>
        <w:t xml:space="preserve">he </w:t>
      </w:r>
      <w:r w:rsidR="00D87F0E">
        <w:rPr>
          <w:sz w:val="26"/>
          <w:szCs w:val="26"/>
        </w:rPr>
        <w:t xml:space="preserve">“very </w:t>
      </w:r>
      <w:r w:rsidRPr="00674AAD" w:rsidR="00674AAD">
        <w:rPr>
          <w:sz w:val="26"/>
          <w:szCs w:val="26"/>
        </w:rPr>
        <w:t xml:space="preserve">antithesis of </w:t>
      </w:r>
      <w:r w:rsidR="00D87F0E">
        <w:rPr>
          <w:sz w:val="26"/>
          <w:szCs w:val="26"/>
        </w:rPr>
        <w:t>‘</w:t>
      </w:r>
      <w:r w:rsidRPr="00674AAD" w:rsidR="00674AAD">
        <w:rPr>
          <w:sz w:val="26"/>
          <w:szCs w:val="26"/>
        </w:rPr>
        <w:t>abuse.</w:t>
      </w:r>
      <w:r w:rsidR="006B22B1">
        <w:rPr>
          <w:sz w:val="26"/>
          <w:szCs w:val="26"/>
        </w:rPr>
        <w:t>’</w:t>
      </w:r>
      <w:r w:rsidRPr="00674AAD" w:rsidR="00674AAD">
        <w:rPr>
          <w:sz w:val="26"/>
          <w:szCs w:val="26"/>
        </w:rPr>
        <w:t>”</w:t>
      </w:r>
      <w:r w:rsidRPr="00674AAD" w:rsidR="00674AAD">
        <w:rPr>
          <w:sz w:val="26"/>
          <w:szCs w:val="26"/>
          <w:vertAlign w:val="superscript"/>
        </w:rPr>
        <w:footnoteReference w:id="101"/>
      </w:r>
    </w:p>
    <w:p w:rsidRPr="00AA3A30" w:rsidR="00AA3A30" w:rsidP="00012395" w:rsidRDefault="008A2A1B" w14:paraId="3AA05FC3" w14:textId="2583547C">
      <w:pPr>
        <w:pStyle w:val="Heading3"/>
      </w:pPr>
      <w:bookmarkStart w:name="_Toc80089399" w:id="35"/>
      <w:r>
        <w:t>5.3.2</w:t>
      </w:r>
      <w:r>
        <w:tab/>
      </w:r>
      <w:r w:rsidR="0067537C">
        <w:t>Other Party Comments</w:t>
      </w:r>
      <w:bookmarkEnd w:id="35"/>
      <w:r w:rsidR="0067537C">
        <w:t xml:space="preserve"> </w:t>
      </w:r>
    </w:p>
    <w:p w:rsidR="00351BE5" w:rsidP="00D23065" w:rsidRDefault="009C10E7" w14:paraId="47AE83AB" w14:textId="1233EF47">
      <w:pPr>
        <w:pStyle w:val="Standard"/>
        <w:ind w:firstLine="720"/>
        <w:rPr>
          <w:sz w:val="26"/>
          <w:szCs w:val="26"/>
        </w:rPr>
      </w:pPr>
      <w:r>
        <w:rPr>
          <w:sz w:val="26"/>
          <w:szCs w:val="26"/>
        </w:rPr>
        <w:t xml:space="preserve">Cal Advocates, TURN, </w:t>
      </w:r>
      <w:proofErr w:type="spellStart"/>
      <w:r>
        <w:rPr>
          <w:sz w:val="26"/>
          <w:szCs w:val="26"/>
        </w:rPr>
        <w:t>CforAT</w:t>
      </w:r>
      <w:proofErr w:type="spellEnd"/>
      <w:r>
        <w:rPr>
          <w:sz w:val="26"/>
          <w:szCs w:val="26"/>
        </w:rPr>
        <w:t xml:space="preserve">, Prison Policy Institute, the Justice Coalition </w:t>
      </w:r>
      <w:r w:rsidR="00943630">
        <w:rPr>
          <w:sz w:val="26"/>
          <w:szCs w:val="26"/>
        </w:rPr>
        <w:t>and two calling service provider</w:t>
      </w:r>
      <w:r w:rsidR="00A91D82">
        <w:rPr>
          <w:sz w:val="26"/>
          <w:szCs w:val="26"/>
        </w:rPr>
        <w:t xml:space="preserve"> parties</w:t>
      </w:r>
      <w:r w:rsidR="00943630">
        <w:rPr>
          <w:sz w:val="26"/>
          <w:szCs w:val="26"/>
        </w:rPr>
        <w:t xml:space="preserve">, NCIC Inmate Communications and Verizon, agree with </w:t>
      </w:r>
      <w:r w:rsidR="002A64F6">
        <w:rPr>
          <w:sz w:val="26"/>
          <w:szCs w:val="26"/>
        </w:rPr>
        <w:t xml:space="preserve">Staff’s conclusion that </w:t>
      </w:r>
      <w:r w:rsidR="00452903">
        <w:rPr>
          <w:sz w:val="26"/>
          <w:szCs w:val="26"/>
        </w:rPr>
        <w:t xml:space="preserve">high and </w:t>
      </w:r>
      <w:r w:rsidR="00EA18E7">
        <w:rPr>
          <w:sz w:val="26"/>
          <w:szCs w:val="26"/>
        </w:rPr>
        <w:t xml:space="preserve">widely divergent </w:t>
      </w:r>
      <w:r w:rsidR="00452903">
        <w:rPr>
          <w:sz w:val="26"/>
          <w:szCs w:val="26"/>
        </w:rPr>
        <w:t xml:space="preserve">IPCS </w:t>
      </w:r>
      <w:r w:rsidR="00EA18E7">
        <w:rPr>
          <w:sz w:val="26"/>
          <w:szCs w:val="26"/>
        </w:rPr>
        <w:t xml:space="preserve">rates and </w:t>
      </w:r>
      <w:r w:rsidR="00452903">
        <w:rPr>
          <w:sz w:val="26"/>
          <w:szCs w:val="26"/>
        </w:rPr>
        <w:t xml:space="preserve">a </w:t>
      </w:r>
      <w:r w:rsidR="00EA18E7">
        <w:rPr>
          <w:sz w:val="26"/>
          <w:szCs w:val="26"/>
        </w:rPr>
        <w:t xml:space="preserve">lack of </w:t>
      </w:r>
      <w:r w:rsidR="00452903">
        <w:rPr>
          <w:sz w:val="26"/>
          <w:szCs w:val="26"/>
        </w:rPr>
        <w:t xml:space="preserve">provider </w:t>
      </w:r>
      <w:r w:rsidR="00EA18E7">
        <w:rPr>
          <w:sz w:val="26"/>
          <w:szCs w:val="26"/>
        </w:rPr>
        <w:t xml:space="preserve">choice </w:t>
      </w:r>
      <w:r w:rsidR="00452903">
        <w:rPr>
          <w:sz w:val="26"/>
          <w:szCs w:val="26"/>
        </w:rPr>
        <w:t xml:space="preserve">for incarcerated people </w:t>
      </w:r>
      <w:r w:rsidR="00EA18E7">
        <w:rPr>
          <w:sz w:val="26"/>
          <w:szCs w:val="26"/>
        </w:rPr>
        <w:t>i</w:t>
      </w:r>
      <w:r w:rsidR="002B4CDB">
        <w:rPr>
          <w:sz w:val="26"/>
          <w:szCs w:val="26"/>
        </w:rPr>
        <w:t xml:space="preserve">ndicates the existence of locational </w:t>
      </w:r>
      <w:r w:rsidR="002A64F6">
        <w:rPr>
          <w:sz w:val="26"/>
          <w:szCs w:val="26"/>
        </w:rPr>
        <w:t>monopolies exercis</w:t>
      </w:r>
      <w:r w:rsidR="00452903">
        <w:rPr>
          <w:sz w:val="26"/>
          <w:szCs w:val="26"/>
        </w:rPr>
        <w:t>ing</w:t>
      </w:r>
      <w:r w:rsidR="002A64F6">
        <w:rPr>
          <w:sz w:val="26"/>
          <w:szCs w:val="26"/>
        </w:rPr>
        <w:t xml:space="preserve"> market power</w:t>
      </w:r>
      <w:r w:rsidR="00452903">
        <w:rPr>
          <w:sz w:val="26"/>
          <w:szCs w:val="26"/>
        </w:rPr>
        <w:t>.</w:t>
      </w:r>
      <w:r w:rsidR="004D7D09">
        <w:rPr>
          <w:sz w:val="26"/>
          <w:szCs w:val="26"/>
        </w:rPr>
        <w:t xml:space="preserve"> </w:t>
      </w:r>
    </w:p>
    <w:p w:rsidR="00351BE5" w:rsidP="00D23065" w:rsidRDefault="00A664BF" w14:paraId="0961E49B" w14:textId="2A0454C9">
      <w:pPr>
        <w:pStyle w:val="Standard"/>
        <w:ind w:firstLine="720"/>
        <w:rPr>
          <w:sz w:val="26"/>
          <w:szCs w:val="26"/>
        </w:rPr>
      </w:pPr>
      <w:proofErr w:type="spellStart"/>
      <w:r>
        <w:rPr>
          <w:sz w:val="26"/>
          <w:szCs w:val="26"/>
        </w:rPr>
        <w:lastRenderedPageBreak/>
        <w:t>CforAT</w:t>
      </w:r>
      <w:proofErr w:type="spellEnd"/>
      <w:r>
        <w:rPr>
          <w:sz w:val="26"/>
          <w:szCs w:val="26"/>
        </w:rPr>
        <w:t xml:space="preserve"> </w:t>
      </w:r>
      <w:r w:rsidR="004D7D09">
        <w:rPr>
          <w:sz w:val="26"/>
          <w:szCs w:val="26"/>
        </w:rPr>
        <w:t xml:space="preserve">states that </w:t>
      </w:r>
      <w:r w:rsidR="00760D8F">
        <w:rPr>
          <w:sz w:val="26"/>
          <w:szCs w:val="26"/>
        </w:rPr>
        <w:t>IPCS rates are “e</w:t>
      </w:r>
      <w:r w:rsidRPr="00760D8F" w:rsidR="00760D8F">
        <w:rPr>
          <w:sz w:val="26"/>
          <w:szCs w:val="26"/>
        </w:rPr>
        <w:t>xtra-competitive</w:t>
      </w:r>
      <w:r w:rsidR="00760D8F">
        <w:rPr>
          <w:sz w:val="26"/>
          <w:szCs w:val="26"/>
        </w:rPr>
        <w:t>,</w:t>
      </w:r>
      <w:r w:rsidRPr="00760D8F" w:rsidR="00760D8F">
        <w:rPr>
          <w:sz w:val="26"/>
          <w:szCs w:val="26"/>
        </w:rPr>
        <w:t>”</w:t>
      </w:r>
      <w:r w:rsidR="00C33BAD">
        <w:rPr>
          <w:sz w:val="26"/>
          <w:szCs w:val="26"/>
        </w:rPr>
        <w:t xml:space="preserve"> </w:t>
      </w:r>
      <w:r w:rsidR="00760D8F">
        <w:rPr>
          <w:sz w:val="26"/>
          <w:szCs w:val="26"/>
        </w:rPr>
        <w:t xml:space="preserve">or </w:t>
      </w:r>
      <w:r w:rsidRPr="00760D8F" w:rsidR="00760D8F">
        <w:rPr>
          <w:sz w:val="26"/>
          <w:szCs w:val="26"/>
        </w:rPr>
        <w:t>higher than they would be in a competitive market</w:t>
      </w:r>
      <w:r w:rsidR="00232F12">
        <w:rPr>
          <w:sz w:val="26"/>
          <w:szCs w:val="26"/>
        </w:rPr>
        <w:t>.</w:t>
      </w:r>
      <w:r w:rsidR="00232F12">
        <w:rPr>
          <w:rStyle w:val="FootnoteReference"/>
          <w:sz w:val="26"/>
          <w:szCs w:val="26"/>
        </w:rPr>
        <w:footnoteReference w:id="102"/>
      </w:r>
      <w:r w:rsidR="00232F12">
        <w:rPr>
          <w:sz w:val="26"/>
          <w:szCs w:val="26"/>
        </w:rPr>
        <w:t xml:space="preserve">  </w:t>
      </w:r>
      <w:proofErr w:type="spellStart"/>
      <w:r w:rsidR="00C33BAD">
        <w:rPr>
          <w:sz w:val="26"/>
          <w:szCs w:val="26"/>
        </w:rPr>
        <w:t>CforAT</w:t>
      </w:r>
      <w:proofErr w:type="spellEnd"/>
      <w:r w:rsidR="00C33BAD">
        <w:rPr>
          <w:sz w:val="26"/>
          <w:szCs w:val="26"/>
        </w:rPr>
        <w:t xml:space="preserve"> describes work of the </w:t>
      </w:r>
      <w:r w:rsidRPr="00C33BAD" w:rsidR="00C33BAD">
        <w:rPr>
          <w:sz w:val="26"/>
          <w:szCs w:val="26"/>
        </w:rPr>
        <w:t>Federal Trade Commission and United States Department of Justi</w:t>
      </w:r>
      <w:r w:rsidR="00CD19CB">
        <w:rPr>
          <w:sz w:val="26"/>
          <w:szCs w:val="26"/>
        </w:rPr>
        <w:t>ce, which conclude</w:t>
      </w:r>
      <w:r w:rsidR="00E117FE">
        <w:rPr>
          <w:sz w:val="26"/>
          <w:szCs w:val="26"/>
        </w:rPr>
        <w:t>s</w:t>
      </w:r>
      <w:r w:rsidR="00CD19CB">
        <w:rPr>
          <w:sz w:val="26"/>
          <w:szCs w:val="26"/>
        </w:rPr>
        <w:t xml:space="preserve"> that a </w:t>
      </w:r>
      <w:r w:rsidRPr="00D20006" w:rsidR="00D20006">
        <w:rPr>
          <w:sz w:val="26"/>
          <w:szCs w:val="26"/>
        </w:rPr>
        <w:t>market where there are no reasonabl</w:t>
      </w:r>
      <w:r w:rsidR="00D022C8">
        <w:rPr>
          <w:sz w:val="26"/>
          <w:szCs w:val="26"/>
        </w:rPr>
        <w:t>y</w:t>
      </w:r>
      <w:r w:rsidR="00CD19CB">
        <w:rPr>
          <w:sz w:val="26"/>
          <w:szCs w:val="26"/>
        </w:rPr>
        <w:t xml:space="preserve"> </w:t>
      </w:r>
      <w:r w:rsidRPr="00D20006" w:rsidR="00D20006">
        <w:rPr>
          <w:sz w:val="26"/>
          <w:szCs w:val="26"/>
        </w:rPr>
        <w:t xml:space="preserve">interchangeable substitutes for a product is a </w:t>
      </w:r>
      <w:r w:rsidR="00CD19CB">
        <w:rPr>
          <w:sz w:val="26"/>
          <w:szCs w:val="26"/>
        </w:rPr>
        <w:t>“</w:t>
      </w:r>
      <w:r w:rsidRPr="00D20006" w:rsidR="00D20006">
        <w:rPr>
          <w:sz w:val="26"/>
          <w:szCs w:val="26"/>
        </w:rPr>
        <w:t>monopoly market.</w:t>
      </w:r>
      <w:r w:rsidR="00CD19CB">
        <w:rPr>
          <w:sz w:val="26"/>
          <w:szCs w:val="26"/>
        </w:rPr>
        <w:t>”</w:t>
      </w:r>
      <w:r w:rsidR="00CD19CB">
        <w:rPr>
          <w:rStyle w:val="FootnoteReference"/>
          <w:sz w:val="26"/>
          <w:szCs w:val="26"/>
        </w:rPr>
        <w:footnoteReference w:id="103"/>
      </w:r>
      <w:r w:rsidR="00982B8C">
        <w:rPr>
          <w:sz w:val="26"/>
          <w:szCs w:val="26"/>
        </w:rPr>
        <w:t xml:space="preserve">  Because </w:t>
      </w:r>
      <w:r w:rsidRPr="00982B8C" w:rsidR="00982B8C">
        <w:rPr>
          <w:sz w:val="26"/>
          <w:szCs w:val="26"/>
        </w:rPr>
        <w:t>there are no reasonably interchangeable substitutes</w:t>
      </w:r>
      <w:r w:rsidR="00CC5C6A">
        <w:rPr>
          <w:sz w:val="26"/>
          <w:szCs w:val="26"/>
        </w:rPr>
        <w:t xml:space="preserve"> and no ability for</w:t>
      </w:r>
      <w:r w:rsidRPr="00982B8C" w:rsidR="00982B8C">
        <w:rPr>
          <w:sz w:val="26"/>
          <w:szCs w:val="26"/>
        </w:rPr>
        <w:t xml:space="preserve"> i</w:t>
      </w:r>
      <w:r w:rsidR="00982B8C">
        <w:rPr>
          <w:sz w:val="26"/>
          <w:szCs w:val="26"/>
        </w:rPr>
        <w:t>ncarcerated person</w:t>
      </w:r>
      <w:r w:rsidR="00CC5C6A">
        <w:rPr>
          <w:sz w:val="26"/>
          <w:szCs w:val="26"/>
        </w:rPr>
        <w:t>s</w:t>
      </w:r>
      <w:r w:rsidR="006D7917">
        <w:rPr>
          <w:sz w:val="26"/>
          <w:szCs w:val="26"/>
        </w:rPr>
        <w:t xml:space="preserve"> to </w:t>
      </w:r>
      <w:r w:rsidR="00EF0218">
        <w:rPr>
          <w:sz w:val="26"/>
          <w:szCs w:val="26"/>
        </w:rPr>
        <w:t xml:space="preserve">choose </w:t>
      </w:r>
      <w:r w:rsidR="006D7917">
        <w:rPr>
          <w:sz w:val="26"/>
          <w:szCs w:val="26"/>
        </w:rPr>
        <w:t xml:space="preserve">their IPCS </w:t>
      </w:r>
      <w:r w:rsidRPr="00982B8C" w:rsidR="00982B8C">
        <w:rPr>
          <w:sz w:val="26"/>
          <w:szCs w:val="26"/>
        </w:rPr>
        <w:t>provider</w:t>
      </w:r>
      <w:r w:rsidR="00EF0218">
        <w:rPr>
          <w:sz w:val="26"/>
          <w:szCs w:val="26"/>
        </w:rPr>
        <w:t xml:space="preserve"> or negotiate with multiple </w:t>
      </w:r>
      <w:r w:rsidR="00871EF8">
        <w:rPr>
          <w:sz w:val="26"/>
          <w:szCs w:val="26"/>
        </w:rPr>
        <w:t>IPCS sellers</w:t>
      </w:r>
      <w:r w:rsidR="00982B8C">
        <w:rPr>
          <w:sz w:val="26"/>
          <w:szCs w:val="26"/>
        </w:rPr>
        <w:t xml:space="preserve">, </w:t>
      </w:r>
      <w:proofErr w:type="spellStart"/>
      <w:r w:rsidR="00982B8C">
        <w:rPr>
          <w:sz w:val="26"/>
          <w:szCs w:val="26"/>
        </w:rPr>
        <w:t>CforAT</w:t>
      </w:r>
      <w:proofErr w:type="spellEnd"/>
      <w:r w:rsidR="00982B8C">
        <w:rPr>
          <w:sz w:val="26"/>
          <w:szCs w:val="26"/>
        </w:rPr>
        <w:t xml:space="preserve"> concludes the </w:t>
      </w:r>
      <w:r w:rsidR="00E117FE">
        <w:rPr>
          <w:sz w:val="26"/>
          <w:szCs w:val="26"/>
        </w:rPr>
        <w:t xml:space="preserve">IPCS </w:t>
      </w:r>
      <w:r w:rsidR="00982B8C">
        <w:rPr>
          <w:sz w:val="26"/>
          <w:szCs w:val="26"/>
        </w:rPr>
        <w:t>market</w:t>
      </w:r>
      <w:r w:rsidR="00E117FE">
        <w:rPr>
          <w:sz w:val="26"/>
          <w:szCs w:val="26"/>
        </w:rPr>
        <w:t xml:space="preserve"> in California</w:t>
      </w:r>
      <w:r w:rsidR="00982B8C">
        <w:rPr>
          <w:sz w:val="26"/>
          <w:szCs w:val="26"/>
        </w:rPr>
        <w:t xml:space="preserve"> functions as a monopoly.</w:t>
      </w:r>
      <w:r w:rsidR="00982B8C">
        <w:rPr>
          <w:rStyle w:val="FootnoteReference"/>
          <w:sz w:val="26"/>
          <w:szCs w:val="26"/>
        </w:rPr>
        <w:footnoteReference w:id="104"/>
      </w:r>
      <w:r w:rsidR="00871EF8">
        <w:rPr>
          <w:sz w:val="26"/>
          <w:szCs w:val="26"/>
        </w:rPr>
        <w:t xml:space="preserve">  </w:t>
      </w:r>
      <w:proofErr w:type="spellStart"/>
      <w:r w:rsidR="342AC718">
        <w:rPr>
          <w:sz w:val="26"/>
          <w:szCs w:val="26"/>
        </w:rPr>
        <w:t>C</w:t>
      </w:r>
      <w:r w:rsidR="0DA32A18">
        <w:rPr>
          <w:sz w:val="26"/>
          <w:szCs w:val="26"/>
        </w:rPr>
        <w:t>forAt</w:t>
      </w:r>
      <w:proofErr w:type="spellEnd"/>
      <w:r w:rsidR="0DA32A18">
        <w:rPr>
          <w:sz w:val="26"/>
          <w:szCs w:val="26"/>
        </w:rPr>
        <w:t xml:space="preserve"> </w:t>
      </w:r>
      <w:r w:rsidR="729110C3">
        <w:rPr>
          <w:sz w:val="26"/>
          <w:szCs w:val="26"/>
        </w:rPr>
        <w:t>ar</w:t>
      </w:r>
      <w:r w:rsidR="5B9D9736">
        <w:rPr>
          <w:sz w:val="26"/>
          <w:szCs w:val="26"/>
        </w:rPr>
        <w:t>gues</w:t>
      </w:r>
      <w:r w:rsidR="0DA32A18">
        <w:rPr>
          <w:sz w:val="26"/>
          <w:szCs w:val="26"/>
        </w:rPr>
        <w:t xml:space="preserve"> that </w:t>
      </w:r>
      <w:r w:rsidR="20DCEC2F">
        <w:rPr>
          <w:sz w:val="26"/>
          <w:szCs w:val="26"/>
        </w:rPr>
        <w:t>f</w:t>
      </w:r>
      <w:r w:rsidR="3EF01949">
        <w:rPr>
          <w:sz w:val="26"/>
          <w:szCs w:val="26"/>
        </w:rPr>
        <w:t>urther</w:t>
      </w:r>
      <w:r w:rsidR="00A53D34">
        <w:rPr>
          <w:sz w:val="26"/>
          <w:szCs w:val="26"/>
        </w:rPr>
        <w:t xml:space="preserve"> </w:t>
      </w:r>
      <w:r w:rsidR="00371B1E">
        <w:rPr>
          <w:sz w:val="26"/>
          <w:szCs w:val="26"/>
        </w:rPr>
        <w:t xml:space="preserve">indication </w:t>
      </w:r>
      <w:r w:rsidR="00A53D34">
        <w:rPr>
          <w:sz w:val="26"/>
          <w:szCs w:val="26"/>
        </w:rPr>
        <w:t>of the absence of market competition</w:t>
      </w:r>
      <w:r w:rsidR="00E117FE">
        <w:rPr>
          <w:sz w:val="26"/>
          <w:szCs w:val="26"/>
        </w:rPr>
        <w:t xml:space="preserve"> in the IPCS market</w:t>
      </w:r>
      <w:r w:rsidR="00A53D34">
        <w:rPr>
          <w:sz w:val="26"/>
          <w:szCs w:val="26"/>
        </w:rPr>
        <w:t xml:space="preserve"> </w:t>
      </w:r>
      <w:r w:rsidR="00371B1E">
        <w:rPr>
          <w:sz w:val="26"/>
          <w:szCs w:val="26"/>
        </w:rPr>
        <w:t xml:space="preserve">is </w:t>
      </w:r>
      <w:r w:rsidR="007C4986">
        <w:rPr>
          <w:sz w:val="26"/>
          <w:szCs w:val="26"/>
        </w:rPr>
        <w:t xml:space="preserve">the imposition of ancillary service fees that </w:t>
      </w:r>
      <w:r w:rsidR="002C6B89">
        <w:rPr>
          <w:sz w:val="26"/>
          <w:szCs w:val="26"/>
        </w:rPr>
        <w:t xml:space="preserve">do not exist in </w:t>
      </w:r>
      <w:r w:rsidR="007C4986">
        <w:rPr>
          <w:sz w:val="26"/>
          <w:szCs w:val="26"/>
        </w:rPr>
        <w:t>the commercial market</w:t>
      </w:r>
      <w:r w:rsidR="00431C03">
        <w:rPr>
          <w:sz w:val="26"/>
          <w:szCs w:val="26"/>
        </w:rPr>
        <w:t>.</w:t>
      </w:r>
      <w:r w:rsidR="00431C03">
        <w:rPr>
          <w:rStyle w:val="FootnoteReference"/>
          <w:sz w:val="26"/>
          <w:szCs w:val="26"/>
        </w:rPr>
        <w:footnoteReference w:id="105"/>
      </w:r>
      <w:r w:rsidR="00431C03">
        <w:rPr>
          <w:sz w:val="26"/>
          <w:szCs w:val="26"/>
        </w:rPr>
        <w:t xml:space="preserve"> </w:t>
      </w:r>
      <w:r w:rsidR="00D23065">
        <w:rPr>
          <w:sz w:val="26"/>
          <w:szCs w:val="26"/>
        </w:rPr>
        <w:t xml:space="preserve"> </w:t>
      </w:r>
    </w:p>
    <w:p w:rsidR="00351BE5" w:rsidP="00D23065" w:rsidRDefault="00542856" w14:paraId="095447B1" w14:textId="1FAFB01E">
      <w:pPr>
        <w:pStyle w:val="Standard"/>
        <w:ind w:firstLine="720"/>
        <w:rPr>
          <w:sz w:val="26"/>
          <w:szCs w:val="26"/>
        </w:rPr>
      </w:pPr>
      <w:r>
        <w:rPr>
          <w:sz w:val="26"/>
          <w:szCs w:val="26"/>
        </w:rPr>
        <w:t xml:space="preserve">Verizon states there are </w:t>
      </w:r>
      <w:r w:rsidRPr="00542856">
        <w:rPr>
          <w:sz w:val="26"/>
          <w:szCs w:val="26"/>
        </w:rPr>
        <w:t>indicators of potential market power abuse</w:t>
      </w:r>
      <w:r>
        <w:rPr>
          <w:sz w:val="26"/>
          <w:szCs w:val="26"/>
        </w:rPr>
        <w:t xml:space="preserve"> in </w:t>
      </w:r>
      <w:r w:rsidRPr="005708DE" w:rsidR="005708DE">
        <w:rPr>
          <w:sz w:val="26"/>
          <w:szCs w:val="26"/>
        </w:rPr>
        <w:t>the high cost</w:t>
      </w:r>
      <w:r w:rsidR="00835759">
        <w:rPr>
          <w:sz w:val="26"/>
          <w:szCs w:val="26"/>
        </w:rPr>
        <w:t>s</w:t>
      </w:r>
      <w:r w:rsidRPr="005708DE" w:rsidR="005708DE">
        <w:rPr>
          <w:sz w:val="26"/>
          <w:szCs w:val="26"/>
        </w:rPr>
        <w:t xml:space="preserve"> of intrastate I</w:t>
      </w:r>
      <w:r w:rsidR="005708DE">
        <w:rPr>
          <w:sz w:val="26"/>
          <w:szCs w:val="26"/>
        </w:rPr>
        <w:t>P</w:t>
      </w:r>
      <w:r w:rsidRPr="005708DE" w:rsidR="005708DE">
        <w:rPr>
          <w:sz w:val="26"/>
          <w:szCs w:val="26"/>
        </w:rPr>
        <w:t>CS</w:t>
      </w:r>
      <w:r w:rsidR="00835759">
        <w:rPr>
          <w:sz w:val="26"/>
          <w:szCs w:val="26"/>
        </w:rPr>
        <w:t>s,</w:t>
      </w:r>
      <w:r w:rsidR="005C64E3">
        <w:rPr>
          <w:sz w:val="26"/>
          <w:szCs w:val="26"/>
        </w:rPr>
        <w:t xml:space="preserve"> including excessively high per-minute rates</w:t>
      </w:r>
      <w:r w:rsidRPr="005708DE" w:rsidR="005708DE">
        <w:rPr>
          <w:sz w:val="26"/>
          <w:szCs w:val="26"/>
        </w:rPr>
        <w:t>, the exclusive</w:t>
      </w:r>
      <w:r w:rsidR="005708DE">
        <w:rPr>
          <w:sz w:val="26"/>
          <w:szCs w:val="26"/>
        </w:rPr>
        <w:t xml:space="preserve"> </w:t>
      </w:r>
      <w:r w:rsidR="00F0621B">
        <w:rPr>
          <w:sz w:val="26"/>
          <w:szCs w:val="26"/>
        </w:rPr>
        <w:t xml:space="preserve">way </w:t>
      </w:r>
      <w:r w:rsidR="004E6149">
        <w:rPr>
          <w:sz w:val="26"/>
          <w:szCs w:val="26"/>
        </w:rPr>
        <w:t xml:space="preserve">IPCS </w:t>
      </w:r>
      <w:r w:rsidRPr="005708DE" w:rsidR="005708DE">
        <w:rPr>
          <w:sz w:val="26"/>
          <w:szCs w:val="26"/>
        </w:rPr>
        <w:t xml:space="preserve">are offered in jail site facilities, the </w:t>
      </w:r>
      <w:proofErr w:type="gramStart"/>
      <w:r w:rsidRPr="005708DE" w:rsidR="005708DE">
        <w:rPr>
          <w:sz w:val="26"/>
          <w:szCs w:val="26"/>
        </w:rPr>
        <w:t>manner in which</w:t>
      </w:r>
      <w:proofErr w:type="gramEnd"/>
      <w:r w:rsidRPr="005708DE" w:rsidR="005708DE">
        <w:rPr>
          <w:sz w:val="26"/>
          <w:szCs w:val="26"/>
        </w:rPr>
        <w:t xml:space="preserve"> fees are imposed for depositing monies into prepaid accounts, </w:t>
      </w:r>
      <w:r w:rsidR="004E6149">
        <w:rPr>
          <w:sz w:val="26"/>
          <w:szCs w:val="26"/>
        </w:rPr>
        <w:t xml:space="preserve">how </w:t>
      </w:r>
      <w:r w:rsidRPr="005708DE" w:rsidR="005708DE">
        <w:rPr>
          <w:sz w:val="26"/>
          <w:szCs w:val="26"/>
        </w:rPr>
        <w:t>fees are imposed to return unused funds</w:t>
      </w:r>
      <w:r w:rsidR="004E6149">
        <w:rPr>
          <w:sz w:val="26"/>
          <w:szCs w:val="26"/>
        </w:rPr>
        <w:t xml:space="preserve">, and </w:t>
      </w:r>
      <w:r w:rsidRPr="005708DE" w:rsidR="005708DE">
        <w:rPr>
          <w:sz w:val="26"/>
          <w:szCs w:val="26"/>
        </w:rPr>
        <w:t>the fact that only one company provides</w:t>
      </w:r>
      <w:r w:rsidR="004E6149">
        <w:rPr>
          <w:sz w:val="26"/>
          <w:szCs w:val="26"/>
        </w:rPr>
        <w:t xml:space="preserve"> </w:t>
      </w:r>
      <w:r w:rsidRPr="005708DE" w:rsidR="005708DE">
        <w:rPr>
          <w:sz w:val="26"/>
          <w:szCs w:val="26"/>
        </w:rPr>
        <w:t>I</w:t>
      </w:r>
      <w:r w:rsidR="004E6149">
        <w:rPr>
          <w:sz w:val="26"/>
          <w:szCs w:val="26"/>
        </w:rPr>
        <w:t>P</w:t>
      </w:r>
      <w:r w:rsidRPr="005708DE" w:rsidR="005708DE">
        <w:rPr>
          <w:sz w:val="26"/>
          <w:szCs w:val="26"/>
        </w:rPr>
        <w:t>CS to all California state run facilities</w:t>
      </w:r>
      <w:r w:rsidR="009E6207">
        <w:rPr>
          <w:sz w:val="26"/>
          <w:szCs w:val="26"/>
        </w:rPr>
        <w:t>.</w:t>
      </w:r>
      <w:r w:rsidR="00D23065">
        <w:rPr>
          <w:rStyle w:val="FootnoteReference"/>
          <w:sz w:val="26"/>
          <w:szCs w:val="26"/>
        </w:rPr>
        <w:footnoteReference w:id="106"/>
      </w:r>
      <w:r w:rsidR="00D23065">
        <w:rPr>
          <w:sz w:val="26"/>
          <w:szCs w:val="26"/>
        </w:rPr>
        <w:t xml:space="preserve"> </w:t>
      </w:r>
    </w:p>
    <w:p w:rsidR="00232F12" w:rsidP="00D23065" w:rsidRDefault="001834A7" w14:paraId="1392F50A" w14:textId="13702956">
      <w:pPr>
        <w:pStyle w:val="Standard"/>
        <w:ind w:firstLine="720"/>
        <w:rPr>
          <w:sz w:val="26"/>
          <w:szCs w:val="26"/>
        </w:rPr>
      </w:pPr>
      <w:r>
        <w:rPr>
          <w:sz w:val="26"/>
          <w:szCs w:val="26"/>
        </w:rPr>
        <w:t xml:space="preserve">TURN </w:t>
      </w:r>
      <w:r w:rsidR="0094518B">
        <w:rPr>
          <w:sz w:val="26"/>
          <w:szCs w:val="26"/>
        </w:rPr>
        <w:t>observe</w:t>
      </w:r>
      <w:r w:rsidR="00351BE5">
        <w:rPr>
          <w:sz w:val="26"/>
          <w:szCs w:val="26"/>
        </w:rPr>
        <w:t xml:space="preserve">s </w:t>
      </w:r>
      <w:r w:rsidR="0094518B">
        <w:rPr>
          <w:sz w:val="26"/>
          <w:szCs w:val="26"/>
        </w:rPr>
        <w:t>that</w:t>
      </w:r>
      <w:r w:rsidR="00351BE5">
        <w:rPr>
          <w:sz w:val="26"/>
          <w:szCs w:val="26"/>
        </w:rPr>
        <w:t xml:space="preserve"> the</w:t>
      </w:r>
      <w:r w:rsidR="0094518B">
        <w:rPr>
          <w:sz w:val="26"/>
          <w:szCs w:val="26"/>
        </w:rPr>
        <w:t xml:space="preserve"> </w:t>
      </w:r>
      <w:r w:rsidR="002C184F">
        <w:rPr>
          <w:sz w:val="26"/>
          <w:szCs w:val="26"/>
        </w:rPr>
        <w:t xml:space="preserve">length of time that IPCS providers retain exclusive rights to provide IPCS </w:t>
      </w:r>
      <w:r w:rsidR="0094518B">
        <w:rPr>
          <w:sz w:val="26"/>
          <w:szCs w:val="26"/>
        </w:rPr>
        <w:t xml:space="preserve">at a </w:t>
      </w:r>
      <w:r w:rsidR="002C184F">
        <w:rPr>
          <w:sz w:val="26"/>
          <w:szCs w:val="26"/>
        </w:rPr>
        <w:t xml:space="preserve">given facility </w:t>
      </w:r>
      <w:r w:rsidR="002A6B73">
        <w:rPr>
          <w:sz w:val="26"/>
          <w:szCs w:val="26"/>
        </w:rPr>
        <w:t>indicate</w:t>
      </w:r>
      <w:r w:rsidR="00CE3A20">
        <w:rPr>
          <w:sz w:val="26"/>
          <w:szCs w:val="26"/>
        </w:rPr>
        <w:t>s the existence of</w:t>
      </w:r>
      <w:r w:rsidR="002C184F">
        <w:rPr>
          <w:sz w:val="26"/>
          <w:szCs w:val="26"/>
        </w:rPr>
        <w:t xml:space="preserve"> market power</w:t>
      </w:r>
      <w:r w:rsidR="002A6B73">
        <w:rPr>
          <w:sz w:val="26"/>
          <w:szCs w:val="26"/>
        </w:rPr>
        <w:t>:</w:t>
      </w:r>
      <w:r w:rsidR="007A702E">
        <w:rPr>
          <w:sz w:val="26"/>
          <w:szCs w:val="26"/>
        </w:rPr>
        <w:t xml:space="preserve"> </w:t>
      </w:r>
      <w:r w:rsidR="00D53A02">
        <w:rPr>
          <w:sz w:val="26"/>
          <w:szCs w:val="26"/>
        </w:rPr>
        <w:t>“</w:t>
      </w:r>
      <w:r w:rsidR="003C6F5E">
        <w:rPr>
          <w:sz w:val="26"/>
          <w:szCs w:val="26"/>
        </w:rPr>
        <w:t>[o]</w:t>
      </w:r>
      <w:proofErr w:type="spellStart"/>
      <w:r w:rsidRPr="00D57C67" w:rsidR="00232F12">
        <w:rPr>
          <w:sz w:val="26"/>
          <w:szCs w:val="26"/>
        </w:rPr>
        <w:t>nce</w:t>
      </w:r>
      <w:proofErr w:type="spellEnd"/>
      <w:r w:rsidRPr="00D57C67" w:rsidR="00232F12">
        <w:rPr>
          <w:sz w:val="26"/>
          <w:szCs w:val="26"/>
        </w:rPr>
        <w:t xml:space="preserve"> a long-term, exclusive contract bid is awarded to an I</w:t>
      </w:r>
      <w:r w:rsidR="003C6F5E">
        <w:rPr>
          <w:sz w:val="26"/>
          <w:szCs w:val="26"/>
        </w:rPr>
        <w:t>[P]</w:t>
      </w:r>
      <w:r w:rsidRPr="00D57C67" w:rsidR="00232F12">
        <w:rPr>
          <w:sz w:val="26"/>
          <w:szCs w:val="26"/>
        </w:rPr>
        <w:t xml:space="preserve">CS provider, </w:t>
      </w:r>
      <w:r w:rsidRPr="00D57C67" w:rsidR="00232F12">
        <w:rPr>
          <w:sz w:val="26"/>
          <w:szCs w:val="26"/>
        </w:rPr>
        <w:lastRenderedPageBreak/>
        <w:t>competition ceases for the duration of the contract and subsequent contract renewals.”</w:t>
      </w:r>
      <w:r w:rsidR="00232F12">
        <w:rPr>
          <w:rStyle w:val="FootnoteReference"/>
          <w:sz w:val="26"/>
          <w:szCs w:val="26"/>
        </w:rPr>
        <w:footnoteReference w:id="107"/>
      </w:r>
      <w:r w:rsidR="00232F12">
        <w:rPr>
          <w:sz w:val="26"/>
          <w:szCs w:val="26"/>
        </w:rPr>
        <w:t xml:space="preserve"> </w:t>
      </w:r>
      <w:r w:rsidR="007A702E">
        <w:rPr>
          <w:sz w:val="26"/>
          <w:szCs w:val="26"/>
        </w:rPr>
        <w:t xml:space="preserve"> </w:t>
      </w:r>
      <w:r w:rsidR="00CE3A20">
        <w:rPr>
          <w:sz w:val="26"/>
          <w:szCs w:val="26"/>
        </w:rPr>
        <w:t xml:space="preserve">As observed by </w:t>
      </w:r>
      <w:r w:rsidR="007A702E">
        <w:rPr>
          <w:sz w:val="26"/>
          <w:szCs w:val="26"/>
        </w:rPr>
        <w:t>TURN</w:t>
      </w:r>
      <w:r w:rsidR="00CE3A20">
        <w:rPr>
          <w:sz w:val="26"/>
          <w:szCs w:val="26"/>
        </w:rPr>
        <w:t xml:space="preserve">, </w:t>
      </w:r>
      <w:r w:rsidR="00923BE1">
        <w:rPr>
          <w:sz w:val="26"/>
          <w:szCs w:val="26"/>
        </w:rPr>
        <w:t>GTL</w:t>
      </w:r>
      <w:r w:rsidR="007A702E">
        <w:rPr>
          <w:sz w:val="26"/>
          <w:szCs w:val="26"/>
        </w:rPr>
        <w:t xml:space="preserve"> has </w:t>
      </w:r>
      <w:r w:rsidRPr="00D57C67" w:rsidR="0094518B">
        <w:rPr>
          <w:sz w:val="26"/>
          <w:szCs w:val="26"/>
        </w:rPr>
        <w:t xml:space="preserve">contracted </w:t>
      </w:r>
      <w:r w:rsidR="00923BE1">
        <w:rPr>
          <w:sz w:val="26"/>
          <w:szCs w:val="26"/>
        </w:rPr>
        <w:t xml:space="preserve">for 20 years </w:t>
      </w:r>
      <w:r w:rsidRPr="00D57C67" w:rsidR="0094518B">
        <w:rPr>
          <w:sz w:val="26"/>
          <w:szCs w:val="26"/>
        </w:rPr>
        <w:t>with</w:t>
      </w:r>
      <w:r w:rsidR="00923BE1">
        <w:rPr>
          <w:sz w:val="26"/>
          <w:szCs w:val="26"/>
        </w:rPr>
        <w:t xml:space="preserve"> CDCR to provide </w:t>
      </w:r>
      <w:r w:rsidR="00351BE5">
        <w:rPr>
          <w:sz w:val="26"/>
          <w:szCs w:val="26"/>
        </w:rPr>
        <w:t>IPCS to state-run prisons</w:t>
      </w:r>
      <w:r w:rsidR="007A702E">
        <w:rPr>
          <w:sz w:val="26"/>
          <w:szCs w:val="26"/>
        </w:rPr>
        <w:t>.</w:t>
      </w:r>
      <w:r w:rsidR="0094518B">
        <w:rPr>
          <w:rStyle w:val="FootnoteReference"/>
          <w:sz w:val="26"/>
          <w:szCs w:val="26"/>
        </w:rPr>
        <w:footnoteReference w:id="108"/>
      </w:r>
    </w:p>
    <w:p w:rsidRPr="008B02E7" w:rsidR="002A64F6" w:rsidP="008B02E7" w:rsidRDefault="00BD3EFB" w14:paraId="2023DB8B" w14:textId="6D6F41B8">
      <w:pPr>
        <w:pStyle w:val="Standard"/>
        <w:ind w:firstLine="720"/>
        <w:rPr>
          <w:sz w:val="26"/>
          <w:szCs w:val="26"/>
        </w:rPr>
      </w:pPr>
      <w:r>
        <w:rPr>
          <w:sz w:val="26"/>
          <w:szCs w:val="26"/>
        </w:rPr>
        <w:t xml:space="preserve">In reply comments, </w:t>
      </w:r>
      <w:proofErr w:type="spellStart"/>
      <w:r w:rsidR="002A64F6">
        <w:rPr>
          <w:sz w:val="26"/>
          <w:szCs w:val="26"/>
        </w:rPr>
        <w:t>CforAT</w:t>
      </w:r>
      <w:proofErr w:type="spellEnd"/>
      <w:r w:rsidR="002A64F6">
        <w:rPr>
          <w:sz w:val="26"/>
          <w:szCs w:val="26"/>
        </w:rPr>
        <w:t xml:space="preserve"> </w:t>
      </w:r>
      <w:r w:rsidR="00035E41">
        <w:rPr>
          <w:sz w:val="26"/>
          <w:szCs w:val="26"/>
        </w:rPr>
        <w:t xml:space="preserve">argues that </w:t>
      </w:r>
      <w:r w:rsidR="008B02E7">
        <w:rPr>
          <w:sz w:val="26"/>
          <w:szCs w:val="26"/>
        </w:rPr>
        <w:t>the IPCS market effectively consists of two markets:</w:t>
      </w:r>
      <w:r w:rsidR="00E966B2">
        <w:rPr>
          <w:sz w:val="26"/>
          <w:szCs w:val="26"/>
        </w:rPr>
        <w:t xml:space="preserve"> </w:t>
      </w:r>
      <w:r w:rsidR="008B02E7">
        <w:rPr>
          <w:sz w:val="26"/>
          <w:szCs w:val="26"/>
        </w:rPr>
        <w:t xml:space="preserve"> one market </w:t>
      </w:r>
      <w:r w:rsidRPr="00E27578" w:rsidR="008B02E7">
        <w:rPr>
          <w:sz w:val="26"/>
          <w:szCs w:val="26"/>
        </w:rPr>
        <w:t>for “the right to provide service to inmates in confinement facilities,”</w:t>
      </w:r>
      <w:r w:rsidR="008B02E7">
        <w:rPr>
          <w:rStyle w:val="FootnoteReference"/>
          <w:sz w:val="26"/>
          <w:szCs w:val="26"/>
        </w:rPr>
        <w:footnoteReference w:id="109"/>
      </w:r>
      <w:r w:rsidR="008B02E7">
        <w:rPr>
          <w:sz w:val="26"/>
          <w:szCs w:val="26"/>
        </w:rPr>
        <w:t xml:space="preserve"> </w:t>
      </w:r>
      <w:r w:rsidRPr="00E27578" w:rsidR="008B02E7">
        <w:rPr>
          <w:sz w:val="26"/>
          <w:szCs w:val="26"/>
        </w:rPr>
        <w:t xml:space="preserve">and </w:t>
      </w:r>
      <w:r w:rsidR="008B02E7">
        <w:rPr>
          <w:sz w:val="26"/>
          <w:szCs w:val="26"/>
        </w:rPr>
        <w:t>another for the IPCS services themselves, for which the incarcerated and their loved ones are the customers.</w:t>
      </w:r>
      <w:r w:rsidR="00A460C9">
        <w:rPr>
          <w:sz w:val="26"/>
          <w:szCs w:val="26"/>
        </w:rPr>
        <w:t xml:space="preserve">  </w:t>
      </w:r>
      <w:proofErr w:type="spellStart"/>
      <w:r w:rsidR="3ED1514F">
        <w:rPr>
          <w:sz w:val="26"/>
          <w:szCs w:val="26"/>
        </w:rPr>
        <w:t>CforAt</w:t>
      </w:r>
      <w:proofErr w:type="spellEnd"/>
      <w:r w:rsidR="3ED1514F">
        <w:rPr>
          <w:sz w:val="26"/>
          <w:szCs w:val="26"/>
        </w:rPr>
        <w:t xml:space="preserve"> states that </w:t>
      </w:r>
      <w:r w:rsidR="251DEF6F">
        <w:rPr>
          <w:sz w:val="26"/>
          <w:szCs w:val="26"/>
        </w:rPr>
        <w:t>b</w:t>
      </w:r>
      <w:r w:rsidR="5C029531">
        <w:rPr>
          <w:sz w:val="26"/>
          <w:szCs w:val="26"/>
        </w:rPr>
        <w:t>ecause</w:t>
      </w:r>
      <w:r w:rsidR="008B02E7">
        <w:rPr>
          <w:sz w:val="26"/>
          <w:szCs w:val="26"/>
        </w:rPr>
        <w:t xml:space="preserve"> of this, </w:t>
      </w:r>
      <w:r w:rsidR="002A64F6">
        <w:rPr>
          <w:sz w:val="26"/>
          <w:szCs w:val="26"/>
        </w:rPr>
        <w:t xml:space="preserve">incarcerated persons and their families </w:t>
      </w:r>
      <w:r w:rsidR="007F330E">
        <w:rPr>
          <w:sz w:val="26"/>
          <w:szCs w:val="26"/>
        </w:rPr>
        <w:t>are both direct and</w:t>
      </w:r>
      <w:r w:rsidR="002A64F6">
        <w:rPr>
          <w:sz w:val="26"/>
          <w:szCs w:val="26"/>
        </w:rPr>
        <w:t xml:space="preserve"> </w:t>
      </w:r>
      <w:r w:rsidR="007F330E">
        <w:rPr>
          <w:sz w:val="26"/>
          <w:szCs w:val="26"/>
        </w:rPr>
        <w:t>in</w:t>
      </w:r>
      <w:r w:rsidR="002A64F6">
        <w:rPr>
          <w:sz w:val="26"/>
          <w:szCs w:val="26"/>
        </w:rPr>
        <w:t>direct customers of intrastate IPCS</w:t>
      </w:r>
      <w:r w:rsidR="00486D78">
        <w:rPr>
          <w:sz w:val="26"/>
          <w:szCs w:val="26"/>
        </w:rPr>
        <w:t>.</w:t>
      </w:r>
      <w:r w:rsidR="002A64F6">
        <w:rPr>
          <w:sz w:val="26"/>
          <w:szCs w:val="26"/>
        </w:rPr>
        <w:t xml:space="preserve">  Citing Securus’s opening comments that </w:t>
      </w:r>
      <w:r w:rsidRPr="00E27578" w:rsidR="002A64F6">
        <w:rPr>
          <w:sz w:val="26"/>
          <w:szCs w:val="26"/>
        </w:rPr>
        <w:t>I</w:t>
      </w:r>
      <w:r w:rsidR="002A64F6">
        <w:rPr>
          <w:sz w:val="26"/>
          <w:szCs w:val="26"/>
        </w:rPr>
        <w:t>P</w:t>
      </w:r>
      <w:r w:rsidRPr="00E27578" w:rsidR="002A64F6">
        <w:rPr>
          <w:sz w:val="26"/>
          <w:szCs w:val="26"/>
        </w:rPr>
        <w:t xml:space="preserve">CS costs “are borne solely by the </w:t>
      </w:r>
      <w:r w:rsidR="002A64F6">
        <w:rPr>
          <w:sz w:val="26"/>
          <w:szCs w:val="26"/>
        </w:rPr>
        <w:t>[</w:t>
      </w:r>
      <w:r w:rsidRPr="00E27578" w:rsidR="002A64F6">
        <w:rPr>
          <w:sz w:val="26"/>
          <w:szCs w:val="26"/>
        </w:rPr>
        <w:t>I</w:t>
      </w:r>
      <w:r w:rsidR="002A64F6">
        <w:rPr>
          <w:sz w:val="26"/>
          <w:szCs w:val="26"/>
        </w:rPr>
        <w:t>P</w:t>
      </w:r>
      <w:r w:rsidRPr="00E27578" w:rsidR="002A64F6">
        <w:rPr>
          <w:sz w:val="26"/>
          <w:szCs w:val="26"/>
        </w:rPr>
        <w:t>CS</w:t>
      </w:r>
      <w:r w:rsidR="002A64F6">
        <w:rPr>
          <w:sz w:val="26"/>
          <w:szCs w:val="26"/>
        </w:rPr>
        <w:t>]</w:t>
      </w:r>
      <w:r w:rsidRPr="00E27578" w:rsidR="002A64F6">
        <w:rPr>
          <w:sz w:val="26"/>
          <w:szCs w:val="26"/>
        </w:rPr>
        <w:t xml:space="preserve"> provider upfront in the process of installing the platform and then are </w:t>
      </w:r>
      <w:r w:rsidRPr="00777230" w:rsidR="002A64F6">
        <w:rPr>
          <w:i/>
          <w:iCs/>
          <w:sz w:val="26"/>
          <w:szCs w:val="26"/>
        </w:rPr>
        <w:t>recouped over time through product usage</w:t>
      </w:r>
      <w:r w:rsidRPr="00E27578" w:rsidR="002A64F6">
        <w:rPr>
          <w:sz w:val="26"/>
          <w:szCs w:val="26"/>
        </w:rPr>
        <w:t>,”</w:t>
      </w:r>
      <w:r w:rsidR="002A64F6">
        <w:rPr>
          <w:sz w:val="26"/>
          <w:szCs w:val="26"/>
        </w:rPr>
        <w:t xml:space="preserve"> </w:t>
      </w:r>
      <w:proofErr w:type="spellStart"/>
      <w:r w:rsidR="002A64F6">
        <w:rPr>
          <w:sz w:val="26"/>
          <w:szCs w:val="26"/>
        </w:rPr>
        <w:t>CforAT</w:t>
      </w:r>
      <w:proofErr w:type="spellEnd"/>
      <w:r w:rsidR="002A64F6">
        <w:rPr>
          <w:sz w:val="26"/>
          <w:szCs w:val="26"/>
        </w:rPr>
        <w:t xml:space="preserve"> observes that incarcerated persons </w:t>
      </w:r>
      <w:r w:rsidR="00486D78">
        <w:rPr>
          <w:sz w:val="26"/>
          <w:szCs w:val="26"/>
        </w:rPr>
        <w:t xml:space="preserve">comprise </w:t>
      </w:r>
      <w:r w:rsidR="002A64F6">
        <w:rPr>
          <w:sz w:val="26"/>
          <w:szCs w:val="26"/>
        </w:rPr>
        <w:t xml:space="preserve">Securus’s </w:t>
      </w:r>
      <w:r w:rsidR="00035E41">
        <w:rPr>
          <w:sz w:val="26"/>
          <w:szCs w:val="26"/>
        </w:rPr>
        <w:t>“</w:t>
      </w:r>
      <w:r w:rsidR="002A64F6">
        <w:rPr>
          <w:sz w:val="26"/>
          <w:szCs w:val="26"/>
        </w:rPr>
        <w:t>sole form of revenue, making them direct purchasers of intrastate IPCS.</w:t>
      </w:r>
      <w:r w:rsidR="00035E41">
        <w:rPr>
          <w:sz w:val="26"/>
          <w:szCs w:val="26"/>
        </w:rPr>
        <w:t>”</w:t>
      </w:r>
      <w:r w:rsidR="00FA4ED1">
        <w:rPr>
          <w:rStyle w:val="FootnoteReference"/>
          <w:sz w:val="26"/>
          <w:szCs w:val="26"/>
        </w:rPr>
        <w:footnoteReference w:id="110"/>
      </w:r>
      <w:r w:rsidR="002A64F6">
        <w:rPr>
          <w:sz w:val="26"/>
          <w:szCs w:val="26"/>
        </w:rPr>
        <w:t xml:space="preserve">  </w:t>
      </w:r>
      <w:proofErr w:type="spellStart"/>
      <w:r w:rsidR="0001187D">
        <w:rPr>
          <w:sz w:val="26"/>
          <w:szCs w:val="26"/>
        </w:rPr>
        <w:t>CforAT</w:t>
      </w:r>
      <w:proofErr w:type="spellEnd"/>
      <w:r w:rsidR="0001187D">
        <w:rPr>
          <w:sz w:val="26"/>
          <w:szCs w:val="26"/>
        </w:rPr>
        <w:t xml:space="preserve"> </w:t>
      </w:r>
      <w:r w:rsidR="00B9607B">
        <w:rPr>
          <w:sz w:val="26"/>
          <w:szCs w:val="26"/>
        </w:rPr>
        <w:t xml:space="preserve">further </w:t>
      </w:r>
      <w:r w:rsidR="0001187D">
        <w:rPr>
          <w:sz w:val="26"/>
          <w:szCs w:val="26"/>
        </w:rPr>
        <w:t>observes that</w:t>
      </w:r>
      <w:r w:rsidR="002A64F6">
        <w:rPr>
          <w:sz w:val="26"/>
          <w:szCs w:val="26"/>
        </w:rPr>
        <w:t xml:space="preserve"> </w:t>
      </w:r>
      <w:r w:rsidR="00035E41">
        <w:rPr>
          <w:sz w:val="26"/>
          <w:szCs w:val="26"/>
        </w:rPr>
        <w:t xml:space="preserve">both providers and </w:t>
      </w:r>
      <w:r w:rsidR="002A64F6">
        <w:rPr>
          <w:sz w:val="26"/>
          <w:szCs w:val="26"/>
        </w:rPr>
        <w:t>incarceration facilit</w:t>
      </w:r>
      <w:r w:rsidR="00035E41">
        <w:rPr>
          <w:sz w:val="26"/>
          <w:szCs w:val="26"/>
        </w:rPr>
        <w:t>ies</w:t>
      </w:r>
      <w:r w:rsidR="002A64F6">
        <w:rPr>
          <w:sz w:val="26"/>
          <w:szCs w:val="26"/>
        </w:rPr>
        <w:t xml:space="preserve"> gain revenue from incarcerated persons and their families</w:t>
      </w:r>
      <w:r w:rsidR="0001187D">
        <w:rPr>
          <w:sz w:val="26"/>
          <w:szCs w:val="26"/>
        </w:rPr>
        <w:t>, undermining any conclusion that the facilities themselves comprise the “market.”</w:t>
      </w:r>
      <w:r w:rsidR="00035E41">
        <w:rPr>
          <w:rStyle w:val="FootnoteReference"/>
          <w:sz w:val="26"/>
          <w:szCs w:val="26"/>
        </w:rPr>
        <w:footnoteReference w:id="111"/>
      </w:r>
      <w:r w:rsidR="002A64F6">
        <w:rPr>
          <w:sz w:val="26"/>
          <w:szCs w:val="26"/>
        </w:rPr>
        <w:t xml:space="preserve">  </w:t>
      </w:r>
      <w:proofErr w:type="spellStart"/>
      <w:r w:rsidR="00BE6368">
        <w:rPr>
          <w:sz w:val="26"/>
          <w:szCs w:val="26"/>
        </w:rPr>
        <w:t>CforAT</w:t>
      </w:r>
      <w:proofErr w:type="spellEnd"/>
      <w:r w:rsidR="00BE6368">
        <w:rPr>
          <w:sz w:val="26"/>
          <w:szCs w:val="26"/>
        </w:rPr>
        <w:t xml:space="preserve"> </w:t>
      </w:r>
      <w:r w:rsidR="00B9607B">
        <w:rPr>
          <w:sz w:val="26"/>
          <w:szCs w:val="26"/>
        </w:rPr>
        <w:t xml:space="preserve">states </w:t>
      </w:r>
      <w:r w:rsidR="00BE6368">
        <w:rPr>
          <w:sz w:val="26"/>
          <w:szCs w:val="26"/>
        </w:rPr>
        <w:t>that the U</w:t>
      </w:r>
      <w:r w:rsidR="00E60800">
        <w:rPr>
          <w:sz w:val="26"/>
          <w:szCs w:val="26"/>
        </w:rPr>
        <w:t>nited States</w:t>
      </w:r>
      <w:r w:rsidR="00BE6368">
        <w:rPr>
          <w:sz w:val="26"/>
          <w:szCs w:val="26"/>
        </w:rPr>
        <w:t xml:space="preserve"> Department of Justice, the Federal Trade Commission, and this </w:t>
      </w:r>
      <w:r w:rsidR="00BE6368">
        <w:rPr>
          <w:sz w:val="26"/>
          <w:szCs w:val="26"/>
        </w:rPr>
        <w:lastRenderedPageBreak/>
        <w:t xml:space="preserve">Commission have all rejected the notion that </w:t>
      </w:r>
      <w:r w:rsidR="00544EE7">
        <w:rPr>
          <w:sz w:val="26"/>
          <w:szCs w:val="26"/>
        </w:rPr>
        <w:t xml:space="preserve">there can be “only one </w:t>
      </w:r>
      <w:r w:rsidR="001E64F8">
        <w:rPr>
          <w:sz w:val="26"/>
          <w:szCs w:val="26"/>
        </w:rPr>
        <w:t>relevant market.”</w:t>
      </w:r>
      <w:r w:rsidR="001E64F8">
        <w:rPr>
          <w:rStyle w:val="FootnoteReference"/>
          <w:sz w:val="26"/>
          <w:szCs w:val="26"/>
        </w:rPr>
        <w:footnoteReference w:id="112"/>
      </w:r>
    </w:p>
    <w:p w:rsidR="00981416" w:rsidP="00FD3923" w:rsidRDefault="006D6671" w14:paraId="6BD91749" w14:textId="45A69BFF">
      <w:pPr>
        <w:pStyle w:val="Standard"/>
        <w:ind w:firstLine="720"/>
        <w:rPr>
          <w:sz w:val="26"/>
          <w:szCs w:val="26"/>
        </w:rPr>
      </w:pPr>
      <w:proofErr w:type="spellStart"/>
      <w:r>
        <w:rPr>
          <w:sz w:val="26"/>
          <w:szCs w:val="26"/>
        </w:rPr>
        <w:t>CforAT</w:t>
      </w:r>
      <w:proofErr w:type="spellEnd"/>
      <w:r>
        <w:rPr>
          <w:sz w:val="26"/>
          <w:szCs w:val="26"/>
        </w:rPr>
        <w:t xml:space="preserve"> </w:t>
      </w:r>
      <w:r w:rsidR="00B9607B">
        <w:rPr>
          <w:sz w:val="26"/>
          <w:szCs w:val="26"/>
        </w:rPr>
        <w:t xml:space="preserve">contends </w:t>
      </w:r>
      <w:r w:rsidR="009E78D3">
        <w:rPr>
          <w:sz w:val="26"/>
          <w:szCs w:val="26"/>
        </w:rPr>
        <w:t xml:space="preserve">that </w:t>
      </w:r>
      <w:r w:rsidR="008C34CE">
        <w:rPr>
          <w:sz w:val="26"/>
          <w:szCs w:val="26"/>
        </w:rPr>
        <w:t xml:space="preserve">although </w:t>
      </w:r>
      <w:r w:rsidR="009E78D3">
        <w:rPr>
          <w:sz w:val="26"/>
          <w:szCs w:val="26"/>
        </w:rPr>
        <w:t xml:space="preserve">Securus and GTL </w:t>
      </w:r>
      <w:r w:rsidR="008C34CE">
        <w:rPr>
          <w:sz w:val="26"/>
          <w:szCs w:val="26"/>
        </w:rPr>
        <w:t xml:space="preserve">state </w:t>
      </w:r>
      <w:r w:rsidR="009E78D3">
        <w:rPr>
          <w:sz w:val="26"/>
          <w:szCs w:val="26"/>
        </w:rPr>
        <w:t>that IPCS services are more costly to provide than commercial calling services because of security requirements and commission fees</w:t>
      </w:r>
      <w:r w:rsidR="6318CF60">
        <w:rPr>
          <w:sz w:val="26"/>
          <w:szCs w:val="26"/>
        </w:rPr>
        <w:t>,</w:t>
      </w:r>
      <w:r w:rsidR="009E78D3">
        <w:rPr>
          <w:sz w:val="26"/>
          <w:szCs w:val="26"/>
        </w:rPr>
        <w:t xml:space="preserve"> these parties “do </w:t>
      </w:r>
      <w:r w:rsidRPr="00D57C67" w:rsidR="009E78D3">
        <w:rPr>
          <w:sz w:val="26"/>
          <w:szCs w:val="26"/>
        </w:rPr>
        <w:t xml:space="preserve">not demonstrate any nexus </w:t>
      </w:r>
      <w:r w:rsidR="009E78D3">
        <w:rPr>
          <w:sz w:val="26"/>
          <w:szCs w:val="26"/>
        </w:rPr>
        <w:t xml:space="preserve">between or provide any details regarding </w:t>
      </w:r>
      <w:r w:rsidRPr="00D57C67" w:rsidR="009E78D3">
        <w:rPr>
          <w:sz w:val="26"/>
          <w:szCs w:val="26"/>
        </w:rPr>
        <w:t xml:space="preserve">the costs of providing service to </w:t>
      </w:r>
      <w:r w:rsidR="009E78D3">
        <w:rPr>
          <w:sz w:val="26"/>
          <w:szCs w:val="26"/>
        </w:rPr>
        <w:t xml:space="preserve">incarceration </w:t>
      </w:r>
      <w:r w:rsidRPr="00D57C67" w:rsidR="009E78D3">
        <w:rPr>
          <w:sz w:val="26"/>
          <w:szCs w:val="26"/>
        </w:rPr>
        <w:t xml:space="preserve">facilities and the rates that </w:t>
      </w:r>
      <w:r w:rsidR="009E78D3">
        <w:rPr>
          <w:sz w:val="26"/>
          <w:szCs w:val="26"/>
        </w:rPr>
        <w:t xml:space="preserve">they </w:t>
      </w:r>
      <w:r w:rsidRPr="00D57C67" w:rsidR="009E78D3">
        <w:rPr>
          <w:sz w:val="26"/>
          <w:szCs w:val="26"/>
        </w:rPr>
        <w:t>ultimately charge</w:t>
      </w:r>
      <w:r w:rsidR="009E78D3">
        <w:rPr>
          <w:sz w:val="26"/>
          <w:szCs w:val="26"/>
        </w:rPr>
        <w:t>.”</w:t>
      </w:r>
      <w:r w:rsidR="009E78D3">
        <w:rPr>
          <w:rStyle w:val="FootnoteReference"/>
          <w:sz w:val="26"/>
          <w:szCs w:val="26"/>
        </w:rPr>
        <w:footnoteReference w:id="113"/>
      </w:r>
      <w:r w:rsidR="009E78D3">
        <w:rPr>
          <w:sz w:val="26"/>
          <w:szCs w:val="26"/>
        </w:rPr>
        <w:t xml:space="preserve">  Because “</w:t>
      </w:r>
      <w:r w:rsidRPr="00D57C67" w:rsidR="009E78D3">
        <w:rPr>
          <w:sz w:val="26"/>
          <w:szCs w:val="26"/>
        </w:rPr>
        <w:t>there is no record provided to justify the high rates charged</w:t>
      </w:r>
      <w:r w:rsidR="009E78D3">
        <w:rPr>
          <w:sz w:val="26"/>
          <w:szCs w:val="26"/>
        </w:rPr>
        <w:t xml:space="preserve"> </w:t>
      </w:r>
      <w:r w:rsidRPr="00D57C67" w:rsidR="009E78D3">
        <w:rPr>
          <w:sz w:val="26"/>
          <w:szCs w:val="26"/>
        </w:rPr>
        <w:t>to customers, and no attempt to link the rates to the costs of providing service</w:t>
      </w:r>
      <w:r w:rsidR="009E78D3">
        <w:rPr>
          <w:sz w:val="26"/>
          <w:szCs w:val="26"/>
        </w:rPr>
        <w:t xml:space="preserve">,” </w:t>
      </w:r>
      <w:proofErr w:type="spellStart"/>
      <w:r w:rsidR="009E78D3">
        <w:rPr>
          <w:sz w:val="26"/>
          <w:szCs w:val="26"/>
        </w:rPr>
        <w:t>CforAT</w:t>
      </w:r>
      <w:proofErr w:type="spellEnd"/>
      <w:r w:rsidR="009E78D3">
        <w:rPr>
          <w:sz w:val="26"/>
          <w:szCs w:val="26"/>
        </w:rPr>
        <w:t xml:space="preserve"> </w:t>
      </w:r>
      <w:r w:rsidR="6A4D6C24">
        <w:rPr>
          <w:sz w:val="26"/>
          <w:szCs w:val="26"/>
        </w:rPr>
        <w:t>argue</w:t>
      </w:r>
      <w:r w:rsidR="066C6D46">
        <w:rPr>
          <w:sz w:val="26"/>
          <w:szCs w:val="26"/>
        </w:rPr>
        <w:t>s</w:t>
      </w:r>
      <w:r w:rsidR="00A837E5">
        <w:rPr>
          <w:sz w:val="26"/>
          <w:szCs w:val="26"/>
        </w:rPr>
        <w:t xml:space="preserve"> that </w:t>
      </w:r>
      <w:r w:rsidR="009E78D3">
        <w:rPr>
          <w:sz w:val="26"/>
          <w:szCs w:val="26"/>
        </w:rPr>
        <w:t xml:space="preserve">the Commission should reject </w:t>
      </w:r>
      <w:r w:rsidR="00A837E5">
        <w:rPr>
          <w:sz w:val="26"/>
          <w:szCs w:val="26"/>
        </w:rPr>
        <w:t xml:space="preserve">these providers’ </w:t>
      </w:r>
      <w:r w:rsidR="009E78D3">
        <w:rPr>
          <w:sz w:val="26"/>
          <w:szCs w:val="26"/>
        </w:rPr>
        <w:t>claims that the intrastate IPCS rates they charge are reasonable.</w:t>
      </w:r>
    </w:p>
    <w:p w:rsidRPr="00F4718A" w:rsidR="00F4718A" w:rsidP="00F4718A" w:rsidRDefault="008A2A1B" w14:paraId="103B4A37" w14:textId="18B9D2DC">
      <w:pPr>
        <w:pStyle w:val="Heading2"/>
      </w:pPr>
      <w:bookmarkStart w:name="_Toc80089400" w:id="36"/>
      <w:r>
        <w:t>5.4</w:t>
      </w:r>
      <w:r>
        <w:tab/>
        <w:t xml:space="preserve">Discussion: </w:t>
      </w:r>
      <w:r w:rsidR="00874AB7">
        <w:t>H</w:t>
      </w:r>
      <w:r w:rsidR="00F4718A">
        <w:t xml:space="preserve">igh and Widely Varying </w:t>
      </w:r>
      <w:r w:rsidR="00443FC4">
        <w:t xml:space="preserve">IPCS </w:t>
      </w:r>
      <w:r w:rsidR="00F4718A">
        <w:t xml:space="preserve">Rates </w:t>
      </w:r>
      <w:r w:rsidR="00443FC4">
        <w:t xml:space="preserve">in California </w:t>
      </w:r>
      <w:r w:rsidR="00B8120D">
        <w:t xml:space="preserve">Reflect </w:t>
      </w:r>
      <w:r w:rsidR="00443FC4">
        <w:t xml:space="preserve">Locational </w:t>
      </w:r>
      <w:r w:rsidR="00F4718A">
        <w:t>Monopol</w:t>
      </w:r>
      <w:r w:rsidR="00443FC4">
        <w:t>ie</w:t>
      </w:r>
      <w:r w:rsidR="00F4718A">
        <w:t xml:space="preserve">s </w:t>
      </w:r>
      <w:r w:rsidR="00967DF7">
        <w:t xml:space="preserve">that </w:t>
      </w:r>
      <w:r w:rsidR="00874AB7">
        <w:t>Result in Unreasonable and Unjust Rates</w:t>
      </w:r>
      <w:bookmarkEnd w:id="36"/>
      <w:r w:rsidR="00874AB7">
        <w:t xml:space="preserve"> </w:t>
      </w:r>
    </w:p>
    <w:p w:rsidR="00D57C67" w:rsidP="00F36090" w:rsidRDefault="002E3D61" w14:paraId="248DB213" w14:textId="41B32CFD">
      <w:pPr>
        <w:pStyle w:val="Standard"/>
        <w:ind w:firstLine="720"/>
        <w:rPr>
          <w:sz w:val="26"/>
          <w:szCs w:val="26"/>
        </w:rPr>
      </w:pPr>
      <w:r>
        <w:rPr>
          <w:sz w:val="26"/>
          <w:szCs w:val="26"/>
        </w:rPr>
        <w:t xml:space="preserve">IPCS </w:t>
      </w:r>
      <w:r w:rsidR="00262550">
        <w:rPr>
          <w:sz w:val="26"/>
          <w:szCs w:val="26"/>
        </w:rPr>
        <w:t>rates charged in Californi</w:t>
      </w:r>
      <w:r w:rsidR="00B3635F">
        <w:rPr>
          <w:sz w:val="26"/>
          <w:szCs w:val="26"/>
        </w:rPr>
        <w:t xml:space="preserve">a </w:t>
      </w:r>
      <w:r w:rsidR="00B9607B">
        <w:rPr>
          <w:sz w:val="26"/>
          <w:szCs w:val="26"/>
        </w:rPr>
        <w:t>vary widely and are e</w:t>
      </w:r>
      <w:r w:rsidR="00F06E11">
        <w:rPr>
          <w:sz w:val="26"/>
          <w:szCs w:val="26"/>
        </w:rPr>
        <w:t>xorbitantly high</w:t>
      </w:r>
      <w:r w:rsidR="00E04C10">
        <w:rPr>
          <w:sz w:val="26"/>
          <w:szCs w:val="26"/>
        </w:rPr>
        <w:t>,</w:t>
      </w:r>
      <w:r w:rsidR="00B9607B">
        <w:rPr>
          <w:sz w:val="26"/>
          <w:szCs w:val="26"/>
        </w:rPr>
        <w:t xml:space="preserve"> in some cases,</w:t>
      </w:r>
      <w:r w:rsidR="00F06E11">
        <w:rPr>
          <w:sz w:val="26"/>
          <w:szCs w:val="26"/>
        </w:rPr>
        <w:t xml:space="preserve"> </w:t>
      </w:r>
      <w:r w:rsidR="00EB6D46">
        <w:rPr>
          <w:sz w:val="26"/>
          <w:szCs w:val="26"/>
        </w:rPr>
        <w:t>resulting in unjust and unreasonable IPCS rates for incarcerated pe</w:t>
      </w:r>
      <w:r w:rsidR="006609C6">
        <w:rPr>
          <w:sz w:val="26"/>
          <w:szCs w:val="26"/>
        </w:rPr>
        <w:t>ople</w:t>
      </w:r>
      <w:r w:rsidR="00EB6D46">
        <w:rPr>
          <w:sz w:val="26"/>
          <w:szCs w:val="26"/>
        </w:rPr>
        <w:t xml:space="preserve"> and their families</w:t>
      </w:r>
      <w:r w:rsidR="008A1015">
        <w:rPr>
          <w:sz w:val="26"/>
          <w:szCs w:val="26"/>
        </w:rPr>
        <w:t xml:space="preserve">.  </w:t>
      </w:r>
      <w:r w:rsidR="006E422F">
        <w:rPr>
          <w:sz w:val="26"/>
          <w:szCs w:val="26"/>
        </w:rPr>
        <w:t xml:space="preserve">As such, </w:t>
      </w:r>
      <w:r w:rsidR="00DF607F">
        <w:rPr>
          <w:sz w:val="26"/>
          <w:szCs w:val="26"/>
        </w:rPr>
        <w:t xml:space="preserve">we </w:t>
      </w:r>
      <w:r w:rsidR="006E422F">
        <w:rPr>
          <w:sz w:val="26"/>
          <w:szCs w:val="26"/>
        </w:rPr>
        <w:t>exercise</w:t>
      </w:r>
      <w:r w:rsidR="00DF607F">
        <w:rPr>
          <w:sz w:val="26"/>
          <w:szCs w:val="26"/>
        </w:rPr>
        <w:t xml:space="preserve"> the</w:t>
      </w:r>
      <w:r w:rsidR="00C55576">
        <w:rPr>
          <w:sz w:val="26"/>
          <w:szCs w:val="26"/>
        </w:rPr>
        <w:t xml:space="preserve"> Commission’s </w:t>
      </w:r>
      <w:r w:rsidR="006E422F">
        <w:rPr>
          <w:sz w:val="26"/>
          <w:szCs w:val="26"/>
        </w:rPr>
        <w:t xml:space="preserve">authority and jurisdiction over telephone corporations, including VoIP providers, </w:t>
      </w:r>
      <w:r w:rsidR="00C55576">
        <w:rPr>
          <w:sz w:val="26"/>
          <w:szCs w:val="26"/>
        </w:rPr>
        <w:t xml:space="preserve">under </w:t>
      </w:r>
      <w:r w:rsidR="006E422F">
        <w:rPr>
          <w:sz w:val="26"/>
          <w:szCs w:val="26"/>
        </w:rPr>
        <w:t xml:space="preserve">Public Utilities Code </w:t>
      </w:r>
      <w:r w:rsidRPr="6C6BCE6E" w:rsidR="7F4320D3">
        <w:rPr>
          <w:sz w:val="26"/>
          <w:szCs w:val="26"/>
        </w:rPr>
        <w:t xml:space="preserve">Section </w:t>
      </w:r>
      <w:r w:rsidR="006E422F">
        <w:rPr>
          <w:sz w:val="26"/>
          <w:szCs w:val="26"/>
        </w:rPr>
        <w:t>451 to regulate IPCS rates and fees</w:t>
      </w:r>
      <w:r w:rsidR="00B9607B">
        <w:rPr>
          <w:sz w:val="26"/>
          <w:szCs w:val="26"/>
        </w:rPr>
        <w:t xml:space="preserve"> in California.</w:t>
      </w:r>
    </w:p>
    <w:p w:rsidR="005D0181" w:rsidP="005D0181" w:rsidRDefault="60919BE7" w14:paraId="2CAF15AE" w14:textId="589B8D3D">
      <w:pPr>
        <w:pStyle w:val="Standard"/>
        <w:ind w:firstLine="720"/>
        <w:rPr>
          <w:sz w:val="26"/>
          <w:szCs w:val="26"/>
        </w:rPr>
      </w:pPr>
      <w:r w:rsidRPr="6F8BE924">
        <w:rPr>
          <w:sz w:val="26"/>
          <w:szCs w:val="26"/>
        </w:rPr>
        <w:t>N</w:t>
      </w:r>
      <w:r w:rsidRPr="6F8BE924" w:rsidR="639743D7">
        <w:rPr>
          <w:sz w:val="26"/>
          <w:szCs w:val="26"/>
        </w:rPr>
        <w:t xml:space="preserve">either Staff nor any party identified an instance in California where an incarcerated person has a choice of IPCS provider.  </w:t>
      </w:r>
      <w:r w:rsidR="00964459">
        <w:rPr>
          <w:sz w:val="26"/>
          <w:szCs w:val="26"/>
        </w:rPr>
        <w:t>I</w:t>
      </w:r>
      <w:r w:rsidRPr="00964459" w:rsidR="00964459">
        <w:rPr>
          <w:sz w:val="26"/>
          <w:szCs w:val="26"/>
        </w:rPr>
        <w:t xml:space="preserve">ncarcerated people are </w:t>
      </w:r>
      <w:r w:rsidRPr="00964459" w:rsidR="00964459">
        <w:rPr>
          <w:sz w:val="26"/>
          <w:szCs w:val="26"/>
        </w:rPr>
        <w:lastRenderedPageBreak/>
        <w:t xml:space="preserve">effectively a captive customer class who have no choice in service provider and </w:t>
      </w:r>
      <w:proofErr w:type="gramStart"/>
      <w:r w:rsidRPr="00964459" w:rsidR="00964459">
        <w:rPr>
          <w:sz w:val="26"/>
          <w:szCs w:val="26"/>
        </w:rPr>
        <w:t>the end result</w:t>
      </w:r>
      <w:proofErr w:type="gramEnd"/>
      <w:r w:rsidRPr="00964459" w:rsidR="00964459">
        <w:rPr>
          <w:sz w:val="26"/>
          <w:szCs w:val="26"/>
        </w:rPr>
        <w:t xml:space="preserve"> is </w:t>
      </w:r>
      <w:r w:rsidR="00A55192">
        <w:rPr>
          <w:sz w:val="26"/>
          <w:szCs w:val="26"/>
        </w:rPr>
        <w:t xml:space="preserve">that </w:t>
      </w:r>
      <w:r w:rsidRPr="00964459" w:rsidR="00964459">
        <w:rPr>
          <w:sz w:val="26"/>
          <w:szCs w:val="26"/>
        </w:rPr>
        <w:t>there are no reasonably available substitutes for incarcerated persons and their families to choose from</w:t>
      </w:r>
      <w:r w:rsidR="00964459">
        <w:rPr>
          <w:sz w:val="26"/>
          <w:szCs w:val="26"/>
        </w:rPr>
        <w:t xml:space="preserve">.  </w:t>
      </w:r>
      <w:r w:rsidRPr="6F8BE924" w:rsidR="76B9D84A">
        <w:rPr>
          <w:sz w:val="26"/>
          <w:szCs w:val="26"/>
        </w:rPr>
        <w:t>Th</w:t>
      </w:r>
      <w:r w:rsidR="00964459">
        <w:rPr>
          <w:sz w:val="26"/>
          <w:szCs w:val="26"/>
        </w:rPr>
        <w:t xml:space="preserve">is has resulted in </w:t>
      </w:r>
      <w:r w:rsidRPr="6F8BE924" w:rsidR="65035D71">
        <w:rPr>
          <w:sz w:val="26"/>
          <w:szCs w:val="26"/>
        </w:rPr>
        <w:t xml:space="preserve">highly unequal and in some cases exorbitant rates for IPCS across incarceration facilities and </w:t>
      </w:r>
      <w:r w:rsidRPr="6F8BE924" w:rsidR="3674D27C">
        <w:rPr>
          <w:sz w:val="26"/>
          <w:szCs w:val="26"/>
        </w:rPr>
        <w:t xml:space="preserve">as </w:t>
      </w:r>
      <w:r w:rsidRPr="6F8BE924" w:rsidR="6294BF26">
        <w:rPr>
          <w:sz w:val="26"/>
          <w:szCs w:val="26"/>
        </w:rPr>
        <w:t xml:space="preserve">compared to </w:t>
      </w:r>
      <w:r w:rsidRPr="6F8BE924" w:rsidR="65035D71">
        <w:rPr>
          <w:sz w:val="26"/>
          <w:szCs w:val="26"/>
        </w:rPr>
        <w:t xml:space="preserve">current </w:t>
      </w:r>
      <w:r w:rsidRPr="6F8BE924" w:rsidR="6294BF26">
        <w:rPr>
          <w:sz w:val="26"/>
          <w:szCs w:val="26"/>
        </w:rPr>
        <w:t xml:space="preserve">commercial markets. </w:t>
      </w:r>
      <w:r w:rsidRPr="6F8BE924" w:rsidR="264CE358">
        <w:rPr>
          <w:sz w:val="26"/>
          <w:szCs w:val="26"/>
        </w:rPr>
        <w:t xml:space="preserve"> </w:t>
      </w:r>
      <w:r w:rsidRPr="6F8BE924" w:rsidR="2B997BAE">
        <w:rPr>
          <w:sz w:val="26"/>
          <w:szCs w:val="26"/>
        </w:rPr>
        <w:t xml:space="preserve">Examining the IPCS rate data provided by Staff and Cal Advocates, we find it unreasonable and unjust that people incarcerated in </w:t>
      </w:r>
      <w:r w:rsidRPr="6F8BE924" w:rsidR="735F298D">
        <w:rPr>
          <w:sz w:val="26"/>
          <w:szCs w:val="26"/>
        </w:rPr>
        <w:t xml:space="preserve">county </w:t>
      </w:r>
      <w:r w:rsidRPr="6F8BE924" w:rsidR="7761A419">
        <w:rPr>
          <w:sz w:val="26"/>
          <w:szCs w:val="26"/>
        </w:rPr>
        <w:t>jails,</w:t>
      </w:r>
      <w:r w:rsidRPr="6F8BE924" w:rsidR="68E6AB98">
        <w:rPr>
          <w:sz w:val="26"/>
          <w:szCs w:val="26"/>
        </w:rPr>
        <w:t xml:space="preserve"> </w:t>
      </w:r>
      <w:r w:rsidRPr="6F8BE924" w:rsidR="735F298D">
        <w:rPr>
          <w:sz w:val="26"/>
          <w:szCs w:val="26"/>
        </w:rPr>
        <w:t>local ja</w:t>
      </w:r>
      <w:r w:rsidRPr="6F8BE924" w:rsidR="2AD50710">
        <w:rPr>
          <w:sz w:val="26"/>
          <w:szCs w:val="26"/>
        </w:rPr>
        <w:t>ils</w:t>
      </w:r>
      <w:r w:rsidRPr="6F8BE924" w:rsidR="68E6AB98">
        <w:rPr>
          <w:sz w:val="26"/>
          <w:szCs w:val="26"/>
        </w:rPr>
        <w:t xml:space="preserve">, </w:t>
      </w:r>
      <w:r w:rsidRPr="6F8BE924" w:rsidR="7761A419">
        <w:rPr>
          <w:sz w:val="26"/>
          <w:szCs w:val="26"/>
        </w:rPr>
        <w:t xml:space="preserve">and federal prisons in California </w:t>
      </w:r>
      <w:r w:rsidRPr="6F8BE924" w:rsidR="2B997BAE">
        <w:rPr>
          <w:sz w:val="26"/>
          <w:szCs w:val="26"/>
        </w:rPr>
        <w:t>pay between 5</w:t>
      </w:r>
      <w:r w:rsidRPr="6F8BE924" w:rsidR="173FF506">
        <w:rPr>
          <w:sz w:val="26"/>
          <w:szCs w:val="26"/>
        </w:rPr>
        <w:t>84</w:t>
      </w:r>
      <w:r w:rsidRPr="6F8BE924" w:rsidR="2B997BAE">
        <w:rPr>
          <w:sz w:val="26"/>
          <w:szCs w:val="26"/>
        </w:rPr>
        <w:t xml:space="preserve"> percent and 1,124 percent more </w:t>
      </w:r>
      <w:r w:rsidRPr="6F8BE924" w:rsidR="35E86A4A">
        <w:rPr>
          <w:sz w:val="26"/>
          <w:szCs w:val="26"/>
        </w:rPr>
        <w:t>than</w:t>
      </w:r>
      <w:r w:rsidRPr="6F8BE924" w:rsidR="63FC4BE9">
        <w:rPr>
          <w:sz w:val="26"/>
          <w:szCs w:val="26"/>
        </w:rPr>
        <w:t xml:space="preserve"> </w:t>
      </w:r>
      <w:r w:rsidRPr="6F8BE924" w:rsidR="7761A419">
        <w:rPr>
          <w:sz w:val="26"/>
          <w:szCs w:val="26"/>
        </w:rPr>
        <w:t xml:space="preserve">people </w:t>
      </w:r>
      <w:r w:rsidRPr="6F8BE924" w:rsidR="06CF7E5A">
        <w:rPr>
          <w:sz w:val="26"/>
          <w:szCs w:val="26"/>
        </w:rPr>
        <w:t xml:space="preserve">incarcerated </w:t>
      </w:r>
      <w:r w:rsidRPr="6F8BE924" w:rsidR="7761A419">
        <w:rPr>
          <w:sz w:val="26"/>
          <w:szCs w:val="26"/>
        </w:rPr>
        <w:t xml:space="preserve">in </w:t>
      </w:r>
      <w:r w:rsidRPr="6F8BE924" w:rsidR="08E4595D">
        <w:rPr>
          <w:sz w:val="26"/>
          <w:szCs w:val="26"/>
        </w:rPr>
        <w:t xml:space="preserve">California state prison facilities </w:t>
      </w:r>
      <w:r w:rsidRPr="6F8BE924" w:rsidR="2B997BAE">
        <w:rPr>
          <w:sz w:val="26"/>
          <w:szCs w:val="26"/>
        </w:rPr>
        <w:t xml:space="preserve">to talk with their loved ones.  </w:t>
      </w:r>
    </w:p>
    <w:p w:rsidR="00F66DE0" w:rsidP="000F06D0" w:rsidRDefault="00884158" w14:paraId="33FDC430" w14:textId="77A30A69">
      <w:pPr>
        <w:pStyle w:val="Standard"/>
        <w:ind w:firstLine="720"/>
        <w:rPr>
          <w:sz w:val="26"/>
          <w:szCs w:val="26"/>
        </w:rPr>
      </w:pPr>
      <w:r>
        <w:rPr>
          <w:sz w:val="26"/>
          <w:szCs w:val="26"/>
        </w:rPr>
        <w:t>We are not persuaded by</w:t>
      </w:r>
      <w:r w:rsidR="4D26474D">
        <w:rPr>
          <w:sz w:val="26"/>
          <w:szCs w:val="26"/>
        </w:rPr>
        <w:t xml:space="preserve"> the</w:t>
      </w:r>
      <w:r>
        <w:rPr>
          <w:sz w:val="26"/>
          <w:szCs w:val="26"/>
        </w:rPr>
        <w:t xml:space="preserve"> IPCS providers’ arguments that </w:t>
      </w:r>
      <w:r w:rsidR="005933D1">
        <w:rPr>
          <w:sz w:val="26"/>
          <w:szCs w:val="26"/>
        </w:rPr>
        <w:t xml:space="preserve">high rates, even exorbitantly high rates, are just and reasonable </w:t>
      </w:r>
      <w:proofErr w:type="gramStart"/>
      <w:r w:rsidR="005933D1">
        <w:rPr>
          <w:sz w:val="26"/>
          <w:szCs w:val="26"/>
        </w:rPr>
        <w:t>as long as</w:t>
      </w:r>
      <w:proofErr w:type="gramEnd"/>
      <w:r w:rsidR="005933D1">
        <w:rPr>
          <w:sz w:val="26"/>
          <w:szCs w:val="26"/>
        </w:rPr>
        <w:t xml:space="preserve"> they are based on costs, including site commission costs.  </w:t>
      </w:r>
      <w:r w:rsidR="002F31D3">
        <w:rPr>
          <w:sz w:val="26"/>
          <w:szCs w:val="26"/>
        </w:rPr>
        <w:t xml:space="preserve">First, </w:t>
      </w:r>
      <w:r w:rsidR="00692CE7">
        <w:rPr>
          <w:sz w:val="26"/>
          <w:szCs w:val="26"/>
        </w:rPr>
        <w:t>as</w:t>
      </w:r>
      <w:r w:rsidRPr="32BA345C" w:rsidR="02AFE0D9">
        <w:rPr>
          <w:sz w:val="26"/>
          <w:szCs w:val="26"/>
        </w:rPr>
        <w:t xml:space="preserve"> </w:t>
      </w:r>
      <w:proofErr w:type="spellStart"/>
      <w:r w:rsidRPr="32BA345C" w:rsidR="310D2725">
        <w:rPr>
          <w:sz w:val="26"/>
          <w:szCs w:val="26"/>
        </w:rPr>
        <w:t>CforAT</w:t>
      </w:r>
      <w:proofErr w:type="spellEnd"/>
      <w:r w:rsidR="00692CE7">
        <w:rPr>
          <w:sz w:val="26"/>
          <w:szCs w:val="26"/>
        </w:rPr>
        <w:t xml:space="preserve"> </w:t>
      </w:r>
      <w:proofErr w:type="gramStart"/>
      <w:r w:rsidR="00692CE7">
        <w:rPr>
          <w:sz w:val="26"/>
          <w:szCs w:val="26"/>
        </w:rPr>
        <w:t>noted ,</w:t>
      </w:r>
      <w:proofErr w:type="gramEnd"/>
      <w:r w:rsidR="00692CE7">
        <w:rPr>
          <w:sz w:val="26"/>
          <w:szCs w:val="26"/>
        </w:rPr>
        <w:t xml:space="preserve"> </w:t>
      </w:r>
      <w:r w:rsidR="00942F05">
        <w:rPr>
          <w:sz w:val="26"/>
          <w:szCs w:val="26"/>
        </w:rPr>
        <w:t xml:space="preserve">IPCS </w:t>
      </w:r>
      <w:r w:rsidR="0032593C">
        <w:rPr>
          <w:sz w:val="26"/>
          <w:szCs w:val="26"/>
        </w:rPr>
        <w:t xml:space="preserve">providers had the opportunity to but did not </w:t>
      </w:r>
      <w:r w:rsidR="007F1DAE">
        <w:rPr>
          <w:sz w:val="26"/>
          <w:szCs w:val="26"/>
        </w:rPr>
        <w:t xml:space="preserve">file </w:t>
      </w:r>
      <w:r w:rsidR="002F31D3">
        <w:rPr>
          <w:sz w:val="26"/>
          <w:szCs w:val="26"/>
        </w:rPr>
        <w:t xml:space="preserve">data </w:t>
      </w:r>
      <w:r w:rsidR="007F1DAE">
        <w:rPr>
          <w:sz w:val="26"/>
          <w:szCs w:val="26"/>
        </w:rPr>
        <w:t xml:space="preserve">summarizing </w:t>
      </w:r>
      <w:r w:rsidR="002F31D3">
        <w:rPr>
          <w:sz w:val="26"/>
          <w:szCs w:val="26"/>
        </w:rPr>
        <w:t xml:space="preserve">the range of </w:t>
      </w:r>
      <w:r w:rsidR="004E007A">
        <w:rPr>
          <w:sz w:val="26"/>
          <w:szCs w:val="26"/>
        </w:rPr>
        <w:t xml:space="preserve">security </w:t>
      </w:r>
      <w:r w:rsidR="0046647D">
        <w:rPr>
          <w:sz w:val="26"/>
          <w:szCs w:val="26"/>
        </w:rPr>
        <w:t xml:space="preserve">or other </w:t>
      </w:r>
      <w:r w:rsidR="002F31D3">
        <w:rPr>
          <w:sz w:val="26"/>
          <w:szCs w:val="26"/>
        </w:rPr>
        <w:t>cost</w:t>
      </w:r>
      <w:r w:rsidR="004E007A">
        <w:rPr>
          <w:sz w:val="26"/>
          <w:szCs w:val="26"/>
        </w:rPr>
        <w:t>s</w:t>
      </w:r>
      <w:r w:rsidR="00725E9D">
        <w:rPr>
          <w:sz w:val="26"/>
          <w:szCs w:val="26"/>
        </w:rPr>
        <w:t xml:space="preserve"> </w:t>
      </w:r>
      <w:r w:rsidR="009E614F">
        <w:rPr>
          <w:sz w:val="26"/>
          <w:szCs w:val="26"/>
        </w:rPr>
        <w:t>to IPCS providers</w:t>
      </w:r>
      <w:r w:rsidR="007F1DAE">
        <w:rPr>
          <w:sz w:val="26"/>
          <w:szCs w:val="26"/>
        </w:rPr>
        <w:t xml:space="preserve">.  IPCS providers had the opportunity to but did </w:t>
      </w:r>
      <w:r w:rsidRPr="3934F952" w:rsidR="61AF6339">
        <w:rPr>
          <w:sz w:val="26"/>
          <w:szCs w:val="26"/>
        </w:rPr>
        <w:t>not</w:t>
      </w:r>
      <w:r w:rsidRPr="3934F952" w:rsidR="007F1DAE">
        <w:rPr>
          <w:sz w:val="26"/>
          <w:szCs w:val="26"/>
        </w:rPr>
        <w:t xml:space="preserve"> </w:t>
      </w:r>
      <w:r w:rsidR="008432DE">
        <w:rPr>
          <w:sz w:val="26"/>
          <w:szCs w:val="26"/>
        </w:rPr>
        <w:t xml:space="preserve">link </w:t>
      </w:r>
      <w:r w:rsidR="00552BEC">
        <w:rPr>
          <w:sz w:val="26"/>
          <w:szCs w:val="26"/>
        </w:rPr>
        <w:t xml:space="preserve">filed </w:t>
      </w:r>
      <w:r w:rsidR="008432DE">
        <w:rPr>
          <w:sz w:val="26"/>
          <w:szCs w:val="26"/>
        </w:rPr>
        <w:t xml:space="preserve">data on </w:t>
      </w:r>
      <w:r w:rsidR="00552BEC">
        <w:rPr>
          <w:sz w:val="26"/>
          <w:szCs w:val="26"/>
        </w:rPr>
        <w:t xml:space="preserve">IPCS security </w:t>
      </w:r>
      <w:r w:rsidR="00942F05">
        <w:rPr>
          <w:sz w:val="26"/>
          <w:szCs w:val="26"/>
        </w:rPr>
        <w:t xml:space="preserve">costs to the </w:t>
      </w:r>
      <w:r w:rsidR="00725E9D">
        <w:rPr>
          <w:sz w:val="26"/>
          <w:szCs w:val="26"/>
        </w:rPr>
        <w:t xml:space="preserve">rates </w:t>
      </w:r>
      <w:r w:rsidR="008432DE">
        <w:rPr>
          <w:sz w:val="26"/>
          <w:szCs w:val="26"/>
        </w:rPr>
        <w:t xml:space="preserve">they </w:t>
      </w:r>
      <w:r w:rsidR="00725E9D">
        <w:rPr>
          <w:sz w:val="26"/>
          <w:szCs w:val="26"/>
        </w:rPr>
        <w:t>charge.</w:t>
      </w:r>
      <w:r w:rsidR="008338DA">
        <w:rPr>
          <w:sz w:val="26"/>
          <w:szCs w:val="26"/>
        </w:rPr>
        <w:t xml:space="preserve">  </w:t>
      </w:r>
      <w:r w:rsidR="00942F05">
        <w:rPr>
          <w:sz w:val="26"/>
          <w:szCs w:val="26"/>
        </w:rPr>
        <w:t xml:space="preserve">IPCS </w:t>
      </w:r>
      <w:r w:rsidR="00D4757A">
        <w:rPr>
          <w:sz w:val="26"/>
          <w:szCs w:val="26"/>
        </w:rPr>
        <w:t>p</w:t>
      </w:r>
      <w:r w:rsidR="008338DA">
        <w:rPr>
          <w:sz w:val="26"/>
          <w:szCs w:val="26"/>
        </w:rPr>
        <w:t>rovider</w:t>
      </w:r>
      <w:r w:rsidR="00942F05">
        <w:rPr>
          <w:sz w:val="26"/>
          <w:szCs w:val="26"/>
        </w:rPr>
        <w:t xml:space="preserve">s had the opportunity </w:t>
      </w:r>
      <w:r w:rsidR="009715DC">
        <w:rPr>
          <w:sz w:val="26"/>
          <w:szCs w:val="26"/>
        </w:rPr>
        <w:t xml:space="preserve">to </w:t>
      </w:r>
      <w:r w:rsidR="00942F05">
        <w:rPr>
          <w:sz w:val="26"/>
          <w:szCs w:val="26"/>
        </w:rPr>
        <w:t xml:space="preserve">but did not file </w:t>
      </w:r>
      <w:r w:rsidR="00D4757A">
        <w:rPr>
          <w:sz w:val="26"/>
          <w:szCs w:val="26"/>
        </w:rPr>
        <w:t xml:space="preserve">data </w:t>
      </w:r>
      <w:r w:rsidR="00B954A2">
        <w:rPr>
          <w:sz w:val="26"/>
          <w:szCs w:val="26"/>
        </w:rPr>
        <w:t>justifying the significantly higher rates for county or city jails</w:t>
      </w:r>
      <w:r w:rsidR="00D4757A">
        <w:rPr>
          <w:sz w:val="26"/>
          <w:szCs w:val="26"/>
        </w:rPr>
        <w:t xml:space="preserve"> </w:t>
      </w:r>
      <w:r w:rsidRPr="32BA345C" w:rsidR="197EFACF">
        <w:rPr>
          <w:sz w:val="26"/>
          <w:szCs w:val="26"/>
        </w:rPr>
        <w:t xml:space="preserve">Cal Advocates </w:t>
      </w:r>
      <w:r w:rsidR="00D4757A">
        <w:rPr>
          <w:sz w:val="26"/>
          <w:szCs w:val="26"/>
        </w:rPr>
        <w:t>identified</w:t>
      </w:r>
      <w:r w:rsidR="00D23408">
        <w:rPr>
          <w:sz w:val="26"/>
          <w:szCs w:val="26"/>
        </w:rPr>
        <w:t>.</w:t>
      </w:r>
      <w:r w:rsidR="00D4757A">
        <w:rPr>
          <w:sz w:val="26"/>
          <w:szCs w:val="26"/>
        </w:rPr>
        <w:t xml:space="preserve">  </w:t>
      </w:r>
    </w:p>
    <w:p w:rsidR="008846E3" w:rsidP="000F06D0" w:rsidRDefault="00F66DE0" w14:paraId="6A53E3B1" w14:textId="3A11893C">
      <w:pPr>
        <w:pStyle w:val="Standard"/>
        <w:ind w:firstLine="720"/>
        <w:rPr>
          <w:sz w:val="26"/>
          <w:szCs w:val="26"/>
        </w:rPr>
      </w:pPr>
      <w:r>
        <w:rPr>
          <w:sz w:val="26"/>
          <w:szCs w:val="26"/>
        </w:rPr>
        <w:t xml:space="preserve">Because the IPCS providers </w:t>
      </w:r>
      <w:r w:rsidR="00567BDF">
        <w:rPr>
          <w:sz w:val="26"/>
          <w:szCs w:val="26"/>
        </w:rPr>
        <w:t>failed to</w:t>
      </w:r>
      <w:r>
        <w:rPr>
          <w:sz w:val="26"/>
          <w:szCs w:val="26"/>
        </w:rPr>
        <w:t xml:space="preserve"> file cost data to justify their claims, </w:t>
      </w:r>
      <w:r w:rsidR="00FA4887">
        <w:rPr>
          <w:sz w:val="26"/>
          <w:szCs w:val="26"/>
        </w:rPr>
        <w:t xml:space="preserve">we </w:t>
      </w:r>
      <w:r w:rsidR="005D0181">
        <w:rPr>
          <w:sz w:val="26"/>
          <w:szCs w:val="26"/>
        </w:rPr>
        <w:t xml:space="preserve">preliminarily </w:t>
      </w:r>
      <w:r w:rsidR="00E87883">
        <w:rPr>
          <w:sz w:val="26"/>
          <w:szCs w:val="26"/>
        </w:rPr>
        <w:t xml:space="preserve">conclude </w:t>
      </w:r>
      <w:r w:rsidR="00B73349">
        <w:rPr>
          <w:sz w:val="26"/>
          <w:szCs w:val="26"/>
        </w:rPr>
        <w:t xml:space="preserve">that a significant portion of the </w:t>
      </w:r>
      <w:r w:rsidR="00E87883">
        <w:rPr>
          <w:sz w:val="26"/>
          <w:szCs w:val="26"/>
        </w:rPr>
        <w:t xml:space="preserve">higher </w:t>
      </w:r>
      <w:r w:rsidR="000F06D0">
        <w:rPr>
          <w:sz w:val="26"/>
          <w:szCs w:val="26"/>
        </w:rPr>
        <w:t xml:space="preserve">IPCS </w:t>
      </w:r>
      <w:r w:rsidR="00E87883">
        <w:rPr>
          <w:sz w:val="26"/>
          <w:szCs w:val="26"/>
        </w:rPr>
        <w:t xml:space="preserve">rates charged in some incarceration facilities </w:t>
      </w:r>
      <w:r w:rsidR="00611803">
        <w:rPr>
          <w:sz w:val="26"/>
          <w:szCs w:val="26"/>
        </w:rPr>
        <w:t xml:space="preserve">stem from revenue </w:t>
      </w:r>
      <w:r w:rsidR="00B73349">
        <w:rPr>
          <w:sz w:val="26"/>
          <w:szCs w:val="26"/>
        </w:rPr>
        <w:t>collected by providers</w:t>
      </w:r>
      <w:r w:rsidR="00611803">
        <w:rPr>
          <w:sz w:val="26"/>
          <w:szCs w:val="26"/>
        </w:rPr>
        <w:t xml:space="preserve"> to recoup </w:t>
      </w:r>
      <w:r w:rsidR="00E87883">
        <w:rPr>
          <w:sz w:val="26"/>
          <w:szCs w:val="26"/>
        </w:rPr>
        <w:t xml:space="preserve">commission </w:t>
      </w:r>
      <w:r w:rsidR="00B73349">
        <w:rPr>
          <w:sz w:val="26"/>
          <w:szCs w:val="26"/>
        </w:rPr>
        <w:t xml:space="preserve">payments.  </w:t>
      </w:r>
      <w:r w:rsidR="00CF12BE">
        <w:rPr>
          <w:sz w:val="26"/>
          <w:szCs w:val="26"/>
        </w:rPr>
        <w:t>According to the FCC, w</w:t>
      </w:r>
      <w:r w:rsidR="00D23B51">
        <w:rPr>
          <w:sz w:val="26"/>
          <w:szCs w:val="26"/>
        </w:rPr>
        <w:t>here they exist, site c</w:t>
      </w:r>
      <w:r w:rsidR="00867C3A">
        <w:rPr>
          <w:sz w:val="26"/>
          <w:szCs w:val="26"/>
        </w:rPr>
        <w:t xml:space="preserve">ommission payments </w:t>
      </w:r>
      <w:r w:rsidR="003E3D4F">
        <w:rPr>
          <w:sz w:val="26"/>
          <w:szCs w:val="26"/>
        </w:rPr>
        <w:t xml:space="preserve">are a significant factor contributing to high rates and </w:t>
      </w:r>
      <w:r w:rsidR="00867C3A">
        <w:rPr>
          <w:sz w:val="26"/>
          <w:szCs w:val="26"/>
        </w:rPr>
        <w:t xml:space="preserve">can account for </w:t>
      </w:r>
      <w:r w:rsidRPr="00D953AA" w:rsidR="00414F82">
        <w:rPr>
          <w:sz w:val="26"/>
          <w:szCs w:val="26"/>
        </w:rPr>
        <w:t xml:space="preserve">20 – 88 percent </w:t>
      </w:r>
      <w:r w:rsidRPr="00D953AA" w:rsidR="008846E3">
        <w:rPr>
          <w:sz w:val="26"/>
          <w:szCs w:val="26"/>
        </w:rPr>
        <w:t xml:space="preserve">of </w:t>
      </w:r>
      <w:r w:rsidR="00867C3A">
        <w:rPr>
          <w:sz w:val="26"/>
          <w:szCs w:val="26"/>
        </w:rPr>
        <w:t>IPCS</w:t>
      </w:r>
      <w:r w:rsidR="00FE2DFF">
        <w:rPr>
          <w:sz w:val="26"/>
          <w:szCs w:val="26"/>
        </w:rPr>
        <w:t xml:space="preserve"> </w:t>
      </w:r>
      <w:r w:rsidRPr="00D953AA" w:rsidR="00414F82">
        <w:rPr>
          <w:sz w:val="26"/>
          <w:szCs w:val="26"/>
        </w:rPr>
        <w:t>costs</w:t>
      </w:r>
      <w:r w:rsidRPr="00D953AA" w:rsidR="008846E3">
        <w:rPr>
          <w:sz w:val="26"/>
          <w:szCs w:val="26"/>
        </w:rPr>
        <w:t>.</w:t>
      </w:r>
      <w:r w:rsidRPr="00D953AA" w:rsidR="00414F82">
        <w:rPr>
          <w:rStyle w:val="FootnoteReference"/>
          <w:sz w:val="26"/>
          <w:szCs w:val="26"/>
        </w:rPr>
        <w:footnoteReference w:id="114"/>
      </w:r>
      <w:r w:rsidR="008846E3">
        <w:rPr>
          <w:sz w:val="26"/>
          <w:szCs w:val="26"/>
        </w:rPr>
        <w:t xml:space="preserve"> </w:t>
      </w:r>
      <w:r w:rsidR="000F06D0">
        <w:rPr>
          <w:sz w:val="26"/>
          <w:szCs w:val="26"/>
        </w:rPr>
        <w:t xml:space="preserve"> Because of the importance of site commission fees in the IPCS market, it is worth examining this issue in detail. </w:t>
      </w:r>
    </w:p>
    <w:p w:rsidR="000F06D0" w:rsidP="000F06D0" w:rsidRDefault="00FE2DFF" w14:paraId="4559BD77" w14:textId="4DCA984A">
      <w:pPr>
        <w:pStyle w:val="Standard"/>
        <w:ind w:firstLine="720"/>
        <w:rPr>
          <w:sz w:val="26"/>
          <w:szCs w:val="26"/>
        </w:rPr>
      </w:pPr>
      <w:r>
        <w:rPr>
          <w:sz w:val="26"/>
          <w:szCs w:val="26"/>
        </w:rPr>
        <w:lastRenderedPageBreak/>
        <w:t xml:space="preserve">As discussed </w:t>
      </w:r>
      <w:r w:rsidR="00D63F13">
        <w:rPr>
          <w:sz w:val="26"/>
          <w:szCs w:val="26"/>
        </w:rPr>
        <w:t xml:space="preserve">earlier, </w:t>
      </w:r>
      <w:r w:rsidR="00A35914">
        <w:rPr>
          <w:sz w:val="26"/>
          <w:szCs w:val="26"/>
        </w:rPr>
        <w:t>California Penal Code Section 4025(d) authorizes</w:t>
      </w:r>
      <w:r w:rsidR="00D63F13">
        <w:rPr>
          <w:sz w:val="26"/>
          <w:szCs w:val="26"/>
        </w:rPr>
        <w:t>,</w:t>
      </w:r>
      <w:r w:rsidR="00A35914">
        <w:rPr>
          <w:sz w:val="26"/>
          <w:szCs w:val="26"/>
        </w:rPr>
        <w:t xml:space="preserve"> but does not require</w:t>
      </w:r>
      <w:r w:rsidR="00D63F13">
        <w:rPr>
          <w:sz w:val="26"/>
          <w:szCs w:val="26"/>
        </w:rPr>
        <w:t>,</w:t>
      </w:r>
      <w:r w:rsidR="00A35914">
        <w:rPr>
          <w:sz w:val="26"/>
          <w:szCs w:val="26"/>
        </w:rPr>
        <w:t xml:space="preserve"> </w:t>
      </w:r>
      <w:r>
        <w:rPr>
          <w:sz w:val="26"/>
          <w:szCs w:val="26"/>
        </w:rPr>
        <w:t>county sheriff</w:t>
      </w:r>
      <w:r w:rsidR="002E6C88">
        <w:rPr>
          <w:sz w:val="26"/>
          <w:szCs w:val="26"/>
        </w:rPr>
        <w:t>’</w:t>
      </w:r>
      <w:r>
        <w:rPr>
          <w:sz w:val="26"/>
          <w:szCs w:val="26"/>
        </w:rPr>
        <w:t>s departments to collect</w:t>
      </w:r>
      <w:r w:rsidR="002141BF">
        <w:rPr>
          <w:sz w:val="26"/>
          <w:szCs w:val="26"/>
        </w:rPr>
        <w:t xml:space="preserve"> </w:t>
      </w:r>
      <w:r>
        <w:rPr>
          <w:sz w:val="26"/>
          <w:szCs w:val="26"/>
        </w:rPr>
        <w:t>funds</w:t>
      </w:r>
      <w:r w:rsidR="00382A5B">
        <w:rPr>
          <w:sz w:val="26"/>
          <w:szCs w:val="26"/>
        </w:rPr>
        <w:t>,</w:t>
      </w:r>
      <w:r>
        <w:rPr>
          <w:sz w:val="26"/>
          <w:szCs w:val="26"/>
        </w:rPr>
        <w:t xml:space="preserve"> </w:t>
      </w:r>
      <w:r w:rsidR="00066F32">
        <w:rPr>
          <w:sz w:val="26"/>
          <w:szCs w:val="26"/>
        </w:rPr>
        <w:t>or</w:t>
      </w:r>
      <w:r w:rsidR="002D4F17">
        <w:rPr>
          <w:sz w:val="26"/>
          <w:szCs w:val="26"/>
        </w:rPr>
        <w:t xml:space="preserve"> </w:t>
      </w:r>
      <w:r w:rsidR="00066F32">
        <w:rPr>
          <w:sz w:val="26"/>
          <w:szCs w:val="26"/>
        </w:rPr>
        <w:t>”</w:t>
      </w:r>
      <w:r w:rsidR="00E434F2">
        <w:rPr>
          <w:sz w:val="26"/>
          <w:szCs w:val="26"/>
        </w:rPr>
        <w:t>commissions</w:t>
      </w:r>
      <w:r w:rsidR="00382A5B">
        <w:rPr>
          <w:sz w:val="26"/>
          <w:szCs w:val="26"/>
        </w:rPr>
        <w:t>,</w:t>
      </w:r>
      <w:r w:rsidR="00E434F2">
        <w:rPr>
          <w:sz w:val="26"/>
          <w:szCs w:val="26"/>
        </w:rPr>
        <w:t xml:space="preserve">” </w:t>
      </w:r>
      <w:r w:rsidR="002141BF">
        <w:rPr>
          <w:sz w:val="26"/>
          <w:szCs w:val="26"/>
        </w:rPr>
        <w:t xml:space="preserve">from </w:t>
      </w:r>
      <w:r w:rsidR="002D4F17">
        <w:rPr>
          <w:sz w:val="26"/>
          <w:szCs w:val="26"/>
        </w:rPr>
        <w:t xml:space="preserve">IPCS </w:t>
      </w:r>
      <w:r w:rsidR="00066F32">
        <w:rPr>
          <w:sz w:val="26"/>
          <w:szCs w:val="26"/>
        </w:rPr>
        <w:t>providers</w:t>
      </w:r>
      <w:r w:rsidR="00977498">
        <w:rPr>
          <w:sz w:val="26"/>
          <w:szCs w:val="26"/>
        </w:rPr>
        <w:t xml:space="preserve"> and place these funds in an “inmate welfare fund” that </w:t>
      </w:r>
      <w:r w:rsidR="00422373">
        <w:rPr>
          <w:sz w:val="26"/>
          <w:szCs w:val="26"/>
        </w:rPr>
        <w:t>is spent “primarily” for the benefit, education, and welfare of incarcerated persons</w:t>
      </w:r>
      <w:r w:rsidR="00D364B6">
        <w:rPr>
          <w:sz w:val="26"/>
          <w:szCs w:val="26"/>
        </w:rPr>
        <w:t>.</w:t>
      </w:r>
      <w:r w:rsidR="00066F32">
        <w:rPr>
          <w:rStyle w:val="FootnoteReference"/>
          <w:sz w:val="26"/>
          <w:szCs w:val="26"/>
        </w:rPr>
        <w:footnoteReference w:id="115"/>
      </w:r>
      <w:r w:rsidR="00066F32">
        <w:rPr>
          <w:sz w:val="26"/>
          <w:szCs w:val="26"/>
        </w:rPr>
        <w:t xml:space="preserve">  </w:t>
      </w:r>
      <w:r w:rsidR="00F771DD">
        <w:rPr>
          <w:sz w:val="26"/>
          <w:szCs w:val="26"/>
        </w:rPr>
        <w:t xml:space="preserve">Although the collection of site commissions is currently lawful, this </w:t>
      </w:r>
      <w:r w:rsidR="00D65E6B">
        <w:rPr>
          <w:sz w:val="26"/>
          <w:szCs w:val="26"/>
        </w:rPr>
        <w:t>d</w:t>
      </w:r>
      <w:r w:rsidR="00A706F9">
        <w:rPr>
          <w:sz w:val="26"/>
          <w:szCs w:val="26"/>
        </w:rPr>
        <w:t xml:space="preserve">oes not </w:t>
      </w:r>
      <w:r w:rsidR="00D33604">
        <w:rPr>
          <w:sz w:val="26"/>
          <w:szCs w:val="26"/>
        </w:rPr>
        <w:t xml:space="preserve">absolve </w:t>
      </w:r>
      <w:r w:rsidR="00A706F9">
        <w:rPr>
          <w:sz w:val="26"/>
          <w:szCs w:val="26"/>
        </w:rPr>
        <w:t>this Commission</w:t>
      </w:r>
      <w:r w:rsidR="00D33604">
        <w:rPr>
          <w:sz w:val="26"/>
          <w:szCs w:val="26"/>
        </w:rPr>
        <w:t xml:space="preserve"> from our </w:t>
      </w:r>
      <w:r w:rsidR="00A706F9">
        <w:rPr>
          <w:sz w:val="26"/>
          <w:szCs w:val="26"/>
        </w:rPr>
        <w:t xml:space="preserve">obligation to ensure access to </w:t>
      </w:r>
      <w:r w:rsidRPr="00894B78" w:rsidR="00A706F9">
        <w:rPr>
          <w:sz w:val="26"/>
          <w:szCs w:val="26"/>
        </w:rPr>
        <w:t xml:space="preserve">just and reasonable calling service rates for incarcerated people and their families.  </w:t>
      </w:r>
      <w:r w:rsidRPr="00894B78" w:rsidR="00F832C0">
        <w:rPr>
          <w:sz w:val="26"/>
          <w:szCs w:val="26"/>
        </w:rPr>
        <w:t>Count</w:t>
      </w:r>
      <w:r w:rsidRPr="00894B78" w:rsidR="00F771DD">
        <w:rPr>
          <w:sz w:val="26"/>
          <w:szCs w:val="26"/>
        </w:rPr>
        <w:t xml:space="preserve">y </w:t>
      </w:r>
      <w:r w:rsidRPr="00894B78" w:rsidR="00E42AAB">
        <w:rPr>
          <w:sz w:val="26"/>
          <w:szCs w:val="26"/>
        </w:rPr>
        <w:t>c</w:t>
      </w:r>
      <w:r w:rsidRPr="00894B78" w:rsidR="00D560F7">
        <w:rPr>
          <w:sz w:val="26"/>
          <w:szCs w:val="26"/>
        </w:rPr>
        <w:t>ollect</w:t>
      </w:r>
      <w:r w:rsidRPr="00894B78" w:rsidR="00D32DD2">
        <w:rPr>
          <w:sz w:val="26"/>
          <w:szCs w:val="26"/>
        </w:rPr>
        <w:t>ion</w:t>
      </w:r>
      <w:r w:rsidRPr="00894B78" w:rsidR="00F771DD">
        <w:rPr>
          <w:sz w:val="26"/>
          <w:szCs w:val="26"/>
        </w:rPr>
        <w:t>s</w:t>
      </w:r>
      <w:r w:rsidRPr="00894B78" w:rsidR="00D32DD2">
        <w:rPr>
          <w:sz w:val="26"/>
          <w:szCs w:val="26"/>
        </w:rPr>
        <w:t xml:space="preserve"> of </w:t>
      </w:r>
      <w:r w:rsidRPr="00894B78" w:rsidR="00D560F7">
        <w:rPr>
          <w:sz w:val="26"/>
          <w:szCs w:val="26"/>
        </w:rPr>
        <w:t xml:space="preserve">site commissions </w:t>
      </w:r>
      <w:r w:rsidRPr="00894B78" w:rsidR="00F472E1">
        <w:rPr>
          <w:sz w:val="26"/>
          <w:szCs w:val="26"/>
        </w:rPr>
        <w:t xml:space="preserve">pursuant to Penal Code </w:t>
      </w:r>
      <w:r w:rsidRPr="00894B78" w:rsidR="011F711D">
        <w:rPr>
          <w:sz w:val="26"/>
          <w:szCs w:val="26"/>
        </w:rPr>
        <w:t xml:space="preserve">Section </w:t>
      </w:r>
      <w:r w:rsidRPr="00894B78" w:rsidR="00F472E1">
        <w:rPr>
          <w:sz w:val="26"/>
          <w:szCs w:val="26"/>
        </w:rPr>
        <w:t>4025</w:t>
      </w:r>
      <w:r w:rsidRPr="00894B78" w:rsidR="00E42AAB">
        <w:rPr>
          <w:sz w:val="26"/>
          <w:szCs w:val="26"/>
        </w:rPr>
        <w:t>, if any,</w:t>
      </w:r>
      <w:r w:rsidRPr="00894B78" w:rsidR="00F472E1">
        <w:rPr>
          <w:sz w:val="26"/>
          <w:szCs w:val="26"/>
        </w:rPr>
        <w:t xml:space="preserve"> must </w:t>
      </w:r>
      <w:r w:rsidRPr="00894B78" w:rsidR="003E5973">
        <w:rPr>
          <w:sz w:val="26"/>
          <w:szCs w:val="26"/>
        </w:rPr>
        <w:t xml:space="preserve">be </w:t>
      </w:r>
      <w:r w:rsidRPr="00894B78" w:rsidR="3AE6C16A">
        <w:rPr>
          <w:sz w:val="26"/>
          <w:szCs w:val="26"/>
        </w:rPr>
        <w:t>in accordance</w:t>
      </w:r>
      <w:r w:rsidRPr="00894B78" w:rsidR="346BB095">
        <w:rPr>
          <w:sz w:val="26"/>
          <w:szCs w:val="26"/>
        </w:rPr>
        <w:t xml:space="preserve"> with </w:t>
      </w:r>
      <w:r w:rsidRPr="00894B78" w:rsidR="0E9B56D2">
        <w:rPr>
          <w:sz w:val="26"/>
          <w:szCs w:val="26"/>
        </w:rPr>
        <w:t>IP</w:t>
      </w:r>
      <w:r w:rsidR="007D667B">
        <w:rPr>
          <w:sz w:val="26"/>
          <w:szCs w:val="26"/>
        </w:rPr>
        <w:t>C</w:t>
      </w:r>
      <w:r w:rsidRPr="00894B78" w:rsidR="0E9B56D2">
        <w:rPr>
          <w:sz w:val="26"/>
          <w:szCs w:val="26"/>
        </w:rPr>
        <w:t xml:space="preserve">S </w:t>
      </w:r>
      <w:proofErr w:type="gramStart"/>
      <w:r w:rsidRPr="00894B78" w:rsidR="0E9B56D2">
        <w:rPr>
          <w:sz w:val="26"/>
          <w:szCs w:val="26"/>
        </w:rPr>
        <w:t>providers‘ responsibility</w:t>
      </w:r>
      <w:proofErr w:type="gramEnd"/>
      <w:r w:rsidRPr="00894B78" w:rsidR="0E9B56D2">
        <w:rPr>
          <w:sz w:val="26"/>
          <w:szCs w:val="26"/>
        </w:rPr>
        <w:t xml:space="preserve"> to provide</w:t>
      </w:r>
      <w:r w:rsidRPr="00894B78" w:rsidR="003E5973">
        <w:rPr>
          <w:sz w:val="26"/>
          <w:szCs w:val="26"/>
        </w:rPr>
        <w:t xml:space="preserve"> </w:t>
      </w:r>
      <w:r w:rsidRPr="00894B78" w:rsidR="00F771DD">
        <w:rPr>
          <w:sz w:val="26"/>
          <w:szCs w:val="26"/>
        </w:rPr>
        <w:t xml:space="preserve">just and reasonable calling rates for </w:t>
      </w:r>
      <w:r w:rsidRPr="00894B78" w:rsidR="007C7C1C">
        <w:rPr>
          <w:sz w:val="26"/>
          <w:szCs w:val="26"/>
        </w:rPr>
        <w:t xml:space="preserve">all  </w:t>
      </w:r>
      <w:r w:rsidRPr="00894B78" w:rsidR="00E42AAB">
        <w:rPr>
          <w:sz w:val="26"/>
          <w:szCs w:val="26"/>
        </w:rPr>
        <w:t>incarcerated persons</w:t>
      </w:r>
      <w:r w:rsidRPr="00894B78" w:rsidR="4EC940E3">
        <w:rPr>
          <w:sz w:val="26"/>
          <w:szCs w:val="26"/>
        </w:rPr>
        <w:t xml:space="preserve"> in the State of California</w:t>
      </w:r>
      <w:r w:rsidRPr="00894B78" w:rsidR="008906F7">
        <w:rPr>
          <w:sz w:val="26"/>
          <w:szCs w:val="26"/>
        </w:rPr>
        <w:t xml:space="preserve">, as required </w:t>
      </w:r>
      <w:r w:rsidRPr="00894B78" w:rsidR="4E91E682">
        <w:rPr>
          <w:sz w:val="26"/>
          <w:szCs w:val="26"/>
        </w:rPr>
        <w:t>by</w:t>
      </w:r>
      <w:r w:rsidRPr="00894B78" w:rsidR="008906F7">
        <w:rPr>
          <w:sz w:val="26"/>
          <w:szCs w:val="26"/>
        </w:rPr>
        <w:t xml:space="preserve"> Public Utilities Code Section 451.</w:t>
      </w:r>
      <w:r w:rsidR="008906F7">
        <w:rPr>
          <w:sz w:val="26"/>
          <w:szCs w:val="26"/>
        </w:rPr>
        <w:t xml:space="preserve">  </w:t>
      </w:r>
      <w:r w:rsidR="008B556E">
        <w:rPr>
          <w:sz w:val="26"/>
          <w:szCs w:val="26"/>
        </w:rPr>
        <w:t>IPCS rates that are</w:t>
      </w:r>
      <w:r w:rsidR="00E65D4E">
        <w:rPr>
          <w:sz w:val="26"/>
          <w:szCs w:val="26"/>
        </w:rPr>
        <w:t xml:space="preserve"> 584 percent to </w:t>
      </w:r>
      <w:r w:rsidRPr="00436448" w:rsidR="00E65D4E">
        <w:rPr>
          <w:sz w:val="26"/>
          <w:szCs w:val="26"/>
        </w:rPr>
        <w:t>1,124</w:t>
      </w:r>
      <w:r w:rsidR="00C84E76">
        <w:rPr>
          <w:sz w:val="26"/>
          <w:szCs w:val="26"/>
        </w:rPr>
        <w:t xml:space="preserve"> percent higher </w:t>
      </w:r>
      <w:r w:rsidRPr="004D1050" w:rsidR="00C84E76">
        <w:rPr>
          <w:sz w:val="26"/>
          <w:szCs w:val="26"/>
        </w:rPr>
        <w:t xml:space="preserve">than </w:t>
      </w:r>
      <w:r w:rsidR="00700E46">
        <w:rPr>
          <w:sz w:val="26"/>
          <w:szCs w:val="26"/>
        </w:rPr>
        <w:t xml:space="preserve">the $0.025 per minute rate offered in </w:t>
      </w:r>
      <w:r w:rsidR="00A43C4C">
        <w:rPr>
          <w:sz w:val="26"/>
          <w:szCs w:val="26"/>
        </w:rPr>
        <w:t xml:space="preserve">the California </w:t>
      </w:r>
      <w:r w:rsidR="00700E46">
        <w:rPr>
          <w:sz w:val="26"/>
          <w:szCs w:val="26"/>
        </w:rPr>
        <w:t>state prison</w:t>
      </w:r>
      <w:r w:rsidR="00A43C4C">
        <w:rPr>
          <w:sz w:val="26"/>
          <w:szCs w:val="26"/>
        </w:rPr>
        <w:t xml:space="preserve"> system </w:t>
      </w:r>
      <w:r w:rsidR="002C1BB7">
        <w:rPr>
          <w:sz w:val="26"/>
          <w:szCs w:val="26"/>
        </w:rPr>
        <w:t xml:space="preserve">are not just </w:t>
      </w:r>
      <w:r w:rsidR="00964459">
        <w:rPr>
          <w:sz w:val="26"/>
          <w:szCs w:val="26"/>
        </w:rPr>
        <w:t>or</w:t>
      </w:r>
      <w:r w:rsidR="002C1BB7">
        <w:rPr>
          <w:sz w:val="26"/>
          <w:szCs w:val="26"/>
        </w:rPr>
        <w:t xml:space="preserve"> reasonable</w:t>
      </w:r>
      <w:r w:rsidR="007C7C1C">
        <w:rPr>
          <w:sz w:val="26"/>
          <w:szCs w:val="26"/>
        </w:rPr>
        <w:t xml:space="preserve"> and require our further attention. </w:t>
      </w:r>
    </w:p>
    <w:p w:rsidR="004B45ED" w:rsidP="007B5A90" w:rsidRDefault="007B5A90" w14:paraId="6DF8E01D" w14:textId="48A39B6B">
      <w:pPr>
        <w:pStyle w:val="Standard"/>
        <w:ind w:firstLine="720"/>
        <w:rPr>
          <w:sz w:val="26"/>
          <w:szCs w:val="26"/>
        </w:rPr>
      </w:pPr>
      <w:r>
        <w:rPr>
          <w:sz w:val="26"/>
          <w:szCs w:val="26"/>
        </w:rPr>
        <w:t>T</w:t>
      </w:r>
      <w:r w:rsidRPr="00E15CE2">
        <w:rPr>
          <w:sz w:val="26"/>
          <w:szCs w:val="26"/>
        </w:rPr>
        <w:t xml:space="preserve">he FCC has found </w:t>
      </w:r>
      <w:r w:rsidR="0021410A">
        <w:rPr>
          <w:sz w:val="26"/>
          <w:szCs w:val="26"/>
        </w:rPr>
        <w:t xml:space="preserve">a </w:t>
      </w:r>
      <w:r w:rsidRPr="00E15CE2">
        <w:rPr>
          <w:sz w:val="26"/>
          <w:szCs w:val="26"/>
        </w:rPr>
        <w:t xml:space="preserve">locational monopoly </w:t>
      </w:r>
      <w:r w:rsidR="0021410A">
        <w:rPr>
          <w:sz w:val="26"/>
          <w:szCs w:val="26"/>
        </w:rPr>
        <w:t xml:space="preserve">to exist </w:t>
      </w:r>
      <w:r w:rsidRPr="00E15CE2">
        <w:rPr>
          <w:sz w:val="26"/>
          <w:szCs w:val="26"/>
        </w:rPr>
        <w:t xml:space="preserve">when a location owner attempts to limit the entry of new competition to increase profitability and </w:t>
      </w:r>
      <w:r w:rsidRPr="00E15CE2">
        <w:rPr>
          <w:sz w:val="26"/>
          <w:szCs w:val="26"/>
        </w:rPr>
        <w:lastRenderedPageBreak/>
        <w:t>demand a share of the profits in the form of a locational rent or commission fee</w:t>
      </w:r>
      <w:r>
        <w:rPr>
          <w:sz w:val="26"/>
          <w:szCs w:val="26"/>
        </w:rPr>
        <w:t>.</w:t>
      </w:r>
      <w:r>
        <w:rPr>
          <w:rStyle w:val="FootnoteReference"/>
          <w:sz w:val="26"/>
          <w:szCs w:val="26"/>
        </w:rPr>
        <w:footnoteReference w:id="116"/>
      </w:r>
      <w:r>
        <w:rPr>
          <w:sz w:val="26"/>
          <w:szCs w:val="26"/>
        </w:rPr>
        <w:t xml:space="preserve">  </w:t>
      </w:r>
      <w:r w:rsidR="004B45ED">
        <w:rPr>
          <w:sz w:val="26"/>
          <w:szCs w:val="26"/>
        </w:rPr>
        <w:t xml:space="preserve">Incarceration facilities </w:t>
      </w:r>
      <w:r w:rsidR="0012034B">
        <w:rPr>
          <w:sz w:val="26"/>
          <w:szCs w:val="26"/>
        </w:rPr>
        <w:t xml:space="preserve">typically </w:t>
      </w:r>
      <w:r w:rsidR="004B45ED">
        <w:rPr>
          <w:sz w:val="26"/>
          <w:szCs w:val="26"/>
        </w:rPr>
        <w:t>limit p</w:t>
      </w:r>
      <w:r w:rsidR="00DB4FDE">
        <w:rPr>
          <w:sz w:val="26"/>
          <w:szCs w:val="26"/>
        </w:rPr>
        <w:t xml:space="preserve">rovision of </w:t>
      </w:r>
      <w:r w:rsidR="00956FBE">
        <w:rPr>
          <w:sz w:val="26"/>
          <w:szCs w:val="26"/>
        </w:rPr>
        <w:t xml:space="preserve">IPCS within </w:t>
      </w:r>
      <w:r w:rsidR="003D443D">
        <w:rPr>
          <w:sz w:val="26"/>
          <w:szCs w:val="26"/>
        </w:rPr>
        <w:t xml:space="preserve">a </w:t>
      </w:r>
      <w:r w:rsidR="004B45ED">
        <w:rPr>
          <w:sz w:val="26"/>
          <w:szCs w:val="26"/>
        </w:rPr>
        <w:t>facility to</w:t>
      </w:r>
      <w:r w:rsidR="00481EA3">
        <w:rPr>
          <w:sz w:val="26"/>
          <w:szCs w:val="26"/>
        </w:rPr>
        <w:t xml:space="preserve"> </w:t>
      </w:r>
      <w:r w:rsidR="00736F01">
        <w:rPr>
          <w:sz w:val="26"/>
          <w:szCs w:val="26"/>
        </w:rPr>
        <w:t>one provider</w:t>
      </w:r>
      <w:r w:rsidR="00481EA3">
        <w:rPr>
          <w:sz w:val="26"/>
          <w:szCs w:val="26"/>
        </w:rPr>
        <w:t xml:space="preserve"> </w:t>
      </w:r>
      <w:r w:rsidR="00736F01">
        <w:rPr>
          <w:sz w:val="26"/>
          <w:szCs w:val="26"/>
        </w:rPr>
        <w:t xml:space="preserve">and </w:t>
      </w:r>
      <w:r w:rsidR="00481EA3">
        <w:rPr>
          <w:sz w:val="26"/>
          <w:szCs w:val="26"/>
        </w:rPr>
        <w:t>often collect</w:t>
      </w:r>
      <w:r w:rsidR="00736F01">
        <w:rPr>
          <w:sz w:val="26"/>
          <w:szCs w:val="26"/>
        </w:rPr>
        <w:t xml:space="preserve"> commission fees </w:t>
      </w:r>
      <w:r w:rsidR="00490B7C">
        <w:rPr>
          <w:sz w:val="26"/>
          <w:szCs w:val="26"/>
        </w:rPr>
        <w:t xml:space="preserve">for their own purposes pursuant to Penal Code 4025.  Thus, we find that IPCS providers operate locational monopolies. </w:t>
      </w:r>
    </w:p>
    <w:p w:rsidR="00986DE1" w:rsidP="007B5A90" w:rsidRDefault="00C55576" w14:paraId="68B6D534" w14:textId="290751C3">
      <w:pPr>
        <w:pStyle w:val="Standard"/>
        <w:ind w:firstLine="720"/>
        <w:rPr>
          <w:sz w:val="26"/>
          <w:szCs w:val="26"/>
        </w:rPr>
      </w:pPr>
      <w:r>
        <w:rPr>
          <w:sz w:val="26"/>
          <w:szCs w:val="26"/>
        </w:rPr>
        <w:t xml:space="preserve">We find IPCS provider’s arguments that they do not operate </w:t>
      </w:r>
      <w:r w:rsidR="00D21560">
        <w:rPr>
          <w:sz w:val="26"/>
          <w:szCs w:val="26"/>
        </w:rPr>
        <w:t xml:space="preserve">locational </w:t>
      </w:r>
      <w:r>
        <w:rPr>
          <w:sz w:val="26"/>
          <w:szCs w:val="26"/>
        </w:rPr>
        <w:t>monopoli</w:t>
      </w:r>
      <w:r w:rsidR="00D21560">
        <w:rPr>
          <w:sz w:val="26"/>
          <w:szCs w:val="26"/>
        </w:rPr>
        <w:t>es</w:t>
      </w:r>
      <w:r>
        <w:rPr>
          <w:sz w:val="26"/>
          <w:szCs w:val="26"/>
        </w:rPr>
        <w:t xml:space="preserve"> nor exercise market power unpersuasive for several reasons.  First, </w:t>
      </w:r>
      <w:r w:rsidR="005B2351">
        <w:rPr>
          <w:sz w:val="26"/>
          <w:szCs w:val="26"/>
        </w:rPr>
        <w:t xml:space="preserve">although one party points to a single RFP indicating that a single </w:t>
      </w:r>
      <w:r w:rsidR="00B47713">
        <w:rPr>
          <w:sz w:val="26"/>
          <w:szCs w:val="26"/>
        </w:rPr>
        <w:t>incarceration facility may select more than one IPCS provider,</w:t>
      </w:r>
      <w:r w:rsidR="00901AB6">
        <w:rPr>
          <w:rStyle w:val="FootnoteReference"/>
          <w:sz w:val="26"/>
          <w:szCs w:val="26"/>
        </w:rPr>
        <w:footnoteReference w:id="117"/>
      </w:r>
      <w:r w:rsidR="00B47713">
        <w:rPr>
          <w:sz w:val="26"/>
          <w:szCs w:val="26"/>
        </w:rPr>
        <w:t xml:space="preserve"> </w:t>
      </w:r>
      <w:r w:rsidR="59622B0F">
        <w:rPr>
          <w:sz w:val="26"/>
          <w:szCs w:val="26"/>
        </w:rPr>
        <w:t xml:space="preserve">no data provided demonstrates that incarceration facilities have ever selected more than one IPCS provider to serve the same facility.  </w:t>
      </w:r>
      <w:r w:rsidR="6D8D974C">
        <w:rPr>
          <w:sz w:val="26"/>
          <w:szCs w:val="26"/>
        </w:rPr>
        <w:t>I</w:t>
      </w:r>
      <w:r w:rsidR="00B47713">
        <w:rPr>
          <w:sz w:val="26"/>
          <w:szCs w:val="26"/>
        </w:rPr>
        <w:t xml:space="preserve">n general no party disputes Staff’s conclusion that </w:t>
      </w:r>
      <w:bookmarkStart w:name="_Hlk79396456" w:id="37"/>
      <w:r w:rsidR="009A27B2">
        <w:rPr>
          <w:sz w:val="26"/>
          <w:szCs w:val="26"/>
        </w:rPr>
        <w:t>i</w:t>
      </w:r>
      <w:r w:rsidRPr="00B47713" w:rsidR="00B47713">
        <w:rPr>
          <w:sz w:val="26"/>
          <w:szCs w:val="26"/>
        </w:rPr>
        <w:t>n</w:t>
      </w:r>
      <w:r w:rsidR="006E5717">
        <w:rPr>
          <w:sz w:val="26"/>
          <w:szCs w:val="26"/>
        </w:rPr>
        <w:t>carcerated people</w:t>
      </w:r>
      <w:r w:rsidRPr="00B47713" w:rsidR="00B47713">
        <w:rPr>
          <w:sz w:val="26"/>
          <w:szCs w:val="26"/>
        </w:rPr>
        <w:t xml:space="preserve"> are </w:t>
      </w:r>
      <w:r w:rsidR="00DB6D60">
        <w:rPr>
          <w:sz w:val="26"/>
          <w:szCs w:val="26"/>
        </w:rPr>
        <w:t xml:space="preserve">a </w:t>
      </w:r>
      <w:r w:rsidRPr="00B47713" w:rsidR="00B47713">
        <w:rPr>
          <w:sz w:val="26"/>
          <w:szCs w:val="26"/>
        </w:rPr>
        <w:t>captive customer class who have no choice in service provider</w:t>
      </w:r>
      <w:bookmarkEnd w:id="37"/>
      <w:r w:rsidR="004C540F">
        <w:rPr>
          <w:sz w:val="26"/>
          <w:szCs w:val="26"/>
        </w:rPr>
        <w:t>.</w:t>
      </w:r>
      <w:r w:rsidR="00F643F5">
        <w:rPr>
          <w:rStyle w:val="FootnoteReference"/>
          <w:sz w:val="26"/>
          <w:szCs w:val="26"/>
        </w:rPr>
        <w:footnoteReference w:id="118"/>
      </w:r>
      <w:r w:rsidR="00B132CF">
        <w:rPr>
          <w:sz w:val="26"/>
          <w:szCs w:val="26"/>
        </w:rPr>
        <w:t xml:space="preserve"> </w:t>
      </w:r>
      <w:r w:rsidR="00167837">
        <w:rPr>
          <w:sz w:val="26"/>
          <w:szCs w:val="26"/>
        </w:rPr>
        <w:t xml:space="preserve"> </w:t>
      </w:r>
      <w:r w:rsidR="00DF377C">
        <w:rPr>
          <w:sz w:val="26"/>
          <w:szCs w:val="26"/>
        </w:rPr>
        <w:t>Incarcerat</w:t>
      </w:r>
      <w:r w:rsidR="00CE2508">
        <w:rPr>
          <w:sz w:val="26"/>
          <w:szCs w:val="26"/>
        </w:rPr>
        <w:t>ion facilities are limiting access to the provision of calling services</w:t>
      </w:r>
      <w:r w:rsidRPr="3934F952" w:rsidR="464E3000">
        <w:rPr>
          <w:sz w:val="26"/>
          <w:szCs w:val="26"/>
        </w:rPr>
        <w:t xml:space="preserve"> to a single ICPS provider</w:t>
      </w:r>
      <w:r w:rsidR="00F00AC9">
        <w:rPr>
          <w:sz w:val="26"/>
          <w:szCs w:val="26"/>
        </w:rPr>
        <w:t>, and t</w:t>
      </w:r>
      <w:r w:rsidR="00B132CF">
        <w:rPr>
          <w:sz w:val="26"/>
          <w:szCs w:val="26"/>
        </w:rPr>
        <w:t>hus “</w:t>
      </w:r>
      <w:r w:rsidR="00406A65">
        <w:rPr>
          <w:sz w:val="26"/>
          <w:szCs w:val="26"/>
        </w:rPr>
        <w:t xml:space="preserve">market </w:t>
      </w:r>
      <w:r w:rsidR="00B132CF">
        <w:rPr>
          <w:sz w:val="26"/>
          <w:szCs w:val="26"/>
        </w:rPr>
        <w:t xml:space="preserve">competition,” in any sense of the word, does not exist </w:t>
      </w:r>
      <w:r w:rsidR="7B242AD3">
        <w:rPr>
          <w:sz w:val="26"/>
          <w:szCs w:val="26"/>
        </w:rPr>
        <w:t>for</w:t>
      </w:r>
      <w:r w:rsidR="00B132CF">
        <w:rPr>
          <w:sz w:val="26"/>
          <w:szCs w:val="26"/>
        </w:rPr>
        <w:t xml:space="preserve"> </w:t>
      </w:r>
      <w:r w:rsidR="007933CE">
        <w:rPr>
          <w:sz w:val="26"/>
          <w:szCs w:val="26"/>
        </w:rPr>
        <w:t>incarcerat</w:t>
      </w:r>
      <w:r w:rsidR="170FB120">
        <w:rPr>
          <w:sz w:val="26"/>
          <w:szCs w:val="26"/>
        </w:rPr>
        <w:t>ed</w:t>
      </w:r>
      <w:r w:rsidR="006B54A5">
        <w:rPr>
          <w:sz w:val="26"/>
          <w:szCs w:val="26"/>
        </w:rPr>
        <w:t xml:space="preserve"> </w:t>
      </w:r>
      <w:r w:rsidR="64FB3C7C">
        <w:rPr>
          <w:sz w:val="26"/>
          <w:szCs w:val="26"/>
        </w:rPr>
        <w:t>users</w:t>
      </w:r>
      <w:r w:rsidR="00A65922">
        <w:rPr>
          <w:sz w:val="26"/>
          <w:szCs w:val="26"/>
        </w:rPr>
        <w:t>.</w:t>
      </w:r>
      <w:r w:rsidR="008C1281">
        <w:rPr>
          <w:rStyle w:val="FootnoteReference"/>
          <w:sz w:val="26"/>
          <w:szCs w:val="26"/>
        </w:rPr>
        <w:footnoteReference w:id="119"/>
      </w:r>
      <w:r w:rsidR="00AD1D35">
        <w:rPr>
          <w:sz w:val="26"/>
          <w:szCs w:val="26"/>
        </w:rPr>
        <w:t xml:space="preserve"> </w:t>
      </w:r>
      <w:r w:rsidR="00513058">
        <w:rPr>
          <w:sz w:val="26"/>
          <w:szCs w:val="26"/>
        </w:rPr>
        <w:t>N</w:t>
      </w:r>
      <w:r w:rsidR="00FD57C2">
        <w:rPr>
          <w:sz w:val="26"/>
          <w:szCs w:val="26"/>
        </w:rPr>
        <w:t>o competitive forces within incarceration facilities constrain providers from charging rates that far exceed the costs such providers incur in offering service.</w:t>
      </w:r>
      <w:r w:rsidR="00FD57C2">
        <w:rPr>
          <w:rStyle w:val="FootnoteReference"/>
          <w:sz w:val="26"/>
          <w:szCs w:val="26"/>
        </w:rPr>
        <w:footnoteReference w:id="120"/>
      </w:r>
      <w:r w:rsidR="00A14A1F">
        <w:rPr>
          <w:sz w:val="26"/>
          <w:szCs w:val="26"/>
        </w:rPr>
        <w:t xml:space="preserve">  </w:t>
      </w:r>
      <w:r w:rsidR="003D443D">
        <w:rPr>
          <w:sz w:val="26"/>
          <w:szCs w:val="26"/>
        </w:rPr>
        <w:t>I</w:t>
      </w:r>
      <w:r w:rsidR="00A14A1F">
        <w:rPr>
          <w:sz w:val="26"/>
          <w:szCs w:val="26"/>
        </w:rPr>
        <w:t xml:space="preserve">ncarcerated people must purchase communications services from </w:t>
      </w:r>
      <w:r w:rsidR="003D443D">
        <w:rPr>
          <w:sz w:val="26"/>
          <w:szCs w:val="26"/>
        </w:rPr>
        <w:t xml:space="preserve">the facility’s </w:t>
      </w:r>
      <w:r w:rsidR="003D443D">
        <w:rPr>
          <w:sz w:val="26"/>
          <w:szCs w:val="26"/>
        </w:rPr>
        <w:lastRenderedPageBreak/>
        <w:t xml:space="preserve">IPCS provider </w:t>
      </w:r>
      <w:r w:rsidR="00A14A1F">
        <w:rPr>
          <w:sz w:val="26"/>
          <w:szCs w:val="26"/>
        </w:rPr>
        <w:t xml:space="preserve">and face rates far higher than those charged to other </w:t>
      </w:r>
      <w:r w:rsidR="00990D9A">
        <w:rPr>
          <w:sz w:val="26"/>
          <w:szCs w:val="26"/>
        </w:rPr>
        <w:t>Californians</w:t>
      </w:r>
      <w:r w:rsidR="003D443D">
        <w:rPr>
          <w:sz w:val="26"/>
          <w:szCs w:val="26"/>
        </w:rPr>
        <w:t xml:space="preserve"> or forego the service</w:t>
      </w:r>
      <w:r w:rsidR="00A14A1F">
        <w:rPr>
          <w:sz w:val="26"/>
          <w:szCs w:val="26"/>
        </w:rPr>
        <w:t>.</w:t>
      </w:r>
      <w:r w:rsidR="00A14A1F">
        <w:rPr>
          <w:rStyle w:val="FootnoteReference"/>
          <w:sz w:val="26"/>
          <w:szCs w:val="26"/>
        </w:rPr>
        <w:footnoteReference w:id="121"/>
      </w:r>
      <w:r w:rsidR="007B5A90">
        <w:rPr>
          <w:sz w:val="26"/>
          <w:szCs w:val="26"/>
        </w:rPr>
        <w:t xml:space="preserve">  </w:t>
      </w:r>
    </w:p>
    <w:p w:rsidR="00241C45" w:rsidP="00887CD5" w:rsidRDefault="00180D32" w14:paraId="287E6BCD" w14:textId="5AD00144">
      <w:pPr>
        <w:pStyle w:val="Standard"/>
        <w:ind w:firstLine="720"/>
        <w:rPr>
          <w:sz w:val="26"/>
          <w:szCs w:val="26"/>
        </w:rPr>
      </w:pPr>
      <w:r>
        <w:rPr>
          <w:sz w:val="26"/>
          <w:szCs w:val="26"/>
        </w:rPr>
        <w:t>C</w:t>
      </w:r>
      <w:r w:rsidR="006E6538">
        <w:rPr>
          <w:sz w:val="26"/>
          <w:szCs w:val="26"/>
        </w:rPr>
        <w:t xml:space="preserve">ompetition for RFPs </w:t>
      </w:r>
      <w:r w:rsidR="00AB4E95">
        <w:rPr>
          <w:sz w:val="26"/>
          <w:szCs w:val="26"/>
        </w:rPr>
        <w:t xml:space="preserve">as </w:t>
      </w:r>
      <w:r w:rsidR="006E6538">
        <w:rPr>
          <w:sz w:val="26"/>
          <w:szCs w:val="26"/>
        </w:rPr>
        <w:t xml:space="preserve">described by Securus and GTL and the existence of at least six providers in California </w:t>
      </w:r>
      <w:r w:rsidR="003756A6">
        <w:rPr>
          <w:sz w:val="26"/>
          <w:szCs w:val="26"/>
        </w:rPr>
        <w:t>does not</w:t>
      </w:r>
      <w:r>
        <w:rPr>
          <w:sz w:val="26"/>
          <w:szCs w:val="26"/>
        </w:rPr>
        <w:t xml:space="preserve"> mean </w:t>
      </w:r>
      <w:r w:rsidR="00AB4E95">
        <w:rPr>
          <w:sz w:val="26"/>
          <w:szCs w:val="26"/>
        </w:rPr>
        <w:t xml:space="preserve">that the IPCS </w:t>
      </w:r>
      <w:r w:rsidR="006E6538">
        <w:rPr>
          <w:sz w:val="26"/>
          <w:szCs w:val="26"/>
        </w:rPr>
        <w:t xml:space="preserve">market </w:t>
      </w:r>
      <w:r w:rsidR="00D16F12">
        <w:rPr>
          <w:sz w:val="26"/>
          <w:szCs w:val="26"/>
        </w:rPr>
        <w:t xml:space="preserve">is functioning to </w:t>
      </w:r>
      <w:r w:rsidR="00AB4E95">
        <w:rPr>
          <w:sz w:val="26"/>
          <w:szCs w:val="26"/>
        </w:rPr>
        <w:t>provide</w:t>
      </w:r>
      <w:r w:rsidR="006E6538">
        <w:rPr>
          <w:sz w:val="26"/>
          <w:szCs w:val="26"/>
        </w:rPr>
        <w:t xml:space="preserve"> just and reasonable rates for the incarcerated. </w:t>
      </w:r>
      <w:r w:rsidR="00241C45">
        <w:rPr>
          <w:sz w:val="26"/>
          <w:szCs w:val="26"/>
        </w:rPr>
        <w:t xml:space="preserve"> We reject arguments from Securus that rate declines in some state incarceration systems between 2018 and 2020 </w:t>
      </w:r>
      <w:r w:rsidR="00E242FB">
        <w:rPr>
          <w:sz w:val="26"/>
          <w:szCs w:val="26"/>
        </w:rPr>
        <w:t>indicate the market is competitive.</w:t>
      </w:r>
      <w:r w:rsidR="00AA67DB">
        <w:rPr>
          <w:rStyle w:val="FootnoteReference"/>
          <w:sz w:val="26"/>
          <w:szCs w:val="26"/>
        </w:rPr>
        <w:footnoteReference w:id="122"/>
      </w:r>
      <w:r w:rsidR="00E242FB">
        <w:rPr>
          <w:sz w:val="26"/>
          <w:szCs w:val="26"/>
        </w:rPr>
        <w:t xml:space="preserve">   IPCS rates could have declined </w:t>
      </w:r>
      <w:r w:rsidR="00BE0DED">
        <w:rPr>
          <w:sz w:val="26"/>
          <w:szCs w:val="26"/>
        </w:rPr>
        <w:t>f</w:t>
      </w:r>
      <w:r w:rsidRPr="3FA43958" w:rsidR="00BE0DED">
        <w:rPr>
          <w:sz w:val="26"/>
          <w:szCs w:val="26"/>
        </w:rPr>
        <w:t>or</w:t>
      </w:r>
      <w:r w:rsidR="00BE0DED">
        <w:rPr>
          <w:sz w:val="26"/>
          <w:szCs w:val="26"/>
        </w:rPr>
        <w:t xml:space="preserve"> any number of reasons </w:t>
      </w:r>
      <w:r w:rsidR="00E242FB">
        <w:rPr>
          <w:sz w:val="26"/>
          <w:szCs w:val="26"/>
        </w:rPr>
        <w:t xml:space="preserve">during this period, including </w:t>
      </w:r>
      <w:r w:rsidR="008F7586">
        <w:rPr>
          <w:sz w:val="26"/>
          <w:szCs w:val="26"/>
        </w:rPr>
        <w:t xml:space="preserve">efforts to forestall </w:t>
      </w:r>
      <w:r w:rsidR="006228B3">
        <w:rPr>
          <w:sz w:val="26"/>
          <w:szCs w:val="26"/>
        </w:rPr>
        <w:t>legislative or regulatory oversight</w:t>
      </w:r>
      <w:r w:rsidR="002044B2">
        <w:rPr>
          <w:sz w:val="26"/>
          <w:szCs w:val="26"/>
        </w:rPr>
        <w:t>, or other factors</w:t>
      </w:r>
      <w:r w:rsidR="006228B3">
        <w:rPr>
          <w:sz w:val="26"/>
          <w:szCs w:val="26"/>
        </w:rPr>
        <w:t>.  We also reject GTL’s assertion that its recent action to reduce rates and offer free calls is evidence of market competition for the same reason</w:t>
      </w:r>
      <w:r w:rsidR="002044B2">
        <w:rPr>
          <w:sz w:val="26"/>
          <w:szCs w:val="26"/>
        </w:rPr>
        <w:t>s</w:t>
      </w:r>
      <w:r w:rsidR="006228B3">
        <w:rPr>
          <w:sz w:val="26"/>
          <w:szCs w:val="26"/>
        </w:rPr>
        <w:t>.</w:t>
      </w:r>
      <w:r w:rsidR="00AA67DB">
        <w:rPr>
          <w:rStyle w:val="FootnoteReference"/>
          <w:sz w:val="26"/>
          <w:szCs w:val="26"/>
        </w:rPr>
        <w:footnoteReference w:id="123"/>
      </w:r>
      <w:r w:rsidR="006228B3">
        <w:rPr>
          <w:sz w:val="26"/>
          <w:szCs w:val="26"/>
        </w:rPr>
        <w:t xml:space="preserve">  </w:t>
      </w:r>
    </w:p>
    <w:p w:rsidR="00173668" w:rsidP="00887CD5" w:rsidRDefault="00042A41" w14:paraId="66ED5834" w14:textId="523A034D">
      <w:pPr>
        <w:pStyle w:val="Standard"/>
        <w:ind w:firstLine="720"/>
        <w:rPr>
          <w:sz w:val="26"/>
          <w:szCs w:val="26"/>
        </w:rPr>
      </w:pPr>
      <w:r>
        <w:rPr>
          <w:sz w:val="26"/>
          <w:szCs w:val="26"/>
        </w:rPr>
        <w:t xml:space="preserve">Additionally, </w:t>
      </w:r>
      <w:r w:rsidR="00AB5DBA">
        <w:rPr>
          <w:sz w:val="26"/>
          <w:szCs w:val="26"/>
        </w:rPr>
        <w:t>a</w:t>
      </w:r>
      <w:r w:rsidR="000E1C7B">
        <w:rPr>
          <w:sz w:val="26"/>
          <w:szCs w:val="26"/>
        </w:rPr>
        <w:t>s</w:t>
      </w:r>
      <w:r w:rsidR="390EE915">
        <w:rPr>
          <w:sz w:val="26"/>
          <w:szCs w:val="26"/>
        </w:rPr>
        <w:t xml:space="preserve"> </w:t>
      </w:r>
      <w:proofErr w:type="spellStart"/>
      <w:r w:rsidRPr="3F32DC5F" w:rsidR="4161E8AA">
        <w:rPr>
          <w:sz w:val="26"/>
          <w:szCs w:val="26"/>
        </w:rPr>
        <w:t>CforAT</w:t>
      </w:r>
      <w:proofErr w:type="spellEnd"/>
      <w:r w:rsidR="000E1C7B">
        <w:rPr>
          <w:sz w:val="26"/>
          <w:szCs w:val="26"/>
        </w:rPr>
        <w:t xml:space="preserve"> described , the IPCS market is properly thought of as consisting of two markets or two sets of consumers: </w:t>
      </w:r>
      <w:r w:rsidR="00F805C9">
        <w:rPr>
          <w:sz w:val="26"/>
          <w:szCs w:val="26"/>
        </w:rPr>
        <w:t xml:space="preserve">providers “compete” for the right to provide </w:t>
      </w:r>
      <w:r w:rsidR="00AB4E95">
        <w:rPr>
          <w:sz w:val="26"/>
          <w:szCs w:val="26"/>
        </w:rPr>
        <w:t xml:space="preserve">IPCS </w:t>
      </w:r>
      <w:r w:rsidR="00F805C9">
        <w:rPr>
          <w:sz w:val="26"/>
          <w:szCs w:val="26"/>
        </w:rPr>
        <w:t>to the incarcerated,</w:t>
      </w:r>
      <w:r w:rsidR="00AB4E95">
        <w:rPr>
          <w:sz w:val="26"/>
          <w:szCs w:val="26"/>
        </w:rPr>
        <w:t xml:space="preserve"> </w:t>
      </w:r>
      <w:r w:rsidR="00627814">
        <w:rPr>
          <w:sz w:val="26"/>
          <w:szCs w:val="26"/>
        </w:rPr>
        <w:t>except that RFP</w:t>
      </w:r>
      <w:r w:rsidR="00607784">
        <w:rPr>
          <w:sz w:val="26"/>
          <w:szCs w:val="26"/>
        </w:rPr>
        <w:t>s</w:t>
      </w:r>
      <w:r w:rsidR="00A535B9">
        <w:rPr>
          <w:sz w:val="26"/>
          <w:szCs w:val="26"/>
        </w:rPr>
        <w:t xml:space="preserve"> </w:t>
      </w:r>
      <w:r w:rsidR="00844151">
        <w:rPr>
          <w:sz w:val="26"/>
          <w:szCs w:val="26"/>
        </w:rPr>
        <w:t xml:space="preserve">may be </w:t>
      </w:r>
      <w:r w:rsidR="00627814">
        <w:rPr>
          <w:sz w:val="26"/>
          <w:szCs w:val="26"/>
        </w:rPr>
        <w:t xml:space="preserve">awarded to the highest </w:t>
      </w:r>
      <w:r w:rsidR="00C109AD">
        <w:rPr>
          <w:sz w:val="26"/>
          <w:szCs w:val="26"/>
        </w:rPr>
        <w:t xml:space="preserve">not the lowest </w:t>
      </w:r>
      <w:r w:rsidR="00627814">
        <w:rPr>
          <w:sz w:val="26"/>
          <w:szCs w:val="26"/>
        </w:rPr>
        <w:t>bidder</w:t>
      </w:r>
      <w:r w:rsidR="00C109AD">
        <w:rPr>
          <w:rStyle w:val="FootnoteReference"/>
          <w:sz w:val="26"/>
          <w:szCs w:val="26"/>
        </w:rPr>
        <w:footnoteReference w:id="124"/>
      </w:r>
      <w:r w:rsidR="00E35D64">
        <w:rPr>
          <w:sz w:val="26"/>
          <w:szCs w:val="26"/>
        </w:rPr>
        <w:t xml:space="preserve"> </w:t>
      </w:r>
      <w:r w:rsidR="00627814">
        <w:rPr>
          <w:sz w:val="26"/>
          <w:szCs w:val="26"/>
        </w:rPr>
        <w:t xml:space="preserve"> </w:t>
      </w:r>
      <w:r w:rsidR="007467AD">
        <w:rPr>
          <w:sz w:val="26"/>
          <w:szCs w:val="26"/>
        </w:rPr>
        <w:t>We agree with Securus that the selection of a single IPCS provider per facility is not evidence of the exercise of market power</w:t>
      </w:r>
      <w:r w:rsidR="00AB4E95">
        <w:rPr>
          <w:sz w:val="26"/>
          <w:szCs w:val="26"/>
        </w:rPr>
        <w:t xml:space="preserve"> per se</w:t>
      </w:r>
      <w:r w:rsidR="007467AD">
        <w:rPr>
          <w:sz w:val="26"/>
          <w:szCs w:val="26"/>
        </w:rPr>
        <w:t xml:space="preserve">; instead, once selected, </w:t>
      </w:r>
      <w:r w:rsidR="009107F0">
        <w:rPr>
          <w:sz w:val="26"/>
          <w:szCs w:val="26"/>
        </w:rPr>
        <w:t xml:space="preserve">the </w:t>
      </w:r>
      <w:r w:rsidR="007467AD">
        <w:rPr>
          <w:sz w:val="26"/>
          <w:szCs w:val="26"/>
        </w:rPr>
        <w:t>IPCS provider</w:t>
      </w:r>
      <w:r w:rsidR="003E1CD6">
        <w:rPr>
          <w:sz w:val="26"/>
          <w:szCs w:val="26"/>
        </w:rPr>
        <w:t>, as the operator</w:t>
      </w:r>
      <w:r w:rsidR="009107F0">
        <w:rPr>
          <w:sz w:val="26"/>
          <w:szCs w:val="26"/>
        </w:rPr>
        <w:t xml:space="preserve"> of the </w:t>
      </w:r>
      <w:r w:rsidR="003E1CD6">
        <w:rPr>
          <w:sz w:val="26"/>
          <w:szCs w:val="26"/>
        </w:rPr>
        <w:lastRenderedPageBreak/>
        <w:t>locational monopol</w:t>
      </w:r>
      <w:r w:rsidR="009107F0">
        <w:rPr>
          <w:sz w:val="26"/>
          <w:szCs w:val="26"/>
        </w:rPr>
        <w:t>y</w:t>
      </w:r>
      <w:r w:rsidR="003E1CD6">
        <w:rPr>
          <w:sz w:val="26"/>
          <w:szCs w:val="26"/>
        </w:rPr>
        <w:t xml:space="preserve">, </w:t>
      </w:r>
      <w:r w:rsidR="0086698C">
        <w:rPr>
          <w:sz w:val="26"/>
          <w:szCs w:val="26"/>
        </w:rPr>
        <w:t>exercise</w:t>
      </w:r>
      <w:r w:rsidR="009107F0">
        <w:rPr>
          <w:sz w:val="26"/>
          <w:szCs w:val="26"/>
        </w:rPr>
        <w:t>s</w:t>
      </w:r>
      <w:r w:rsidR="00990D9A">
        <w:rPr>
          <w:sz w:val="26"/>
          <w:szCs w:val="26"/>
        </w:rPr>
        <w:t xml:space="preserve"> </w:t>
      </w:r>
      <w:r w:rsidR="003E1CD6">
        <w:rPr>
          <w:sz w:val="26"/>
          <w:szCs w:val="26"/>
        </w:rPr>
        <w:t xml:space="preserve">the </w:t>
      </w:r>
      <w:r w:rsidR="0086698C">
        <w:rPr>
          <w:sz w:val="26"/>
          <w:szCs w:val="26"/>
        </w:rPr>
        <w:t xml:space="preserve">market power </w:t>
      </w:r>
      <w:r w:rsidR="009773DA">
        <w:rPr>
          <w:sz w:val="26"/>
          <w:szCs w:val="26"/>
        </w:rPr>
        <w:t xml:space="preserve">transferred to </w:t>
      </w:r>
      <w:r w:rsidRPr="1AA321FA" w:rsidR="627ECC43">
        <w:rPr>
          <w:sz w:val="26"/>
          <w:szCs w:val="26"/>
        </w:rPr>
        <w:t xml:space="preserve">it </w:t>
      </w:r>
      <w:r w:rsidR="009773DA">
        <w:rPr>
          <w:sz w:val="26"/>
          <w:szCs w:val="26"/>
        </w:rPr>
        <w:t xml:space="preserve">by </w:t>
      </w:r>
      <w:r w:rsidR="00D94188">
        <w:rPr>
          <w:sz w:val="26"/>
          <w:szCs w:val="26"/>
        </w:rPr>
        <w:t xml:space="preserve">the </w:t>
      </w:r>
      <w:r w:rsidR="007F14ED">
        <w:rPr>
          <w:sz w:val="26"/>
          <w:szCs w:val="26"/>
        </w:rPr>
        <w:t xml:space="preserve">incarceration </w:t>
      </w:r>
      <w:r w:rsidR="0086698C">
        <w:rPr>
          <w:sz w:val="26"/>
          <w:szCs w:val="26"/>
        </w:rPr>
        <w:t>facilit</w:t>
      </w:r>
      <w:r w:rsidR="00D94188">
        <w:rPr>
          <w:sz w:val="26"/>
          <w:szCs w:val="26"/>
        </w:rPr>
        <w:t>y</w:t>
      </w:r>
      <w:r w:rsidR="00C139E4">
        <w:rPr>
          <w:sz w:val="26"/>
          <w:szCs w:val="26"/>
        </w:rPr>
        <w:t>.</w:t>
      </w:r>
      <w:r w:rsidR="002F4295">
        <w:rPr>
          <w:sz w:val="26"/>
          <w:szCs w:val="26"/>
        </w:rPr>
        <w:t xml:space="preserve">  </w:t>
      </w:r>
    </w:p>
    <w:p w:rsidR="000362A6" w:rsidP="000362A6" w:rsidRDefault="00382698" w14:paraId="089BAE68" w14:textId="5EEBB124">
      <w:pPr>
        <w:pStyle w:val="Standard"/>
        <w:ind w:firstLine="720"/>
        <w:rPr>
          <w:sz w:val="26"/>
          <w:szCs w:val="26"/>
        </w:rPr>
      </w:pPr>
      <w:r>
        <w:rPr>
          <w:sz w:val="26"/>
          <w:szCs w:val="26"/>
        </w:rPr>
        <w:t xml:space="preserve">We </w:t>
      </w:r>
      <w:r w:rsidR="00033D0E">
        <w:rPr>
          <w:sz w:val="26"/>
          <w:szCs w:val="26"/>
        </w:rPr>
        <w:t>reject Securus’s statement in comments on the proposed decision that “</w:t>
      </w:r>
      <w:r w:rsidR="00E35AC5">
        <w:rPr>
          <w:sz w:val="26"/>
          <w:szCs w:val="26"/>
        </w:rPr>
        <w:t>[c]</w:t>
      </w:r>
      <w:proofErr w:type="spellStart"/>
      <w:r w:rsidRPr="00E35AC5" w:rsidR="00E35AC5">
        <w:rPr>
          <w:sz w:val="26"/>
          <w:szCs w:val="26"/>
        </w:rPr>
        <w:t>orrectional</w:t>
      </w:r>
      <w:proofErr w:type="spellEnd"/>
      <w:r w:rsidRPr="00E35AC5" w:rsidR="00E35AC5">
        <w:rPr>
          <w:sz w:val="26"/>
          <w:szCs w:val="26"/>
        </w:rPr>
        <w:t xml:space="preserve"> facilities are not locational monopolies and site commission payments are not locational rents or shared profits. </w:t>
      </w:r>
      <w:r w:rsidRPr="3934F952" w:rsidR="51ABDDF1">
        <w:rPr>
          <w:sz w:val="26"/>
          <w:szCs w:val="26"/>
        </w:rPr>
        <w:t xml:space="preserve"> </w:t>
      </w:r>
      <w:r w:rsidRPr="00E35AC5" w:rsidR="00E35AC5">
        <w:rPr>
          <w:sz w:val="26"/>
          <w:szCs w:val="26"/>
        </w:rPr>
        <w:t xml:space="preserve">Site commissions instead are </w:t>
      </w:r>
      <w:r w:rsidR="00E35AC5">
        <w:rPr>
          <w:sz w:val="26"/>
          <w:szCs w:val="26"/>
        </w:rPr>
        <w:t>‘</w:t>
      </w:r>
      <w:r w:rsidRPr="00E35AC5" w:rsidR="00E35AC5">
        <w:rPr>
          <w:sz w:val="26"/>
          <w:szCs w:val="26"/>
        </w:rPr>
        <w:t>costs of doing business incurred by ICS providers.</w:t>
      </w:r>
      <w:r w:rsidR="00E35AC5">
        <w:rPr>
          <w:sz w:val="26"/>
          <w:szCs w:val="26"/>
        </w:rPr>
        <w:t>’</w:t>
      </w:r>
      <w:r w:rsidRPr="00E35AC5" w:rsidR="00E35AC5">
        <w:rPr>
          <w:sz w:val="26"/>
          <w:szCs w:val="26"/>
        </w:rPr>
        <w:t>”</w:t>
      </w:r>
      <w:r w:rsidR="006F6232">
        <w:rPr>
          <w:rStyle w:val="FootnoteReference"/>
          <w:sz w:val="26"/>
          <w:szCs w:val="26"/>
        </w:rPr>
        <w:footnoteReference w:id="125"/>
      </w:r>
      <w:r w:rsidR="00597B39">
        <w:rPr>
          <w:sz w:val="26"/>
          <w:szCs w:val="26"/>
        </w:rPr>
        <w:t xml:space="preserve">  </w:t>
      </w:r>
      <w:r w:rsidRPr="35BC846B" w:rsidR="33010246">
        <w:rPr>
          <w:sz w:val="26"/>
          <w:szCs w:val="26"/>
        </w:rPr>
        <w:t>I</w:t>
      </w:r>
      <w:r w:rsidRPr="35BC846B" w:rsidR="6DA0D036">
        <w:rPr>
          <w:sz w:val="26"/>
          <w:szCs w:val="26"/>
        </w:rPr>
        <w:t>n</w:t>
      </w:r>
      <w:r w:rsidR="00CD5C86">
        <w:rPr>
          <w:sz w:val="26"/>
          <w:szCs w:val="26"/>
        </w:rPr>
        <w:t xml:space="preserve"> 2017 </w:t>
      </w:r>
      <w:r w:rsidR="00896B0E">
        <w:rPr>
          <w:sz w:val="26"/>
          <w:szCs w:val="26"/>
        </w:rPr>
        <w:t xml:space="preserve">the D.C. Circuit </w:t>
      </w:r>
      <w:r w:rsidR="00CD5C86">
        <w:rPr>
          <w:sz w:val="26"/>
          <w:szCs w:val="26"/>
        </w:rPr>
        <w:t xml:space="preserve">vacated the FCC’s 2015 </w:t>
      </w:r>
      <w:r w:rsidR="0039501E">
        <w:rPr>
          <w:sz w:val="26"/>
          <w:szCs w:val="26"/>
        </w:rPr>
        <w:t xml:space="preserve">Order and </w:t>
      </w:r>
      <w:r w:rsidRPr="0009329A" w:rsidR="0009329A">
        <w:rPr>
          <w:sz w:val="26"/>
          <w:szCs w:val="26"/>
        </w:rPr>
        <w:t xml:space="preserve">directed the FCC to reconsider its categorical exclusion of site commission costs </w:t>
      </w:r>
      <w:r w:rsidR="0039501E">
        <w:rPr>
          <w:sz w:val="26"/>
          <w:szCs w:val="26"/>
        </w:rPr>
        <w:t>as discussed in t</w:t>
      </w:r>
      <w:r w:rsidR="00CD5C86">
        <w:rPr>
          <w:sz w:val="26"/>
          <w:szCs w:val="26"/>
        </w:rPr>
        <w:t>hat decision</w:t>
      </w:r>
      <w:r w:rsidR="0039501E">
        <w:rPr>
          <w:sz w:val="26"/>
          <w:szCs w:val="26"/>
        </w:rPr>
        <w:t>.  The D.C. Circuit</w:t>
      </w:r>
      <w:r w:rsidR="0074292E">
        <w:rPr>
          <w:sz w:val="26"/>
          <w:szCs w:val="26"/>
        </w:rPr>
        <w:t xml:space="preserve"> </w:t>
      </w:r>
      <w:r w:rsidR="0039501E">
        <w:rPr>
          <w:sz w:val="26"/>
          <w:szCs w:val="26"/>
        </w:rPr>
        <w:t xml:space="preserve">also directed the FCC to </w:t>
      </w:r>
      <w:r w:rsidRPr="0009329A" w:rsidR="0009329A">
        <w:rPr>
          <w:sz w:val="26"/>
          <w:szCs w:val="26"/>
        </w:rPr>
        <w:t>“assess on remand which portion of site commissions might be directly related to the provision of [IPCS] and therefore legitimate, and which are not.”</w:t>
      </w:r>
      <w:r w:rsidR="0039501E">
        <w:rPr>
          <w:rStyle w:val="FootnoteReference"/>
          <w:sz w:val="26"/>
          <w:szCs w:val="26"/>
        </w:rPr>
        <w:footnoteReference w:id="126"/>
      </w:r>
    </w:p>
    <w:p w:rsidRPr="0024361F" w:rsidR="00611756" w:rsidP="000362A6" w:rsidRDefault="00CD5C86" w14:paraId="10911DA7" w14:textId="66109CE8">
      <w:pPr>
        <w:pStyle w:val="Standard"/>
        <w:ind w:firstLine="720"/>
        <w:rPr>
          <w:sz w:val="26"/>
          <w:szCs w:val="26"/>
        </w:rPr>
      </w:pPr>
      <w:r>
        <w:rPr>
          <w:sz w:val="26"/>
          <w:szCs w:val="26"/>
        </w:rPr>
        <w:t xml:space="preserve">The FCC </w:t>
      </w:r>
      <w:r w:rsidRPr="746545D4" w:rsidR="66CCE961">
        <w:rPr>
          <w:sz w:val="26"/>
          <w:szCs w:val="26"/>
        </w:rPr>
        <w:t>addresse</w:t>
      </w:r>
      <w:r w:rsidRPr="746545D4" w:rsidR="45B70A58">
        <w:rPr>
          <w:sz w:val="26"/>
          <w:szCs w:val="26"/>
        </w:rPr>
        <w:t>d</w:t>
      </w:r>
      <w:r w:rsidR="005029AB">
        <w:rPr>
          <w:sz w:val="26"/>
          <w:szCs w:val="26"/>
        </w:rPr>
        <w:t xml:space="preserve"> </w:t>
      </w:r>
      <w:r>
        <w:rPr>
          <w:sz w:val="26"/>
          <w:szCs w:val="26"/>
        </w:rPr>
        <w:t xml:space="preserve">this D.C. Circuit direction in </w:t>
      </w:r>
      <w:r w:rsidR="00CF0FD0">
        <w:rPr>
          <w:sz w:val="26"/>
          <w:szCs w:val="26"/>
        </w:rPr>
        <w:t xml:space="preserve">the 2021 </w:t>
      </w:r>
      <w:r w:rsidRPr="00CF0FD0" w:rsidR="00CF0FD0">
        <w:rPr>
          <w:sz w:val="26"/>
          <w:szCs w:val="26"/>
        </w:rPr>
        <w:t xml:space="preserve">FCC </w:t>
      </w:r>
      <w:r w:rsidRPr="004D1EF3">
        <w:rPr>
          <w:sz w:val="26"/>
          <w:szCs w:val="26"/>
        </w:rPr>
        <w:t>Third Order</w:t>
      </w:r>
      <w:r w:rsidR="005029AB">
        <w:rPr>
          <w:sz w:val="26"/>
          <w:szCs w:val="26"/>
        </w:rPr>
        <w:t xml:space="preserve"> and </w:t>
      </w:r>
      <w:r w:rsidRPr="6B23D7ED" w:rsidR="66CCE961">
        <w:rPr>
          <w:sz w:val="26"/>
          <w:szCs w:val="26"/>
        </w:rPr>
        <w:t>determine</w:t>
      </w:r>
      <w:r w:rsidRPr="6B23D7ED" w:rsidR="16EE90A7">
        <w:rPr>
          <w:sz w:val="26"/>
          <w:szCs w:val="26"/>
        </w:rPr>
        <w:t>d</w:t>
      </w:r>
      <w:r w:rsidR="005029AB">
        <w:rPr>
          <w:sz w:val="26"/>
          <w:szCs w:val="26"/>
        </w:rPr>
        <w:t xml:space="preserve"> </w:t>
      </w:r>
      <w:r w:rsidRPr="0024361F" w:rsidR="005029AB">
        <w:rPr>
          <w:sz w:val="26"/>
          <w:szCs w:val="26"/>
        </w:rPr>
        <w:t xml:space="preserve">that site commission payments by IPCS providers have two components. </w:t>
      </w:r>
      <w:r w:rsidR="00DB1F60">
        <w:rPr>
          <w:sz w:val="26"/>
          <w:szCs w:val="26"/>
        </w:rPr>
        <w:t xml:space="preserve"> </w:t>
      </w:r>
      <w:r w:rsidRPr="0024361F" w:rsidR="005029AB">
        <w:rPr>
          <w:sz w:val="26"/>
          <w:szCs w:val="26"/>
        </w:rPr>
        <w:t>One component “compensate[s] correctional facilities for the cost they reasonably incur in the provision of inmate calling services, and [the other] compensate[s] those facilities for the transfer of their market power over inmate calling services to the inmate calling services provider.”</w:t>
      </w:r>
      <w:r w:rsidRPr="0024361F" w:rsidR="005029AB">
        <w:rPr>
          <w:sz w:val="26"/>
          <w:szCs w:val="26"/>
          <w:vertAlign w:val="superscript"/>
        </w:rPr>
        <w:footnoteReference w:id="127"/>
      </w:r>
      <w:r w:rsidR="00611756">
        <w:rPr>
          <w:sz w:val="26"/>
          <w:szCs w:val="26"/>
        </w:rPr>
        <w:t xml:space="preserve">  </w:t>
      </w:r>
      <w:r w:rsidRPr="0024361F" w:rsidR="00611756">
        <w:rPr>
          <w:sz w:val="26"/>
          <w:szCs w:val="26"/>
        </w:rPr>
        <w:t xml:space="preserve">The FCC </w:t>
      </w:r>
      <w:r w:rsidRPr="70F72673" w:rsidR="7BD6B5C4">
        <w:rPr>
          <w:sz w:val="26"/>
          <w:szCs w:val="26"/>
        </w:rPr>
        <w:t>conclude</w:t>
      </w:r>
      <w:r w:rsidRPr="70F72673" w:rsidR="7D9BF9F3">
        <w:rPr>
          <w:sz w:val="26"/>
          <w:szCs w:val="26"/>
        </w:rPr>
        <w:t>d</w:t>
      </w:r>
      <w:r w:rsidRPr="0024361F" w:rsidR="00611756">
        <w:rPr>
          <w:sz w:val="26"/>
          <w:szCs w:val="26"/>
        </w:rPr>
        <w:t xml:space="preserve"> that the first is “legitimate” cost of business</w:t>
      </w:r>
      <w:r w:rsidRPr="0024361F" w:rsidR="00611756">
        <w:rPr>
          <w:sz w:val="26"/>
          <w:szCs w:val="26"/>
          <w:vertAlign w:val="superscript"/>
        </w:rPr>
        <w:footnoteReference w:id="128"/>
      </w:r>
      <w:r w:rsidRPr="0024361F" w:rsidR="00611756">
        <w:rPr>
          <w:sz w:val="26"/>
          <w:szCs w:val="26"/>
        </w:rPr>
        <w:t xml:space="preserve"> that should be accounted for in any rate cap, and the second is not:  </w:t>
      </w:r>
    </w:p>
    <w:p w:rsidRPr="00611756" w:rsidR="002928FA" w:rsidP="00611756" w:rsidRDefault="00F757B6" w14:paraId="2A2B3FC6" w14:textId="36A9DF6B">
      <w:pPr>
        <w:pStyle w:val="BlockQuote"/>
        <w:spacing w:line="240" w:lineRule="auto"/>
        <w:rPr>
          <w:sz w:val="26"/>
          <w:szCs w:val="26"/>
        </w:rPr>
      </w:pPr>
      <w:r w:rsidRPr="00611756">
        <w:rPr>
          <w:sz w:val="26"/>
          <w:szCs w:val="26"/>
        </w:rPr>
        <w:t xml:space="preserve">To the extent that providers nonetheless offer site commissions above </w:t>
      </w:r>
      <w:proofErr w:type="spellStart"/>
      <w:r w:rsidRPr="00611756">
        <w:rPr>
          <w:sz w:val="26"/>
          <w:szCs w:val="26"/>
        </w:rPr>
        <w:t>th</w:t>
      </w:r>
      <w:proofErr w:type="spellEnd"/>
      <w:r w:rsidRPr="00611756" w:rsidR="00611756">
        <w:rPr>
          <w:sz w:val="26"/>
          <w:szCs w:val="26"/>
        </w:rPr>
        <w:t>[e]</w:t>
      </w:r>
      <w:r w:rsidRPr="00611756">
        <w:rPr>
          <w:sz w:val="26"/>
          <w:szCs w:val="26"/>
        </w:rPr>
        <w:t xml:space="preserve"> level</w:t>
      </w:r>
      <w:r w:rsidRPr="00611756" w:rsidR="00611756">
        <w:rPr>
          <w:sz w:val="26"/>
          <w:szCs w:val="26"/>
        </w:rPr>
        <w:t xml:space="preserve"> [r</w:t>
      </w:r>
      <w:r w:rsidR="00611756">
        <w:rPr>
          <w:sz w:val="26"/>
          <w:szCs w:val="26"/>
        </w:rPr>
        <w:t>e</w:t>
      </w:r>
      <w:r w:rsidRPr="00611756" w:rsidR="00611756">
        <w:rPr>
          <w:sz w:val="26"/>
          <w:szCs w:val="26"/>
        </w:rPr>
        <w:t>quired to cover the institution</w:t>
      </w:r>
      <w:r w:rsidR="00611756">
        <w:rPr>
          <w:sz w:val="26"/>
          <w:szCs w:val="26"/>
        </w:rPr>
        <w:t>’</w:t>
      </w:r>
      <w:r w:rsidRPr="00611756" w:rsidR="00611756">
        <w:rPr>
          <w:sz w:val="26"/>
          <w:szCs w:val="26"/>
        </w:rPr>
        <w:t>s own costs to provide IPCS]</w:t>
      </w:r>
      <w:r w:rsidRPr="00611756">
        <w:rPr>
          <w:sz w:val="26"/>
          <w:szCs w:val="26"/>
        </w:rPr>
        <w:t xml:space="preserve">, we regard that as a </w:t>
      </w:r>
      <w:r w:rsidRPr="00AD504A">
        <w:rPr>
          <w:i/>
          <w:iCs/>
          <w:sz w:val="26"/>
          <w:szCs w:val="26"/>
        </w:rPr>
        <w:t>marketplace choice</w:t>
      </w:r>
      <w:r w:rsidRPr="00611756">
        <w:rPr>
          <w:sz w:val="26"/>
          <w:szCs w:val="26"/>
        </w:rPr>
        <w:t xml:space="preserve"> different in kind from the scenario where site commissions at a given level are </w:t>
      </w:r>
      <w:r w:rsidRPr="00611756">
        <w:rPr>
          <w:sz w:val="26"/>
          <w:szCs w:val="26"/>
        </w:rPr>
        <w:lastRenderedPageBreak/>
        <w:t xml:space="preserve">required by a statute or rule. Thus, if providers offer site commissions at levels that are not recoverable under the </w:t>
      </w:r>
      <w:r w:rsidRPr="00611756" w:rsidR="00611756">
        <w:rPr>
          <w:sz w:val="26"/>
          <w:szCs w:val="26"/>
        </w:rPr>
        <w:t>[FCC</w:t>
      </w:r>
      <w:r w:rsidRPr="00611756">
        <w:rPr>
          <w:sz w:val="26"/>
          <w:szCs w:val="26"/>
        </w:rPr>
        <w:t>’s</w:t>
      </w:r>
      <w:r w:rsidRPr="00611756" w:rsidR="00611756">
        <w:rPr>
          <w:sz w:val="26"/>
          <w:szCs w:val="26"/>
        </w:rPr>
        <w:t>]</w:t>
      </w:r>
      <w:r w:rsidRPr="00611756">
        <w:rPr>
          <w:sz w:val="26"/>
          <w:szCs w:val="26"/>
        </w:rPr>
        <w:t xml:space="preserve"> interstate and international rate caps, we believe that they do so as a matter of their own business judgment. Consequently, </w:t>
      </w:r>
      <w:r w:rsidRPr="00AD504A">
        <w:rPr>
          <w:i/>
          <w:iCs/>
          <w:sz w:val="26"/>
          <w:szCs w:val="26"/>
        </w:rPr>
        <w:t>we do not regard site commissions under the second scenario as a condition precedent of doing business</w:t>
      </w:r>
      <w:r w:rsidRPr="00611756">
        <w:rPr>
          <w:sz w:val="26"/>
          <w:szCs w:val="26"/>
        </w:rPr>
        <w:t xml:space="preserve"> at correctional institutions.</w:t>
      </w:r>
      <w:r w:rsidRPr="00611756" w:rsidR="00611756">
        <w:rPr>
          <w:sz w:val="26"/>
          <w:szCs w:val="26"/>
          <w:vertAlign w:val="superscript"/>
        </w:rPr>
        <w:footnoteReference w:id="129"/>
      </w:r>
    </w:p>
    <w:p w:rsidR="00283453" w:rsidP="00AD504A" w:rsidRDefault="00523255" w14:paraId="2F26D8C7" w14:textId="581F2C63">
      <w:pPr>
        <w:pStyle w:val="Standard"/>
        <w:ind w:firstLine="720"/>
        <w:rPr>
          <w:sz w:val="26"/>
          <w:szCs w:val="26"/>
        </w:rPr>
      </w:pPr>
      <w:r>
        <w:rPr>
          <w:sz w:val="26"/>
          <w:szCs w:val="26"/>
        </w:rPr>
        <w:t xml:space="preserve">We </w:t>
      </w:r>
      <w:r w:rsidR="002B3779">
        <w:rPr>
          <w:sz w:val="26"/>
          <w:szCs w:val="26"/>
        </w:rPr>
        <w:t xml:space="preserve">intend to further examine IPCS bidding and contract conditions during Phase II of this proceeding.  Preliminarily, however, we </w:t>
      </w:r>
      <w:r w:rsidR="000362A6">
        <w:rPr>
          <w:sz w:val="26"/>
          <w:szCs w:val="26"/>
        </w:rPr>
        <w:t xml:space="preserve">concur with the FCC that site commissions </w:t>
      </w:r>
      <w:r w:rsidR="008D06FB">
        <w:rPr>
          <w:sz w:val="26"/>
          <w:szCs w:val="26"/>
        </w:rPr>
        <w:t xml:space="preserve">that are </w:t>
      </w:r>
      <w:r w:rsidR="009C5798">
        <w:rPr>
          <w:sz w:val="26"/>
          <w:szCs w:val="26"/>
        </w:rPr>
        <w:t xml:space="preserve">not required by </w:t>
      </w:r>
      <w:r w:rsidR="000362A6">
        <w:rPr>
          <w:sz w:val="26"/>
          <w:szCs w:val="26"/>
        </w:rPr>
        <w:t>statut</w:t>
      </w:r>
      <w:r w:rsidR="009C5798">
        <w:rPr>
          <w:sz w:val="26"/>
          <w:szCs w:val="26"/>
        </w:rPr>
        <w:t xml:space="preserve">e </w:t>
      </w:r>
      <w:r w:rsidR="004D1EF3">
        <w:rPr>
          <w:sz w:val="26"/>
          <w:szCs w:val="26"/>
        </w:rPr>
        <w:t xml:space="preserve">do not constitute </w:t>
      </w:r>
      <w:r w:rsidR="007477E0">
        <w:rPr>
          <w:sz w:val="26"/>
          <w:szCs w:val="26"/>
        </w:rPr>
        <w:t>“</w:t>
      </w:r>
      <w:r w:rsidR="00466C65">
        <w:rPr>
          <w:sz w:val="26"/>
          <w:szCs w:val="26"/>
        </w:rPr>
        <w:t>cost</w:t>
      </w:r>
      <w:r w:rsidR="007477E0">
        <w:rPr>
          <w:sz w:val="26"/>
          <w:szCs w:val="26"/>
        </w:rPr>
        <w:t>s</w:t>
      </w:r>
      <w:r w:rsidR="00466C65">
        <w:rPr>
          <w:sz w:val="26"/>
          <w:szCs w:val="26"/>
        </w:rPr>
        <w:t xml:space="preserve"> of doing business</w:t>
      </w:r>
      <w:r w:rsidR="007477E0">
        <w:rPr>
          <w:sz w:val="26"/>
          <w:szCs w:val="26"/>
        </w:rPr>
        <w:t>”</w:t>
      </w:r>
      <w:r w:rsidR="00466C65">
        <w:rPr>
          <w:sz w:val="26"/>
          <w:szCs w:val="26"/>
        </w:rPr>
        <w:t xml:space="preserve"> that </w:t>
      </w:r>
      <w:r w:rsidR="007477E0">
        <w:rPr>
          <w:sz w:val="26"/>
          <w:szCs w:val="26"/>
        </w:rPr>
        <w:t>are</w:t>
      </w:r>
      <w:r w:rsidR="00F42ABB">
        <w:rPr>
          <w:sz w:val="26"/>
          <w:szCs w:val="26"/>
        </w:rPr>
        <w:t xml:space="preserve"> necessary for the provision of IPCS in jails and prisons. </w:t>
      </w:r>
      <w:r w:rsidR="00A7165D">
        <w:rPr>
          <w:sz w:val="26"/>
          <w:szCs w:val="26"/>
        </w:rPr>
        <w:t xml:space="preserve"> </w:t>
      </w:r>
      <w:r w:rsidR="0028008F">
        <w:rPr>
          <w:sz w:val="26"/>
          <w:szCs w:val="26"/>
        </w:rPr>
        <w:t>We discuss this issue further i</w:t>
      </w:r>
      <w:r w:rsidR="00DF7A64">
        <w:rPr>
          <w:sz w:val="26"/>
          <w:szCs w:val="26"/>
        </w:rPr>
        <w:t>n section 6.3</w:t>
      </w:r>
      <w:r w:rsidRPr="6B23D7ED" w:rsidR="7D0317AF">
        <w:rPr>
          <w:sz w:val="26"/>
          <w:szCs w:val="26"/>
        </w:rPr>
        <w:t>,</w:t>
      </w:r>
      <w:r w:rsidR="00DF7A64">
        <w:rPr>
          <w:sz w:val="26"/>
          <w:szCs w:val="26"/>
        </w:rPr>
        <w:t xml:space="preserve"> below</w:t>
      </w:r>
      <w:r w:rsidR="0028008F">
        <w:rPr>
          <w:sz w:val="26"/>
          <w:szCs w:val="26"/>
        </w:rPr>
        <w:t>.</w:t>
      </w:r>
    </w:p>
    <w:p w:rsidRPr="0083155D" w:rsidR="0083155D" w:rsidP="00E71257" w:rsidRDefault="00887CD5" w14:paraId="5703F5FD" w14:textId="22A2EFD2">
      <w:pPr>
        <w:pStyle w:val="Standard"/>
        <w:ind w:firstLine="720"/>
        <w:rPr>
          <w:sz w:val="26"/>
          <w:szCs w:val="26"/>
        </w:rPr>
      </w:pPr>
      <w:r>
        <w:rPr>
          <w:sz w:val="26"/>
          <w:szCs w:val="26"/>
        </w:rPr>
        <w:t xml:space="preserve">Our finding of </w:t>
      </w:r>
      <w:r w:rsidR="009A0708">
        <w:rPr>
          <w:sz w:val="26"/>
          <w:szCs w:val="26"/>
        </w:rPr>
        <w:t xml:space="preserve">the existence of locational </w:t>
      </w:r>
      <w:r>
        <w:rPr>
          <w:sz w:val="26"/>
          <w:szCs w:val="26"/>
        </w:rPr>
        <w:t>monopol</w:t>
      </w:r>
      <w:r w:rsidR="009A0708">
        <w:rPr>
          <w:sz w:val="26"/>
          <w:szCs w:val="26"/>
        </w:rPr>
        <w:t xml:space="preserve">ies </w:t>
      </w:r>
      <w:r>
        <w:rPr>
          <w:sz w:val="26"/>
          <w:szCs w:val="26"/>
        </w:rPr>
        <w:t xml:space="preserve">and </w:t>
      </w:r>
      <w:r w:rsidR="009D56A6">
        <w:rPr>
          <w:sz w:val="26"/>
          <w:szCs w:val="26"/>
        </w:rPr>
        <w:t xml:space="preserve">the exercise </w:t>
      </w:r>
      <w:r w:rsidR="5ECCFE55">
        <w:rPr>
          <w:sz w:val="26"/>
          <w:szCs w:val="26"/>
        </w:rPr>
        <w:t>of</w:t>
      </w:r>
      <w:r w:rsidR="009D56A6">
        <w:rPr>
          <w:sz w:val="26"/>
          <w:szCs w:val="26"/>
        </w:rPr>
        <w:t xml:space="preserve"> </w:t>
      </w:r>
      <w:r>
        <w:rPr>
          <w:sz w:val="26"/>
          <w:szCs w:val="26"/>
        </w:rPr>
        <w:t xml:space="preserve">market power </w:t>
      </w:r>
      <w:r w:rsidR="00E71257">
        <w:rPr>
          <w:sz w:val="26"/>
          <w:szCs w:val="26"/>
        </w:rPr>
        <w:t xml:space="preserve">in </w:t>
      </w:r>
      <w:r w:rsidR="00C07673">
        <w:rPr>
          <w:sz w:val="26"/>
          <w:szCs w:val="26"/>
        </w:rPr>
        <w:t xml:space="preserve">the provision of IPCS in </w:t>
      </w:r>
      <w:r w:rsidR="00E71257">
        <w:rPr>
          <w:sz w:val="26"/>
          <w:szCs w:val="26"/>
        </w:rPr>
        <w:t>California align</w:t>
      </w:r>
      <w:r w:rsidR="00C07673">
        <w:rPr>
          <w:sz w:val="26"/>
          <w:szCs w:val="26"/>
        </w:rPr>
        <w:t>s</w:t>
      </w:r>
      <w:r w:rsidR="00E71257">
        <w:rPr>
          <w:sz w:val="26"/>
          <w:szCs w:val="26"/>
        </w:rPr>
        <w:t xml:space="preserve"> with the FCC’s recent findings on </w:t>
      </w:r>
      <w:r w:rsidR="007E37A6">
        <w:rPr>
          <w:sz w:val="26"/>
          <w:szCs w:val="26"/>
        </w:rPr>
        <w:t>a</w:t>
      </w:r>
      <w:r w:rsidR="00E71257">
        <w:rPr>
          <w:sz w:val="26"/>
          <w:szCs w:val="26"/>
        </w:rPr>
        <w:t xml:space="preserve"> national scale.  </w:t>
      </w:r>
      <w:r w:rsidRPr="0083155D" w:rsidR="0083155D">
        <w:rPr>
          <w:sz w:val="26"/>
          <w:szCs w:val="26"/>
        </w:rPr>
        <w:t xml:space="preserve">As mentioned </w:t>
      </w:r>
      <w:r w:rsidR="00E71257">
        <w:rPr>
          <w:sz w:val="26"/>
          <w:szCs w:val="26"/>
        </w:rPr>
        <w:t>in section 1</w:t>
      </w:r>
      <w:r w:rsidRPr="0083155D" w:rsidR="0083155D">
        <w:rPr>
          <w:sz w:val="26"/>
          <w:szCs w:val="26"/>
        </w:rPr>
        <w:t>, the FCC</w:t>
      </w:r>
      <w:r w:rsidR="00F7357C">
        <w:rPr>
          <w:sz w:val="26"/>
          <w:szCs w:val="26"/>
        </w:rPr>
        <w:t xml:space="preserve"> has previously</w:t>
      </w:r>
      <w:r w:rsidRPr="0083155D" w:rsidR="0083155D">
        <w:rPr>
          <w:sz w:val="26"/>
          <w:szCs w:val="26"/>
        </w:rPr>
        <w:t xml:space="preserve"> found</w:t>
      </w:r>
      <w:r w:rsidR="00184C71">
        <w:rPr>
          <w:sz w:val="26"/>
          <w:szCs w:val="26"/>
        </w:rPr>
        <w:t xml:space="preserve"> </w:t>
      </w:r>
      <w:r w:rsidR="00927DC3">
        <w:rPr>
          <w:sz w:val="26"/>
          <w:szCs w:val="26"/>
        </w:rPr>
        <w:t xml:space="preserve">IPCS providers </w:t>
      </w:r>
      <w:r w:rsidRPr="3934F952" w:rsidR="00927DC3">
        <w:rPr>
          <w:sz w:val="26"/>
          <w:szCs w:val="26"/>
        </w:rPr>
        <w:t>operat</w:t>
      </w:r>
      <w:r w:rsidRPr="3934F952" w:rsidR="3829C609">
        <w:rPr>
          <w:sz w:val="26"/>
          <w:szCs w:val="26"/>
        </w:rPr>
        <w:t>e</w:t>
      </w:r>
      <w:r w:rsidR="00927DC3">
        <w:rPr>
          <w:sz w:val="26"/>
          <w:szCs w:val="26"/>
        </w:rPr>
        <w:t xml:space="preserve"> </w:t>
      </w:r>
      <w:r w:rsidRPr="0083155D" w:rsidR="0083155D">
        <w:rPr>
          <w:sz w:val="26"/>
          <w:szCs w:val="26"/>
        </w:rPr>
        <w:t xml:space="preserve">“locational </w:t>
      </w:r>
      <w:proofErr w:type="gramStart"/>
      <w:r w:rsidRPr="0083155D" w:rsidR="0083155D">
        <w:rPr>
          <w:sz w:val="26"/>
          <w:szCs w:val="26"/>
        </w:rPr>
        <w:t>monopolies”</w:t>
      </w:r>
      <w:r w:rsidR="00927DC3">
        <w:rPr>
          <w:sz w:val="26"/>
          <w:szCs w:val="26"/>
        </w:rPr>
        <w:t xml:space="preserve"> </w:t>
      </w:r>
      <w:r w:rsidR="009A4121">
        <w:rPr>
          <w:sz w:val="26"/>
          <w:szCs w:val="26"/>
        </w:rPr>
        <w:t xml:space="preserve"> </w:t>
      </w:r>
      <w:r w:rsidRPr="6B23D7ED" w:rsidR="6A3419B0">
        <w:rPr>
          <w:sz w:val="26"/>
          <w:szCs w:val="26"/>
        </w:rPr>
        <w:t>serv</w:t>
      </w:r>
      <w:r w:rsidRPr="6B23D7ED" w:rsidR="42504FAB">
        <w:rPr>
          <w:sz w:val="26"/>
          <w:szCs w:val="26"/>
        </w:rPr>
        <w:t>ing</w:t>
      </w:r>
      <w:proofErr w:type="gramEnd"/>
      <w:r w:rsidR="009A4121">
        <w:rPr>
          <w:sz w:val="26"/>
          <w:szCs w:val="26"/>
        </w:rPr>
        <w:t xml:space="preserve"> a</w:t>
      </w:r>
      <w:r w:rsidRPr="0083155D" w:rsidR="0083155D">
        <w:rPr>
          <w:sz w:val="26"/>
          <w:szCs w:val="26"/>
        </w:rPr>
        <w:t xml:space="preserve"> “captive consumer base of inmates.”</w:t>
      </w:r>
      <w:r w:rsidRPr="0083155D" w:rsidR="0083155D">
        <w:rPr>
          <w:sz w:val="26"/>
          <w:szCs w:val="26"/>
          <w:vertAlign w:val="superscript"/>
        </w:rPr>
        <w:footnoteReference w:id="130"/>
      </w:r>
      <w:r w:rsidRPr="0083155D" w:rsidR="0083155D">
        <w:rPr>
          <w:sz w:val="26"/>
          <w:szCs w:val="26"/>
        </w:rPr>
        <w:t xml:space="preserve">  The FCC’s </w:t>
      </w:r>
      <w:r w:rsidRPr="00FD5770" w:rsidR="0083155D">
        <w:rPr>
          <w:sz w:val="26"/>
          <w:szCs w:val="26"/>
        </w:rPr>
        <w:t>Third Order,</w:t>
      </w:r>
      <w:r w:rsidRPr="0083155D" w:rsidR="0083155D">
        <w:rPr>
          <w:sz w:val="26"/>
          <w:szCs w:val="26"/>
        </w:rPr>
        <w:t xml:space="preserve"> adopted</w:t>
      </w:r>
      <w:r w:rsidR="006200A2">
        <w:rPr>
          <w:sz w:val="26"/>
          <w:szCs w:val="26"/>
        </w:rPr>
        <w:t xml:space="preserve"> May 24, 2021, </w:t>
      </w:r>
      <w:r w:rsidRPr="0083155D" w:rsidR="0083155D">
        <w:rPr>
          <w:sz w:val="26"/>
          <w:szCs w:val="26"/>
        </w:rPr>
        <w:t>similarly found that IPCS providers improperly exercise monopoly market power</w:t>
      </w:r>
      <w:r w:rsidR="006200A2">
        <w:rPr>
          <w:sz w:val="26"/>
          <w:szCs w:val="26"/>
        </w:rPr>
        <w:t xml:space="preserve"> on a national basis</w:t>
      </w:r>
      <w:r w:rsidR="00066FE1">
        <w:rPr>
          <w:sz w:val="26"/>
          <w:szCs w:val="26"/>
        </w:rPr>
        <w:t>:</w:t>
      </w:r>
    </w:p>
    <w:p w:rsidRPr="009F1DFB" w:rsidR="0083155D" w:rsidP="00D343EC" w:rsidRDefault="0083155D" w14:paraId="4E00C13A" w14:textId="77777777">
      <w:pPr>
        <w:pStyle w:val="BlockQuote"/>
        <w:spacing w:line="240" w:lineRule="auto"/>
        <w:ind w:right="1440"/>
        <w:rPr>
          <w:sz w:val="26"/>
          <w:szCs w:val="26"/>
        </w:rPr>
      </w:pPr>
      <w:r w:rsidRPr="009F1DFB">
        <w:rPr>
          <w:sz w:val="26"/>
          <w:szCs w:val="26"/>
        </w:rPr>
        <w:t xml:space="preserve">The reforms we adopt today reflect our findings, as detailed below, regarding the monopoly power that each calling service provider has over the individual </w:t>
      </w:r>
      <w:proofErr w:type="gramStart"/>
      <w:r w:rsidRPr="009F1DFB">
        <w:rPr>
          <w:sz w:val="26"/>
          <w:szCs w:val="26"/>
        </w:rPr>
        <w:t>correctional facilities</w:t>
      </w:r>
      <w:proofErr w:type="gramEnd"/>
      <w:r w:rsidRPr="009F1DFB">
        <w:rPr>
          <w:sz w:val="26"/>
          <w:szCs w:val="26"/>
        </w:rPr>
        <w:t xml:space="preserve"> </w:t>
      </w:r>
      <w:r w:rsidRPr="009F1DFB">
        <w:rPr>
          <w:sz w:val="26"/>
          <w:szCs w:val="26"/>
        </w:rPr>
        <w:lastRenderedPageBreak/>
        <w:t>it serves; the numerous negative impacts the providers’ exercise of that market power has had on incarcerated people, their families and communities, and society as a whole...</w:t>
      </w:r>
      <w:r w:rsidRPr="009F1DFB">
        <w:rPr>
          <w:sz w:val="26"/>
          <w:szCs w:val="26"/>
          <w:vertAlign w:val="superscript"/>
        </w:rPr>
        <w:footnoteReference w:id="131"/>
      </w:r>
    </w:p>
    <w:p w:rsidRPr="009F1DFB" w:rsidR="0083155D" w:rsidP="00D343EC" w:rsidRDefault="0083155D" w14:paraId="0E01B181" w14:textId="6197E4D2">
      <w:pPr>
        <w:pStyle w:val="BlockQuote"/>
        <w:spacing w:line="240" w:lineRule="auto"/>
        <w:ind w:right="1440"/>
        <w:rPr>
          <w:sz w:val="26"/>
          <w:szCs w:val="26"/>
        </w:rPr>
      </w:pPr>
      <w:r w:rsidRPr="009F1DFB">
        <w:rPr>
          <w:sz w:val="26"/>
          <w:szCs w:val="26"/>
        </w:rPr>
        <w:t xml:space="preserve">The Commission has previously determined that providers of telephone services to incarcerated people have monopoly power in the facilities they serve [footnote 81]. </w:t>
      </w:r>
      <w:r w:rsidRPr="009F1DFB" w:rsidR="19866877">
        <w:rPr>
          <w:sz w:val="26"/>
          <w:szCs w:val="26"/>
        </w:rPr>
        <w:t xml:space="preserve"> </w:t>
      </w:r>
      <w:r w:rsidRPr="009F1DFB">
        <w:rPr>
          <w:sz w:val="26"/>
          <w:szCs w:val="26"/>
        </w:rPr>
        <w:t xml:space="preserve">We reaffirm this long-established finding, one that applies equally not only to the rates and charges for calling services provided to incarcerated people, including ancillary services, but also to providers’ practices associated with their provision of calling services… incarcerated people have no choice in the selection of their calling services provider [footnote 82]. </w:t>
      </w:r>
      <w:r w:rsidRPr="009F1DFB" w:rsidR="19866877">
        <w:rPr>
          <w:sz w:val="26"/>
          <w:szCs w:val="26"/>
        </w:rPr>
        <w:t xml:space="preserve"> </w:t>
      </w:r>
      <w:r w:rsidRPr="009F1DFB">
        <w:rPr>
          <w:sz w:val="26"/>
          <w:szCs w:val="26"/>
        </w:rPr>
        <w:t xml:space="preserve">The authorities responsible for prisons or jails typically negotiate with the providers of inmate calling services and make their selection without input from the incarcerated people who will use the service [footnote 83]. </w:t>
      </w:r>
      <w:r w:rsidRPr="009F1DFB" w:rsidR="18C079EF">
        <w:rPr>
          <w:sz w:val="26"/>
          <w:szCs w:val="26"/>
        </w:rPr>
        <w:t xml:space="preserve"> </w:t>
      </w:r>
      <w:r w:rsidRPr="009F1DFB">
        <w:rPr>
          <w:sz w:val="26"/>
          <w:szCs w:val="26"/>
        </w:rPr>
        <w:t xml:space="preserve">Once the facility makes its choice—often resulting in contracts with providers lasting several years into the future—incarcerated people in such facilities have no means to switch to another provider, even if the chosen provider raises rates, imposes additional fees, adopts unreasonable terms and conditions for use of the service, or offers inferior service [footnote 84]. </w:t>
      </w:r>
      <w:r w:rsidRPr="009F1DFB" w:rsidR="1F70532E">
        <w:rPr>
          <w:sz w:val="26"/>
          <w:szCs w:val="26"/>
        </w:rPr>
        <w:t xml:space="preserve"> </w:t>
      </w:r>
      <w:r w:rsidRPr="009F1DFB">
        <w:rPr>
          <w:sz w:val="26"/>
          <w:szCs w:val="26"/>
        </w:rPr>
        <w:t xml:space="preserve">On the contrary, correctional authorities exercise near total control over how incarcerated people </w:t>
      </w:r>
      <w:proofErr w:type="gramStart"/>
      <w:r w:rsidRPr="009F1DFB">
        <w:rPr>
          <w:sz w:val="26"/>
          <w:szCs w:val="26"/>
        </w:rPr>
        <w:t>are able to</w:t>
      </w:r>
      <w:proofErr w:type="gramEnd"/>
      <w:r w:rsidRPr="009F1DFB">
        <w:rPr>
          <w:sz w:val="26"/>
          <w:szCs w:val="26"/>
        </w:rPr>
        <w:t xml:space="preserve"> communicate with the outside world [footnote 85]</w:t>
      </w:r>
      <w:r w:rsidR="00570F48">
        <w:rPr>
          <w:sz w:val="26"/>
          <w:szCs w:val="26"/>
        </w:rPr>
        <w:t xml:space="preserve"> </w:t>
      </w:r>
      <w:r w:rsidRPr="009F1DFB">
        <w:rPr>
          <w:sz w:val="26"/>
          <w:szCs w:val="26"/>
        </w:rPr>
        <w:t>…. [N]o competitive forces within the facility constrain providers from charging rates that far exceed the costs such providers incur in offering service [footnote 87].</w:t>
      </w:r>
      <w:r w:rsidRPr="009F1DFB">
        <w:rPr>
          <w:sz w:val="26"/>
          <w:szCs w:val="26"/>
          <w:vertAlign w:val="superscript"/>
        </w:rPr>
        <w:footnoteReference w:id="132"/>
      </w:r>
    </w:p>
    <w:p w:rsidRPr="009F1DFB" w:rsidR="0083155D" w:rsidP="009F1DFB" w:rsidRDefault="0083155D" w14:paraId="720356C3" w14:textId="7941E8C9">
      <w:pPr>
        <w:pStyle w:val="BlockQuote"/>
        <w:spacing w:line="276" w:lineRule="auto"/>
        <w:rPr>
          <w:sz w:val="26"/>
          <w:szCs w:val="26"/>
        </w:rPr>
      </w:pPr>
      <w:r w:rsidRPr="009F1DFB">
        <w:rPr>
          <w:sz w:val="26"/>
          <w:szCs w:val="26"/>
        </w:rPr>
        <w:t xml:space="preserve">Because correctional officials typically allow only one provider to serve any given facility…there are no competitive constraints on a provider’s rates once it has </w:t>
      </w:r>
      <w:proofErr w:type="gramStart"/>
      <w:r w:rsidRPr="009F1DFB">
        <w:rPr>
          <w:sz w:val="26"/>
          <w:szCs w:val="26"/>
        </w:rPr>
        <w:t>entered into</w:t>
      </w:r>
      <w:proofErr w:type="gramEnd"/>
      <w:r w:rsidRPr="009F1DFB">
        <w:rPr>
          <w:sz w:val="26"/>
          <w:szCs w:val="26"/>
        </w:rPr>
        <w:t xml:space="preserve"> a contract to serve a particular facility [footnote 90]. </w:t>
      </w:r>
      <w:r w:rsidRPr="009F1DFB" w:rsidR="09D818A8">
        <w:rPr>
          <w:sz w:val="26"/>
          <w:szCs w:val="26"/>
        </w:rPr>
        <w:t xml:space="preserve"> </w:t>
      </w:r>
      <w:r w:rsidRPr="009F1DFB">
        <w:rPr>
          <w:sz w:val="26"/>
          <w:szCs w:val="26"/>
        </w:rPr>
        <w:t xml:space="preserve">The Commission has observed that ‘because the bidder who charges the highest rates can afford to offer the confinement facilities the largest location commissions, the </w:t>
      </w:r>
      <w:r w:rsidRPr="009F1DFB">
        <w:rPr>
          <w:sz w:val="26"/>
          <w:szCs w:val="26"/>
        </w:rPr>
        <w:lastRenderedPageBreak/>
        <w:t>competitive bidding process may result in higher rates’</w:t>
      </w:r>
      <w:r w:rsidRPr="009F1DFB" w:rsidR="00767BC9">
        <w:rPr>
          <w:sz w:val="26"/>
          <w:szCs w:val="26"/>
        </w:rPr>
        <w:t xml:space="preserve"> </w:t>
      </w:r>
      <w:r w:rsidRPr="009F1DFB">
        <w:rPr>
          <w:sz w:val="26"/>
          <w:szCs w:val="26"/>
        </w:rPr>
        <w:t>[footnote</w:t>
      </w:r>
      <w:r w:rsidR="00D343EC">
        <w:rPr>
          <w:sz w:val="26"/>
          <w:szCs w:val="26"/>
        </w:rPr>
        <w:t> </w:t>
      </w:r>
      <w:r w:rsidRPr="009F1DFB">
        <w:rPr>
          <w:sz w:val="26"/>
          <w:szCs w:val="26"/>
        </w:rPr>
        <w:t xml:space="preserve">91]. </w:t>
      </w:r>
      <w:r w:rsidRPr="009F1DFB" w:rsidR="12C125C0">
        <w:rPr>
          <w:sz w:val="26"/>
          <w:szCs w:val="26"/>
        </w:rPr>
        <w:t xml:space="preserve"> </w:t>
      </w:r>
      <w:r w:rsidRPr="009F1DFB">
        <w:rPr>
          <w:sz w:val="26"/>
          <w:szCs w:val="26"/>
        </w:rPr>
        <w:t>Thus, even if there is ‘competition’ in the bidding market as some providers assert, it is not the type of competition the Commission recognizes as having an ability to ‘exert downward pressure on rates for consumers’”</w:t>
      </w:r>
      <w:r w:rsidR="003D2271">
        <w:rPr>
          <w:sz w:val="26"/>
          <w:szCs w:val="26"/>
        </w:rPr>
        <w:t xml:space="preserve"> </w:t>
      </w:r>
      <w:r w:rsidRPr="009F1DFB">
        <w:rPr>
          <w:sz w:val="26"/>
          <w:szCs w:val="26"/>
        </w:rPr>
        <w:t>[footnote 92].</w:t>
      </w:r>
      <w:r w:rsidRPr="009F1DFB">
        <w:rPr>
          <w:sz w:val="26"/>
          <w:szCs w:val="26"/>
          <w:vertAlign w:val="superscript"/>
        </w:rPr>
        <w:footnoteReference w:id="133"/>
      </w:r>
    </w:p>
    <w:p w:rsidR="0045397F" w:rsidP="00225EE2" w:rsidRDefault="655AD360" w14:paraId="729F0739" w14:textId="73E2193F">
      <w:pPr>
        <w:pStyle w:val="Standard"/>
        <w:ind w:firstLine="720"/>
        <w:rPr>
          <w:sz w:val="26"/>
          <w:szCs w:val="26"/>
        </w:rPr>
      </w:pPr>
      <w:r w:rsidRPr="6F8BE924">
        <w:rPr>
          <w:sz w:val="26"/>
          <w:szCs w:val="26"/>
        </w:rPr>
        <w:t>B</w:t>
      </w:r>
      <w:r w:rsidRPr="6F8BE924" w:rsidR="3A7D681D">
        <w:rPr>
          <w:sz w:val="26"/>
          <w:szCs w:val="26"/>
        </w:rPr>
        <w:t xml:space="preserve">ased on </w:t>
      </w:r>
      <w:r w:rsidRPr="6F8BE924" w:rsidR="6989801B">
        <w:rPr>
          <w:sz w:val="26"/>
          <w:szCs w:val="26"/>
        </w:rPr>
        <w:t xml:space="preserve">a </w:t>
      </w:r>
      <w:r w:rsidRPr="6F8BE924" w:rsidR="3A7D681D">
        <w:rPr>
          <w:sz w:val="26"/>
          <w:szCs w:val="26"/>
        </w:rPr>
        <w:t>careful review of the record in this proceeding</w:t>
      </w:r>
      <w:r w:rsidRPr="6F8BE924" w:rsidR="6989801B">
        <w:rPr>
          <w:sz w:val="26"/>
          <w:szCs w:val="26"/>
        </w:rPr>
        <w:t xml:space="preserve"> and informed by the FCC’s actions</w:t>
      </w:r>
      <w:r w:rsidRPr="6F8BE924">
        <w:rPr>
          <w:sz w:val="26"/>
          <w:szCs w:val="26"/>
        </w:rPr>
        <w:t xml:space="preserve">, we conclude </w:t>
      </w:r>
      <w:r w:rsidRPr="6F8BE924" w:rsidR="3A7D681D">
        <w:rPr>
          <w:sz w:val="26"/>
          <w:szCs w:val="26"/>
        </w:rPr>
        <w:t xml:space="preserve">that IPCS providers in California operate as locational monopolies within incarceration facilities and exercise market power to charge </w:t>
      </w:r>
      <w:r w:rsidRPr="6F8BE924" w:rsidR="6989801B">
        <w:rPr>
          <w:sz w:val="26"/>
          <w:szCs w:val="26"/>
        </w:rPr>
        <w:t xml:space="preserve">unjust and </w:t>
      </w:r>
      <w:r w:rsidRPr="6F8BE924" w:rsidR="3A7D681D">
        <w:rPr>
          <w:sz w:val="26"/>
          <w:szCs w:val="26"/>
        </w:rPr>
        <w:t>unreasonable rates.</w:t>
      </w:r>
      <w:r w:rsidRPr="6F8BE924" w:rsidR="6EFB8873">
        <w:rPr>
          <w:sz w:val="26"/>
          <w:szCs w:val="26"/>
        </w:rPr>
        <w:t xml:space="preserve"> </w:t>
      </w:r>
      <w:r w:rsidRPr="6F8BE924" w:rsidR="62ED100B">
        <w:rPr>
          <w:sz w:val="26"/>
          <w:szCs w:val="26"/>
        </w:rPr>
        <w:t xml:space="preserve"> </w:t>
      </w:r>
      <w:r w:rsidRPr="6F8BE924" w:rsidR="267C3B56">
        <w:rPr>
          <w:sz w:val="26"/>
          <w:szCs w:val="26"/>
        </w:rPr>
        <w:t xml:space="preserve">We define “market power” in this case as </w:t>
      </w:r>
      <w:r w:rsidRPr="6F8BE924" w:rsidR="6989801B">
        <w:rPr>
          <w:sz w:val="26"/>
          <w:szCs w:val="26"/>
        </w:rPr>
        <w:t xml:space="preserve">the ability of a company to sustain prices at levels above those a </w:t>
      </w:r>
      <w:r w:rsidRPr="6F8BE924" w:rsidR="1953CD6A">
        <w:rPr>
          <w:sz w:val="26"/>
          <w:szCs w:val="26"/>
        </w:rPr>
        <w:t xml:space="preserve">competitive </w:t>
      </w:r>
      <w:r w:rsidRPr="6F8BE924" w:rsidR="6989801B">
        <w:rPr>
          <w:sz w:val="26"/>
          <w:szCs w:val="26"/>
        </w:rPr>
        <w:t>market would produce</w:t>
      </w:r>
      <w:r w:rsidRPr="6F8BE924" w:rsidR="764A24BE">
        <w:rPr>
          <w:sz w:val="26"/>
          <w:szCs w:val="26"/>
        </w:rPr>
        <w:t>.</w:t>
      </w:r>
      <w:r w:rsidR="006715AF">
        <w:rPr>
          <w:rStyle w:val="FootnoteReference"/>
          <w:sz w:val="26"/>
          <w:szCs w:val="26"/>
        </w:rPr>
        <w:footnoteReference w:id="134"/>
      </w:r>
      <w:r w:rsidRPr="6F8BE924" w:rsidR="6989801B">
        <w:rPr>
          <w:sz w:val="26"/>
          <w:szCs w:val="26"/>
        </w:rPr>
        <w:t xml:space="preserve">  </w:t>
      </w:r>
      <w:r w:rsidRPr="6F8BE924" w:rsidR="1543E0AF">
        <w:rPr>
          <w:sz w:val="26"/>
          <w:szCs w:val="26"/>
        </w:rPr>
        <w:t xml:space="preserve">Pursuant to Public Utilities Code Section 451, this Commission is obligated to ensure access to communications services by all Californians, including the incarcerated, at just and reasonable rates. </w:t>
      </w:r>
    </w:p>
    <w:p w:rsidRPr="00225EE2" w:rsidR="00225EE2" w:rsidP="00225EE2" w:rsidRDefault="006200A2" w14:paraId="7E10200F" w14:textId="3D4CFFD9">
      <w:pPr>
        <w:pStyle w:val="Standard"/>
        <w:ind w:firstLine="720"/>
        <w:rPr>
          <w:sz w:val="26"/>
          <w:szCs w:val="26"/>
        </w:rPr>
      </w:pPr>
      <w:r>
        <w:rPr>
          <w:sz w:val="26"/>
          <w:szCs w:val="26"/>
        </w:rPr>
        <w:t xml:space="preserve">The following sections discuss </w:t>
      </w:r>
      <w:r w:rsidR="006D5C89">
        <w:rPr>
          <w:sz w:val="26"/>
          <w:szCs w:val="26"/>
        </w:rPr>
        <w:t xml:space="preserve">the Staff Proposal and </w:t>
      </w:r>
      <w:r w:rsidR="00404854">
        <w:rPr>
          <w:sz w:val="26"/>
          <w:szCs w:val="26"/>
        </w:rPr>
        <w:t>parties’ proposals</w:t>
      </w:r>
      <w:r w:rsidR="003A61D4">
        <w:rPr>
          <w:sz w:val="26"/>
          <w:szCs w:val="26"/>
        </w:rPr>
        <w:t xml:space="preserve"> </w:t>
      </w:r>
      <w:r w:rsidR="00607FC7">
        <w:rPr>
          <w:sz w:val="26"/>
          <w:szCs w:val="26"/>
        </w:rPr>
        <w:t xml:space="preserve">for the Commission </w:t>
      </w:r>
      <w:r w:rsidR="003A61D4">
        <w:rPr>
          <w:sz w:val="26"/>
          <w:szCs w:val="26"/>
        </w:rPr>
        <w:t>to provide interim rate relief to the incarcerated</w:t>
      </w:r>
      <w:r w:rsidR="00607FC7">
        <w:rPr>
          <w:sz w:val="26"/>
          <w:szCs w:val="26"/>
        </w:rPr>
        <w:t xml:space="preserve"> while</w:t>
      </w:r>
      <w:r w:rsidR="003A61D4">
        <w:rPr>
          <w:sz w:val="26"/>
          <w:szCs w:val="26"/>
        </w:rPr>
        <w:t xml:space="preserve"> we </w:t>
      </w:r>
      <w:r w:rsidR="00607FC7">
        <w:rPr>
          <w:sz w:val="26"/>
          <w:szCs w:val="26"/>
        </w:rPr>
        <w:t xml:space="preserve">continue to </w:t>
      </w:r>
      <w:r w:rsidR="003A61D4">
        <w:rPr>
          <w:sz w:val="26"/>
          <w:szCs w:val="26"/>
        </w:rPr>
        <w:t xml:space="preserve">work to identify permanent </w:t>
      </w:r>
      <w:r w:rsidR="006D5C89">
        <w:rPr>
          <w:sz w:val="26"/>
          <w:szCs w:val="26"/>
        </w:rPr>
        <w:t xml:space="preserve">just and reasonable </w:t>
      </w:r>
      <w:r w:rsidR="003A61D4">
        <w:rPr>
          <w:sz w:val="26"/>
          <w:szCs w:val="26"/>
        </w:rPr>
        <w:t xml:space="preserve">IPCS </w:t>
      </w:r>
      <w:r w:rsidR="00607FC7">
        <w:rPr>
          <w:sz w:val="26"/>
          <w:szCs w:val="26"/>
        </w:rPr>
        <w:t xml:space="preserve">rates in </w:t>
      </w:r>
      <w:r w:rsidR="003A61D4">
        <w:rPr>
          <w:sz w:val="26"/>
          <w:szCs w:val="26"/>
        </w:rPr>
        <w:t xml:space="preserve">California. </w:t>
      </w:r>
    </w:p>
    <w:p w:rsidR="00225EE2" w:rsidP="008A2A1B" w:rsidRDefault="00996A73" w14:paraId="4BAAEC77" w14:textId="55668732">
      <w:pPr>
        <w:pStyle w:val="Heading1"/>
        <w:numPr>
          <w:ilvl w:val="0"/>
          <w:numId w:val="1"/>
        </w:numPr>
      </w:pPr>
      <w:bookmarkStart w:name="_Toc80089401" w:id="39"/>
      <w:r>
        <w:lastRenderedPageBreak/>
        <w:t xml:space="preserve">Providing </w:t>
      </w:r>
      <w:r w:rsidR="006422A7">
        <w:t>Interim Rate Relief</w:t>
      </w:r>
      <w:r w:rsidR="003D2271">
        <w:br/>
      </w:r>
      <w:r w:rsidR="00023FC6">
        <w:t>to IPCS Customers</w:t>
      </w:r>
      <w:bookmarkEnd w:id="39"/>
    </w:p>
    <w:p w:rsidR="00B20694" w:rsidP="00520E4E" w:rsidRDefault="007211B8" w14:paraId="61439385" w14:textId="1E25506B">
      <w:pPr>
        <w:pStyle w:val="Standard"/>
        <w:spacing w:after="120"/>
        <w:ind w:firstLine="720"/>
        <w:rPr>
          <w:sz w:val="26"/>
          <w:szCs w:val="26"/>
        </w:rPr>
      </w:pPr>
      <w:r>
        <w:rPr>
          <w:sz w:val="26"/>
          <w:szCs w:val="26"/>
        </w:rPr>
        <w:t xml:space="preserve">Rates and fees for IPCS in California are currently </w:t>
      </w:r>
      <w:r w:rsidR="00A63BCC">
        <w:rPr>
          <w:sz w:val="26"/>
          <w:szCs w:val="26"/>
        </w:rPr>
        <w:t>unregulated.  Based on c</w:t>
      </w:r>
      <w:r w:rsidR="00DC5C3B">
        <w:rPr>
          <w:sz w:val="26"/>
          <w:szCs w:val="26"/>
        </w:rPr>
        <w:t>omments on the O</w:t>
      </w:r>
      <w:r w:rsidR="007E37A6">
        <w:rPr>
          <w:sz w:val="26"/>
          <w:szCs w:val="26"/>
        </w:rPr>
        <w:t xml:space="preserve">IR </w:t>
      </w:r>
      <w:r w:rsidR="00DC5C3B">
        <w:rPr>
          <w:sz w:val="26"/>
          <w:szCs w:val="26"/>
        </w:rPr>
        <w:t>and during the prehearing conference</w:t>
      </w:r>
      <w:r w:rsidR="00A63BCC">
        <w:rPr>
          <w:sz w:val="26"/>
          <w:szCs w:val="26"/>
        </w:rPr>
        <w:t xml:space="preserve">, </w:t>
      </w:r>
      <w:r w:rsidR="00D46722">
        <w:rPr>
          <w:sz w:val="26"/>
          <w:szCs w:val="26"/>
        </w:rPr>
        <w:t xml:space="preserve">the Scoping Memo included the </w:t>
      </w:r>
      <w:r w:rsidR="00DC677F">
        <w:rPr>
          <w:sz w:val="26"/>
          <w:szCs w:val="26"/>
        </w:rPr>
        <w:t>following issues</w:t>
      </w:r>
      <w:r w:rsidR="00D46722">
        <w:rPr>
          <w:sz w:val="26"/>
          <w:szCs w:val="26"/>
        </w:rPr>
        <w:t>:</w:t>
      </w:r>
    </w:p>
    <w:p w:rsidRPr="008A2A1B" w:rsidR="00D46722" w:rsidP="003D2271" w:rsidRDefault="00D46722" w14:paraId="7FF1FEBF" w14:textId="6FDE2178">
      <w:pPr>
        <w:pStyle w:val="ListBullet"/>
        <w:spacing w:line="240" w:lineRule="auto"/>
        <w:ind w:right="1440"/>
        <w:rPr>
          <w:sz w:val="26"/>
          <w:szCs w:val="26"/>
        </w:rPr>
      </w:pPr>
      <w:r w:rsidRPr="008A2A1B">
        <w:rPr>
          <w:sz w:val="26"/>
          <w:szCs w:val="26"/>
        </w:rPr>
        <w:t>Should the Commission provide immediate interim relief to meet the IPCS needs of incarcerated people and their families at just and reasonable rates, including those with communication disabilities?</w:t>
      </w:r>
      <w:r w:rsidR="00543636">
        <w:rPr>
          <w:sz w:val="26"/>
          <w:szCs w:val="26"/>
        </w:rPr>
        <w:t xml:space="preserve"> </w:t>
      </w:r>
      <w:r w:rsidRPr="008A2A1B">
        <w:rPr>
          <w:sz w:val="26"/>
          <w:szCs w:val="26"/>
        </w:rPr>
        <w:t xml:space="preserve"> If so, how? </w:t>
      </w:r>
    </w:p>
    <w:p w:rsidRPr="008A2A1B" w:rsidR="00D46722" w:rsidP="003D2271" w:rsidRDefault="00D46722" w14:paraId="01C6F27B" w14:textId="7E5A0B23">
      <w:pPr>
        <w:pStyle w:val="ListBullet"/>
        <w:spacing w:line="240" w:lineRule="auto"/>
        <w:ind w:right="1440"/>
        <w:rPr>
          <w:sz w:val="26"/>
          <w:szCs w:val="26"/>
        </w:rPr>
      </w:pPr>
      <w:r w:rsidRPr="008A2A1B">
        <w:rPr>
          <w:sz w:val="26"/>
          <w:szCs w:val="26"/>
        </w:rPr>
        <w:t xml:space="preserve">Should FCC regulations over interstate and international calls inform the Commission’s approach to intrastate IPCS? If so, how? </w:t>
      </w:r>
    </w:p>
    <w:p w:rsidRPr="008A2A1B" w:rsidR="00D46722" w:rsidP="003D2271" w:rsidRDefault="00D46722" w14:paraId="4BB0A720" w14:textId="6A305036">
      <w:pPr>
        <w:pStyle w:val="ListBullet"/>
        <w:spacing w:line="240" w:lineRule="auto"/>
        <w:ind w:right="1440"/>
        <w:rPr>
          <w:sz w:val="26"/>
          <w:szCs w:val="26"/>
        </w:rPr>
      </w:pPr>
      <w:r w:rsidRPr="008A2A1B">
        <w:rPr>
          <w:sz w:val="26"/>
          <w:szCs w:val="26"/>
        </w:rPr>
        <w:t>Should the Commission use some elements of FCC orders but not others as models for ensuring just and reasonable, and affordable, IPCS rates in California?</w:t>
      </w:r>
    </w:p>
    <w:p w:rsidRPr="00371A13" w:rsidR="00DC677F" w:rsidP="00543636" w:rsidRDefault="00DC677F" w14:paraId="5A8205E0" w14:textId="1A1BB331">
      <w:pPr>
        <w:pStyle w:val="ListBullet"/>
        <w:numPr>
          <w:ilvl w:val="0"/>
          <w:numId w:val="0"/>
        </w:numPr>
        <w:spacing w:after="0"/>
        <w:ind w:left="720"/>
        <w:rPr>
          <w:sz w:val="26"/>
          <w:szCs w:val="26"/>
        </w:rPr>
      </w:pPr>
      <w:r w:rsidRPr="00371A13">
        <w:rPr>
          <w:sz w:val="26"/>
          <w:szCs w:val="26"/>
        </w:rPr>
        <w:t>The April 2021 ALJ Ruling then requested party comment on the following questions:</w:t>
      </w:r>
    </w:p>
    <w:p w:rsidRPr="008A2A1B" w:rsidR="00BC7F51" w:rsidP="00543636" w:rsidRDefault="00BC7F51" w14:paraId="7CABB18B" w14:textId="77777777">
      <w:pPr>
        <w:pStyle w:val="ListBullet"/>
        <w:spacing w:line="240" w:lineRule="auto"/>
        <w:ind w:right="1440"/>
        <w:rPr>
          <w:sz w:val="26"/>
          <w:szCs w:val="26"/>
        </w:rPr>
      </w:pPr>
      <w:r w:rsidRPr="008A2A1B">
        <w:rPr>
          <w:sz w:val="26"/>
          <w:szCs w:val="26"/>
        </w:rPr>
        <w:t xml:space="preserve">Do parties agree with the Staff Proposal’s recommendation for the Commission to adopt the FCC’s interim rate caps of $0.21 per minute for debit and prepaid calls and $0.25 per minute for collect calls for intrastate calling services on an interim basis? </w:t>
      </w:r>
    </w:p>
    <w:p w:rsidRPr="008A2A1B" w:rsidR="00BC7F51" w:rsidP="00543636" w:rsidRDefault="00BC7F51" w14:paraId="6A4D9FDE" w14:textId="22E1E092">
      <w:pPr>
        <w:pStyle w:val="ListBullet"/>
        <w:spacing w:line="240" w:lineRule="auto"/>
        <w:ind w:right="1440"/>
        <w:rPr>
          <w:sz w:val="26"/>
          <w:szCs w:val="26"/>
        </w:rPr>
      </w:pPr>
      <w:r w:rsidRPr="008A2A1B">
        <w:rPr>
          <w:sz w:val="26"/>
          <w:szCs w:val="26"/>
        </w:rPr>
        <w:t xml:space="preserve">Do parties agree with Staff’s proposal that if the FCC further lowers its interstate rate caps, the Commission should modify any adopted interim intrastate </w:t>
      </w:r>
      <w:r w:rsidR="007E37A6">
        <w:rPr>
          <w:sz w:val="26"/>
          <w:szCs w:val="26"/>
        </w:rPr>
        <w:t xml:space="preserve">IPCS </w:t>
      </w:r>
      <w:r w:rsidRPr="008A2A1B">
        <w:rPr>
          <w:sz w:val="26"/>
          <w:szCs w:val="26"/>
        </w:rPr>
        <w:t xml:space="preserve">rates to reflect the FCC’s updated rates? </w:t>
      </w:r>
    </w:p>
    <w:p w:rsidRPr="008A2A1B" w:rsidR="00BC7F51" w:rsidP="00543636" w:rsidRDefault="00BC7F51" w14:paraId="33B626A8" w14:textId="5F2234DF">
      <w:pPr>
        <w:pStyle w:val="ListBullet"/>
        <w:spacing w:line="240" w:lineRule="auto"/>
        <w:ind w:right="1440"/>
        <w:rPr>
          <w:sz w:val="26"/>
          <w:szCs w:val="26"/>
        </w:rPr>
      </w:pPr>
      <w:r w:rsidRPr="008A2A1B">
        <w:rPr>
          <w:sz w:val="26"/>
          <w:szCs w:val="26"/>
        </w:rPr>
        <w:t>Should the Commission adopt Staff’s Interim Proposal for</w:t>
      </w:r>
      <w:r w:rsidRPr="008A2A1B" w:rsidR="005B2466">
        <w:rPr>
          <w:sz w:val="26"/>
          <w:szCs w:val="26"/>
        </w:rPr>
        <w:t xml:space="preserve"> Rate Relief? Why or why not?</w:t>
      </w:r>
    </w:p>
    <w:p w:rsidR="007E37A6" w:rsidP="002A21A7" w:rsidRDefault="002A21A7" w14:paraId="7D94EB93" w14:textId="77777777">
      <w:pPr>
        <w:pStyle w:val="Standard"/>
        <w:ind w:firstLine="720"/>
        <w:rPr>
          <w:sz w:val="26"/>
          <w:szCs w:val="26"/>
        </w:rPr>
      </w:pPr>
      <w:r>
        <w:rPr>
          <w:sz w:val="26"/>
          <w:szCs w:val="26"/>
        </w:rPr>
        <w:t>This section presents Staff</w:t>
      </w:r>
      <w:r w:rsidR="003B148B">
        <w:rPr>
          <w:sz w:val="26"/>
          <w:szCs w:val="26"/>
        </w:rPr>
        <w:t xml:space="preserve"> and </w:t>
      </w:r>
      <w:proofErr w:type="gramStart"/>
      <w:r w:rsidR="00C117DB">
        <w:rPr>
          <w:sz w:val="26"/>
          <w:szCs w:val="26"/>
        </w:rPr>
        <w:t>parties’</w:t>
      </w:r>
      <w:proofErr w:type="gramEnd"/>
      <w:r w:rsidR="003B148B">
        <w:rPr>
          <w:sz w:val="26"/>
          <w:szCs w:val="26"/>
        </w:rPr>
        <w:t xml:space="preserve"> proposed interim </w:t>
      </w:r>
      <w:r w:rsidR="00CA207A">
        <w:rPr>
          <w:sz w:val="26"/>
          <w:szCs w:val="26"/>
        </w:rPr>
        <w:t xml:space="preserve">intrastate IPCS </w:t>
      </w:r>
      <w:r w:rsidR="003B148B">
        <w:rPr>
          <w:sz w:val="26"/>
          <w:szCs w:val="26"/>
        </w:rPr>
        <w:t xml:space="preserve">rate </w:t>
      </w:r>
      <w:r w:rsidR="00CA207A">
        <w:rPr>
          <w:sz w:val="26"/>
          <w:szCs w:val="26"/>
        </w:rPr>
        <w:t xml:space="preserve">caps to provide immediate </w:t>
      </w:r>
      <w:r w:rsidR="003B148B">
        <w:rPr>
          <w:sz w:val="26"/>
          <w:szCs w:val="26"/>
        </w:rPr>
        <w:t>relief</w:t>
      </w:r>
      <w:r w:rsidR="00CA207A">
        <w:rPr>
          <w:sz w:val="26"/>
          <w:szCs w:val="26"/>
        </w:rPr>
        <w:t xml:space="preserve"> to incarcerated people and their families.  </w:t>
      </w:r>
      <w:r w:rsidR="00115E7B">
        <w:rPr>
          <w:sz w:val="26"/>
          <w:szCs w:val="26"/>
        </w:rPr>
        <w:t xml:space="preserve">It then reviews </w:t>
      </w:r>
      <w:r>
        <w:rPr>
          <w:sz w:val="26"/>
          <w:szCs w:val="26"/>
        </w:rPr>
        <w:t xml:space="preserve">party comments on these proposals.  </w:t>
      </w:r>
    </w:p>
    <w:p w:rsidR="002A21A7" w:rsidP="002A21A7" w:rsidRDefault="002A21A7" w14:paraId="435484C9" w14:textId="600C2F73">
      <w:pPr>
        <w:pStyle w:val="Standard"/>
        <w:ind w:firstLine="720"/>
        <w:rPr>
          <w:sz w:val="26"/>
          <w:szCs w:val="26"/>
        </w:rPr>
      </w:pPr>
      <w:r w:rsidRPr="00E949C5">
        <w:rPr>
          <w:sz w:val="26"/>
          <w:szCs w:val="26"/>
        </w:rPr>
        <w:lastRenderedPageBreak/>
        <w:t>Based on careful review of</w:t>
      </w:r>
      <w:r w:rsidR="00371A13">
        <w:rPr>
          <w:sz w:val="26"/>
          <w:szCs w:val="26"/>
        </w:rPr>
        <w:t xml:space="preserve"> the record in this proceeding, we </w:t>
      </w:r>
      <w:r w:rsidRPr="00E949C5">
        <w:rPr>
          <w:sz w:val="26"/>
          <w:szCs w:val="26"/>
        </w:rPr>
        <w:t xml:space="preserve">adopt </w:t>
      </w:r>
      <w:r w:rsidR="007E37A6">
        <w:rPr>
          <w:sz w:val="26"/>
          <w:szCs w:val="26"/>
        </w:rPr>
        <w:t xml:space="preserve">here </w:t>
      </w:r>
      <w:r w:rsidRPr="00E949C5">
        <w:rPr>
          <w:sz w:val="26"/>
          <w:szCs w:val="26"/>
        </w:rPr>
        <w:t xml:space="preserve">an interim rate cap of seven cents ($0.07) per minute for all intrastate IPCS calls in California. </w:t>
      </w:r>
      <w:r>
        <w:rPr>
          <w:sz w:val="26"/>
          <w:szCs w:val="26"/>
        </w:rPr>
        <w:t xml:space="preserve"> Adopting an interim rate cap of $0.07 per minute provides immediate rate relief to approximately </w:t>
      </w:r>
      <w:r w:rsidR="00A06D4D">
        <w:rPr>
          <w:sz w:val="26"/>
          <w:szCs w:val="26"/>
        </w:rPr>
        <w:t>171,0</w:t>
      </w:r>
      <w:r w:rsidR="00CA01C4">
        <w:rPr>
          <w:sz w:val="26"/>
          <w:szCs w:val="26"/>
        </w:rPr>
        <w:t>00</w:t>
      </w:r>
      <w:r w:rsidR="00B119E2">
        <w:rPr>
          <w:sz w:val="26"/>
          <w:szCs w:val="26"/>
        </w:rPr>
        <w:t xml:space="preserve"> </w:t>
      </w:r>
      <w:r>
        <w:rPr>
          <w:sz w:val="26"/>
          <w:szCs w:val="26"/>
        </w:rPr>
        <w:t>incarcerated people located at</w:t>
      </w:r>
      <w:r w:rsidR="000322B2">
        <w:rPr>
          <w:sz w:val="26"/>
          <w:szCs w:val="26"/>
        </w:rPr>
        <w:t xml:space="preserve"> 343</w:t>
      </w:r>
      <w:r>
        <w:rPr>
          <w:sz w:val="26"/>
          <w:szCs w:val="26"/>
        </w:rPr>
        <w:t xml:space="preserve"> incarceration facilities in California.</w:t>
      </w:r>
      <w:r w:rsidR="00B119E2">
        <w:rPr>
          <w:rStyle w:val="FootnoteReference"/>
          <w:sz w:val="26"/>
          <w:szCs w:val="26"/>
        </w:rPr>
        <w:footnoteReference w:id="135"/>
      </w:r>
      <w:r w:rsidR="00B119E2">
        <w:rPr>
          <w:sz w:val="26"/>
          <w:szCs w:val="26"/>
        </w:rPr>
        <w:t xml:space="preserve"> </w:t>
      </w:r>
      <w:r>
        <w:rPr>
          <w:sz w:val="26"/>
          <w:szCs w:val="26"/>
        </w:rPr>
        <w:t xml:space="preserve"> </w:t>
      </w:r>
      <w:bookmarkStart w:name="_Hlk76120717" w:id="40"/>
      <w:r w:rsidR="00371A13">
        <w:rPr>
          <w:sz w:val="26"/>
          <w:szCs w:val="26"/>
        </w:rPr>
        <w:t>This interim rate cap applies to all prisons and jails in California and will remain in effect until we adopt a permanent IPCS intrastate rate cap later in this proceeding.</w:t>
      </w:r>
      <w:bookmarkEnd w:id="40"/>
    </w:p>
    <w:p w:rsidRPr="00256853" w:rsidR="00256853" w:rsidP="00256853" w:rsidRDefault="008A2A1B" w14:paraId="1CFB874C" w14:textId="1EE975F7">
      <w:pPr>
        <w:pStyle w:val="Heading2"/>
      </w:pPr>
      <w:bookmarkStart w:name="_Toc80089402" w:id="41"/>
      <w:r>
        <w:t>6.1</w:t>
      </w:r>
      <w:r>
        <w:tab/>
      </w:r>
      <w:r w:rsidR="00256853">
        <w:t>Initial and Revised</w:t>
      </w:r>
      <w:r w:rsidRPr="00225EE2" w:rsidR="00256853">
        <w:t xml:space="preserve"> </w:t>
      </w:r>
      <w:r w:rsidR="00256853">
        <w:t xml:space="preserve">Staff </w:t>
      </w:r>
      <w:r w:rsidRPr="00225EE2" w:rsidR="00256853">
        <w:t>Proposal</w:t>
      </w:r>
      <w:r w:rsidR="00CE480C">
        <w:t xml:space="preserve"> </w:t>
      </w:r>
      <w:r w:rsidR="00543636">
        <w:br/>
      </w:r>
      <w:r w:rsidR="00CE480C">
        <w:t>for Interim Rate Relief</w:t>
      </w:r>
      <w:bookmarkEnd w:id="41"/>
    </w:p>
    <w:p w:rsidR="009715F9" w:rsidP="009715F9" w:rsidRDefault="00F65E1E" w14:paraId="3EDCBDC7" w14:textId="49A8932A">
      <w:pPr>
        <w:pStyle w:val="Standard"/>
        <w:ind w:firstLine="720"/>
        <w:rPr>
          <w:sz w:val="26"/>
          <w:szCs w:val="26"/>
        </w:rPr>
      </w:pPr>
      <w:r>
        <w:rPr>
          <w:sz w:val="26"/>
          <w:szCs w:val="26"/>
        </w:rPr>
        <w:t>B</w:t>
      </w:r>
      <w:r w:rsidR="00225EE2">
        <w:rPr>
          <w:sz w:val="26"/>
          <w:szCs w:val="26"/>
        </w:rPr>
        <w:t>ased on their review of IPCS data</w:t>
      </w:r>
      <w:r>
        <w:rPr>
          <w:sz w:val="26"/>
          <w:szCs w:val="26"/>
        </w:rPr>
        <w:t xml:space="preserve"> as summarized in </w:t>
      </w:r>
      <w:r w:rsidR="00543636">
        <w:rPr>
          <w:sz w:val="26"/>
          <w:szCs w:val="26"/>
        </w:rPr>
        <w:t>S</w:t>
      </w:r>
      <w:r>
        <w:rPr>
          <w:sz w:val="26"/>
          <w:szCs w:val="26"/>
        </w:rPr>
        <w:t>ection 5</w:t>
      </w:r>
      <w:r w:rsidR="00225EE2">
        <w:rPr>
          <w:sz w:val="26"/>
          <w:szCs w:val="26"/>
        </w:rPr>
        <w:t xml:space="preserve">, </w:t>
      </w:r>
      <w:r w:rsidRPr="00225EE2" w:rsidR="00225EE2">
        <w:rPr>
          <w:sz w:val="26"/>
          <w:szCs w:val="26"/>
        </w:rPr>
        <w:t>Staff assert that the intrastate per-minute-of-use rates and ancillary service rates being charged to in</w:t>
      </w:r>
      <w:r w:rsidR="00362AB6">
        <w:rPr>
          <w:sz w:val="26"/>
          <w:szCs w:val="26"/>
        </w:rPr>
        <w:t>carcerated persons</w:t>
      </w:r>
      <w:r w:rsidRPr="00225EE2" w:rsidR="00225EE2">
        <w:rPr>
          <w:sz w:val="26"/>
          <w:szCs w:val="26"/>
        </w:rPr>
        <w:t xml:space="preserve"> in California are </w:t>
      </w:r>
      <w:r>
        <w:rPr>
          <w:sz w:val="26"/>
          <w:szCs w:val="26"/>
        </w:rPr>
        <w:t xml:space="preserve">unjust and </w:t>
      </w:r>
      <w:r w:rsidRPr="00225EE2" w:rsidR="00225EE2">
        <w:rPr>
          <w:sz w:val="26"/>
          <w:szCs w:val="26"/>
        </w:rPr>
        <w:t xml:space="preserve">unreasonable.  </w:t>
      </w:r>
      <w:r w:rsidR="00225EE2">
        <w:rPr>
          <w:sz w:val="26"/>
          <w:szCs w:val="26"/>
        </w:rPr>
        <w:t xml:space="preserve">To address this, </w:t>
      </w:r>
      <w:r w:rsidR="00E32161">
        <w:rPr>
          <w:sz w:val="26"/>
          <w:szCs w:val="26"/>
        </w:rPr>
        <w:t xml:space="preserve">the initial </w:t>
      </w:r>
      <w:r w:rsidR="00AD4561">
        <w:rPr>
          <w:sz w:val="26"/>
          <w:szCs w:val="26"/>
        </w:rPr>
        <w:t xml:space="preserve">Staff Proposal </w:t>
      </w:r>
      <w:r w:rsidR="009255C5">
        <w:rPr>
          <w:sz w:val="26"/>
          <w:szCs w:val="26"/>
        </w:rPr>
        <w:t>recommend</w:t>
      </w:r>
      <w:r w:rsidR="0031719B">
        <w:rPr>
          <w:sz w:val="26"/>
          <w:szCs w:val="26"/>
        </w:rPr>
        <w:t>s</w:t>
      </w:r>
      <w:r w:rsidR="009255C5">
        <w:rPr>
          <w:sz w:val="26"/>
          <w:szCs w:val="26"/>
        </w:rPr>
        <w:t xml:space="preserve"> t</w:t>
      </w:r>
      <w:r w:rsidR="0031719B">
        <w:rPr>
          <w:sz w:val="26"/>
          <w:szCs w:val="26"/>
        </w:rPr>
        <w:t xml:space="preserve">he Commission </w:t>
      </w:r>
      <w:r w:rsidRPr="00225EE2" w:rsidR="00225EE2">
        <w:rPr>
          <w:sz w:val="26"/>
          <w:szCs w:val="26"/>
        </w:rPr>
        <w:t>adopt the FCC’s 201</w:t>
      </w:r>
      <w:r>
        <w:rPr>
          <w:sz w:val="26"/>
          <w:szCs w:val="26"/>
        </w:rPr>
        <w:t>5 Order</w:t>
      </w:r>
      <w:r w:rsidRPr="00225EE2" w:rsidR="00225EE2">
        <w:rPr>
          <w:sz w:val="26"/>
          <w:szCs w:val="26"/>
        </w:rPr>
        <w:t xml:space="preserve"> interstate IPCS rate caps of $0.21 per minute for debit and prepaid calls and $0.25 per minute for collect calls</w:t>
      </w:r>
      <w:r w:rsidR="009255C5">
        <w:rPr>
          <w:sz w:val="26"/>
          <w:szCs w:val="26"/>
        </w:rPr>
        <w:t xml:space="preserve">.  </w:t>
      </w:r>
      <w:r w:rsidRPr="00895550" w:rsidR="00895550">
        <w:rPr>
          <w:sz w:val="26"/>
          <w:szCs w:val="26"/>
        </w:rPr>
        <w:t xml:space="preserve">The initial Staff Proposal </w:t>
      </w:r>
      <w:r w:rsidR="00895550">
        <w:rPr>
          <w:sz w:val="26"/>
          <w:szCs w:val="26"/>
        </w:rPr>
        <w:t xml:space="preserve">further </w:t>
      </w:r>
      <w:r w:rsidRPr="00895550" w:rsidR="00895550">
        <w:rPr>
          <w:sz w:val="26"/>
          <w:szCs w:val="26"/>
        </w:rPr>
        <w:t xml:space="preserve">recommends </w:t>
      </w:r>
      <w:r w:rsidR="00895550">
        <w:rPr>
          <w:sz w:val="26"/>
          <w:szCs w:val="26"/>
        </w:rPr>
        <w:t>the Commission</w:t>
      </w:r>
      <w:r w:rsidRPr="00895550" w:rsidR="00895550">
        <w:rPr>
          <w:sz w:val="26"/>
          <w:szCs w:val="26"/>
        </w:rPr>
        <w:t xml:space="preserve"> adopt the FCC’s 2021 rates when they become formally adopted</w:t>
      </w:r>
      <w:r w:rsidR="00895550">
        <w:rPr>
          <w:sz w:val="26"/>
          <w:szCs w:val="26"/>
        </w:rPr>
        <w:t>.</w:t>
      </w:r>
      <w:r w:rsidR="00895550">
        <w:rPr>
          <w:rStyle w:val="FootnoteReference"/>
          <w:sz w:val="26"/>
          <w:szCs w:val="26"/>
        </w:rPr>
        <w:footnoteReference w:id="136"/>
      </w:r>
      <w:r w:rsidRPr="00895550" w:rsidR="00895550">
        <w:rPr>
          <w:sz w:val="26"/>
          <w:szCs w:val="26"/>
        </w:rPr>
        <w:t xml:space="preserve"> </w:t>
      </w:r>
      <w:r w:rsidR="009715F9">
        <w:rPr>
          <w:sz w:val="26"/>
          <w:szCs w:val="26"/>
        </w:rPr>
        <w:t xml:space="preserve"> </w:t>
      </w:r>
    </w:p>
    <w:p w:rsidR="00594060" w:rsidP="009715F9" w:rsidRDefault="00E32161" w14:paraId="3844E59F" w14:textId="3E533870">
      <w:pPr>
        <w:pStyle w:val="Standard"/>
        <w:ind w:firstLine="720"/>
        <w:rPr>
          <w:sz w:val="26"/>
          <w:szCs w:val="26"/>
        </w:rPr>
      </w:pPr>
      <w:r>
        <w:rPr>
          <w:sz w:val="26"/>
          <w:szCs w:val="26"/>
        </w:rPr>
        <w:t xml:space="preserve">The Revised Staff Proposal </w:t>
      </w:r>
      <w:r w:rsidR="009255C5">
        <w:rPr>
          <w:sz w:val="26"/>
          <w:szCs w:val="26"/>
        </w:rPr>
        <w:t>recommend</w:t>
      </w:r>
      <w:r>
        <w:rPr>
          <w:sz w:val="26"/>
          <w:szCs w:val="26"/>
        </w:rPr>
        <w:t>s</w:t>
      </w:r>
      <w:r w:rsidR="009255C5">
        <w:rPr>
          <w:sz w:val="26"/>
          <w:szCs w:val="26"/>
        </w:rPr>
        <w:t xml:space="preserve"> </w:t>
      </w:r>
      <w:r w:rsidR="00E3753C">
        <w:rPr>
          <w:sz w:val="26"/>
          <w:szCs w:val="26"/>
        </w:rPr>
        <w:t>t</w:t>
      </w:r>
      <w:r w:rsidR="00895550">
        <w:rPr>
          <w:sz w:val="26"/>
          <w:szCs w:val="26"/>
        </w:rPr>
        <w:t xml:space="preserve">hat the Commission </w:t>
      </w:r>
      <w:r w:rsidR="00E3753C">
        <w:rPr>
          <w:sz w:val="26"/>
          <w:szCs w:val="26"/>
        </w:rPr>
        <w:t xml:space="preserve">immediately </w:t>
      </w:r>
      <w:r w:rsidR="009255C5">
        <w:rPr>
          <w:sz w:val="26"/>
          <w:szCs w:val="26"/>
        </w:rPr>
        <w:t xml:space="preserve">adopt </w:t>
      </w:r>
      <w:r w:rsidR="00706C51">
        <w:rPr>
          <w:sz w:val="26"/>
          <w:szCs w:val="26"/>
        </w:rPr>
        <w:t xml:space="preserve">the </w:t>
      </w:r>
      <w:r w:rsidRPr="00225EE2" w:rsidR="00706C51">
        <w:rPr>
          <w:sz w:val="26"/>
          <w:szCs w:val="26"/>
        </w:rPr>
        <w:t>FCC</w:t>
      </w:r>
      <w:r w:rsidR="00706C51">
        <w:rPr>
          <w:sz w:val="26"/>
          <w:szCs w:val="26"/>
        </w:rPr>
        <w:t>’s 2021</w:t>
      </w:r>
      <w:r w:rsidRPr="00225EE2" w:rsidR="00706C51">
        <w:rPr>
          <w:sz w:val="26"/>
          <w:szCs w:val="26"/>
        </w:rPr>
        <w:t xml:space="preserve"> </w:t>
      </w:r>
      <w:r w:rsidR="00706C51">
        <w:rPr>
          <w:sz w:val="26"/>
          <w:szCs w:val="26"/>
        </w:rPr>
        <w:t xml:space="preserve">Third Order </w:t>
      </w:r>
      <w:r w:rsidR="00F65E1E">
        <w:rPr>
          <w:sz w:val="26"/>
          <w:szCs w:val="26"/>
        </w:rPr>
        <w:t xml:space="preserve">rate caps </w:t>
      </w:r>
      <w:r w:rsidRPr="00225EE2" w:rsidR="00225EE2">
        <w:rPr>
          <w:sz w:val="26"/>
          <w:szCs w:val="26"/>
        </w:rPr>
        <w:t>of $0.14 per minute for debit, prepaid, and collect calls from prisons and $0.16 per minute for debit, prepaid, and collect calls from jails</w:t>
      </w:r>
      <w:r w:rsidR="00D30C23">
        <w:rPr>
          <w:sz w:val="26"/>
          <w:szCs w:val="26"/>
        </w:rPr>
        <w:t xml:space="preserve">.  </w:t>
      </w:r>
      <w:r w:rsidR="006F336A">
        <w:rPr>
          <w:sz w:val="26"/>
          <w:szCs w:val="26"/>
        </w:rPr>
        <w:t xml:space="preserve">These </w:t>
      </w:r>
      <w:r w:rsidR="00E85718">
        <w:rPr>
          <w:sz w:val="26"/>
          <w:szCs w:val="26"/>
        </w:rPr>
        <w:t xml:space="preserve">proposed levels </w:t>
      </w:r>
      <w:r w:rsidR="006F336A">
        <w:rPr>
          <w:sz w:val="26"/>
          <w:szCs w:val="26"/>
        </w:rPr>
        <w:t xml:space="preserve">include </w:t>
      </w:r>
      <w:r w:rsidR="00E85718">
        <w:rPr>
          <w:sz w:val="26"/>
          <w:szCs w:val="26"/>
        </w:rPr>
        <w:t xml:space="preserve">an FCC allowance for </w:t>
      </w:r>
      <w:r w:rsidR="006F336A">
        <w:rPr>
          <w:sz w:val="26"/>
          <w:szCs w:val="26"/>
        </w:rPr>
        <w:t xml:space="preserve">revenue collection capped at $0.02 per minute for site commission payments where these relate specifically to calling services and result from contractual </w:t>
      </w:r>
      <w:r w:rsidR="006F336A">
        <w:rPr>
          <w:sz w:val="26"/>
          <w:szCs w:val="26"/>
        </w:rPr>
        <w:lastRenderedPageBreak/>
        <w:t>obligations or negotiations between providers and facilities</w:t>
      </w:r>
      <w:r w:rsidRPr="00225EE2" w:rsidR="006F336A">
        <w:rPr>
          <w:sz w:val="26"/>
          <w:szCs w:val="26"/>
        </w:rPr>
        <w:t>.</w:t>
      </w:r>
      <w:r w:rsidRPr="00225EE2" w:rsidR="006F336A">
        <w:rPr>
          <w:sz w:val="26"/>
          <w:szCs w:val="26"/>
          <w:vertAlign w:val="superscript"/>
        </w:rPr>
        <w:footnoteReference w:id="137"/>
      </w:r>
      <w:r w:rsidRPr="00225EE2" w:rsidR="006F336A">
        <w:rPr>
          <w:sz w:val="26"/>
          <w:szCs w:val="26"/>
        </w:rPr>
        <w:t xml:space="preserve">  </w:t>
      </w:r>
      <w:r w:rsidR="00E45C2B">
        <w:rPr>
          <w:sz w:val="26"/>
          <w:szCs w:val="26"/>
        </w:rPr>
        <w:t xml:space="preserve">The </w:t>
      </w:r>
      <w:r w:rsidR="00706C51">
        <w:rPr>
          <w:sz w:val="26"/>
          <w:szCs w:val="26"/>
        </w:rPr>
        <w:t xml:space="preserve">Revised Proposal states that </w:t>
      </w:r>
      <w:r w:rsidR="006B12E7">
        <w:rPr>
          <w:sz w:val="26"/>
          <w:szCs w:val="26"/>
        </w:rPr>
        <w:t>under the FCC’s</w:t>
      </w:r>
      <w:r w:rsidR="00706C51">
        <w:rPr>
          <w:sz w:val="26"/>
          <w:szCs w:val="26"/>
        </w:rPr>
        <w:t xml:space="preserve"> Third Order rates of $0.14 per minute for jails and $0.16 per minute for prisons, the </w:t>
      </w:r>
      <w:r w:rsidRPr="00225EE2" w:rsidR="00225EE2">
        <w:rPr>
          <w:sz w:val="26"/>
          <w:szCs w:val="26"/>
        </w:rPr>
        <w:t xml:space="preserve">price for a 15-minute </w:t>
      </w:r>
      <w:r w:rsidR="00EE0D3D">
        <w:rPr>
          <w:sz w:val="26"/>
          <w:szCs w:val="26"/>
        </w:rPr>
        <w:t xml:space="preserve">intrastate IPCS </w:t>
      </w:r>
      <w:r w:rsidRPr="00225EE2" w:rsidR="00225EE2">
        <w:rPr>
          <w:sz w:val="26"/>
          <w:szCs w:val="26"/>
        </w:rPr>
        <w:t xml:space="preserve">phone call would be reduced from as much as $26.25 to a range of </w:t>
      </w:r>
      <w:r w:rsidRPr="00BF142C" w:rsidR="00BF142C">
        <w:rPr>
          <w:sz w:val="26"/>
          <w:szCs w:val="26"/>
        </w:rPr>
        <w:t>$2.10</w:t>
      </w:r>
      <w:r w:rsidR="00573139">
        <w:rPr>
          <w:sz w:val="26"/>
          <w:szCs w:val="26"/>
        </w:rPr>
        <w:noBreakHyphen/>
      </w:r>
      <w:r w:rsidRPr="00BF142C" w:rsidR="00BF142C">
        <w:rPr>
          <w:sz w:val="26"/>
          <w:szCs w:val="26"/>
        </w:rPr>
        <w:t>$2.40</w:t>
      </w:r>
      <w:r w:rsidR="006B12E7">
        <w:rPr>
          <w:sz w:val="26"/>
          <w:szCs w:val="26"/>
        </w:rPr>
        <w:t xml:space="preserve">, </w:t>
      </w:r>
      <w:r w:rsidRPr="000D000A" w:rsidR="006B12E7">
        <w:rPr>
          <w:sz w:val="26"/>
          <w:szCs w:val="26"/>
        </w:rPr>
        <w:t>excluding ancillary fees</w:t>
      </w:r>
      <w:r w:rsidR="006B12E7">
        <w:rPr>
          <w:sz w:val="26"/>
          <w:szCs w:val="26"/>
        </w:rPr>
        <w:t>.</w:t>
      </w:r>
      <w:r w:rsidR="00BF142C">
        <w:rPr>
          <w:rStyle w:val="FootnoteReference"/>
          <w:sz w:val="26"/>
          <w:szCs w:val="26"/>
        </w:rPr>
        <w:footnoteReference w:id="138"/>
      </w:r>
      <w:r w:rsidRPr="00225EE2" w:rsidR="00225EE2">
        <w:rPr>
          <w:sz w:val="26"/>
          <w:szCs w:val="26"/>
        </w:rPr>
        <w:t xml:space="preserve">  Over </w:t>
      </w:r>
      <w:r w:rsidR="00803E86">
        <w:rPr>
          <w:sz w:val="26"/>
          <w:szCs w:val="26"/>
        </w:rPr>
        <w:t>64,</w:t>
      </w:r>
      <w:r w:rsidR="00594060">
        <w:rPr>
          <w:sz w:val="26"/>
          <w:szCs w:val="26"/>
        </w:rPr>
        <w:t>000</w:t>
      </w:r>
      <w:r w:rsidRPr="00225EE2" w:rsidR="00225EE2">
        <w:rPr>
          <w:sz w:val="26"/>
          <w:szCs w:val="26"/>
        </w:rPr>
        <w:t xml:space="preserve"> incarcerated persons would see immediate rate reductions </w:t>
      </w:r>
      <w:r w:rsidR="006B12E7">
        <w:rPr>
          <w:sz w:val="26"/>
          <w:szCs w:val="26"/>
        </w:rPr>
        <w:t xml:space="preserve">under </w:t>
      </w:r>
      <w:r w:rsidR="00EC1567">
        <w:rPr>
          <w:sz w:val="26"/>
          <w:szCs w:val="26"/>
        </w:rPr>
        <w:t xml:space="preserve">Staff’s </w:t>
      </w:r>
      <w:r w:rsidR="006B12E7">
        <w:rPr>
          <w:sz w:val="26"/>
          <w:szCs w:val="26"/>
        </w:rPr>
        <w:t>R</w:t>
      </w:r>
      <w:r w:rsidR="00EC1567">
        <w:rPr>
          <w:sz w:val="26"/>
          <w:szCs w:val="26"/>
        </w:rPr>
        <w:t xml:space="preserve">evised </w:t>
      </w:r>
      <w:r w:rsidR="006B12E7">
        <w:rPr>
          <w:sz w:val="26"/>
          <w:szCs w:val="26"/>
        </w:rPr>
        <w:t>P</w:t>
      </w:r>
      <w:r w:rsidRPr="00225EE2" w:rsidR="00225EE2">
        <w:rPr>
          <w:sz w:val="26"/>
          <w:szCs w:val="26"/>
        </w:rPr>
        <w:t>ropo</w:t>
      </w:r>
      <w:r w:rsidR="006B12E7">
        <w:rPr>
          <w:sz w:val="26"/>
          <w:szCs w:val="26"/>
        </w:rPr>
        <w:t xml:space="preserve">sal </w:t>
      </w:r>
      <w:r w:rsidR="00EC1567">
        <w:rPr>
          <w:sz w:val="26"/>
          <w:szCs w:val="26"/>
        </w:rPr>
        <w:t xml:space="preserve">because </w:t>
      </w:r>
      <w:r w:rsidR="00BA328A">
        <w:rPr>
          <w:sz w:val="26"/>
          <w:szCs w:val="26"/>
        </w:rPr>
        <w:t>218</w:t>
      </w:r>
      <w:r w:rsidR="00573139">
        <w:rPr>
          <w:sz w:val="26"/>
          <w:szCs w:val="26"/>
        </w:rPr>
        <w:t> </w:t>
      </w:r>
      <w:r w:rsidRPr="00225EE2" w:rsidR="00225EE2">
        <w:rPr>
          <w:sz w:val="26"/>
          <w:szCs w:val="26"/>
        </w:rPr>
        <w:t xml:space="preserve">California incarceration facilities </w:t>
      </w:r>
      <w:r w:rsidR="006B12E7">
        <w:rPr>
          <w:sz w:val="26"/>
          <w:szCs w:val="26"/>
        </w:rPr>
        <w:t xml:space="preserve">currently </w:t>
      </w:r>
      <w:r w:rsidRPr="00225EE2" w:rsidR="00225EE2">
        <w:rPr>
          <w:sz w:val="26"/>
          <w:szCs w:val="26"/>
        </w:rPr>
        <w:t xml:space="preserve">have rates </w:t>
      </w:r>
      <w:r w:rsidR="00487B70">
        <w:rPr>
          <w:sz w:val="26"/>
          <w:szCs w:val="26"/>
        </w:rPr>
        <w:t xml:space="preserve">greater than </w:t>
      </w:r>
      <w:r w:rsidRPr="00225EE2" w:rsidR="00225EE2">
        <w:rPr>
          <w:sz w:val="26"/>
          <w:szCs w:val="26"/>
        </w:rPr>
        <w:t>$0.</w:t>
      </w:r>
      <w:r w:rsidR="00BA328A">
        <w:rPr>
          <w:sz w:val="26"/>
          <w:szCs w:val="26"/>
        </w:rPr>
        <w:t>16</w:t>
      </w:r>
      <w:r w:rsidRPr="00225EE2" w:rsidR="00225EE2">
        <w:rPr>
          <w:sz w:val="26"/>
          <w:szCs w:val="26"/>
        </w:rPr>
        <w:t xml:space="preserve"> per minute</w:t>
      </w:r>
      <w:r w:rsidR="00EC1567">
        <w:rPr>
          <w:sz w:val="26"/>
          <w:szCs w:val="26"/>
        </w:rPr>
        <w:t>.</w:t>
      </w:r>
      <w:r w:rsidR="00EC1567">
        <w:rPr>
          <w:rStyle w:val="FootnoteReference"/>
          <w:sz w:val="26"/>
          <w:szCs w:val="26"/>
        </w:rPr>
        <w:footnoteReference w:id="139"/>
      </w:r>
      <w:r w:rsidR="009715F9">
        <w:rPr>
          <w:sz w:val="26"/>
          <w:szCs w:val="26"/>
        </w:rPr>
        <w:t xml:space="preserve">  </w:t>
      </w:r>
    </w:p>
    <w:p w:rsidR="002F0081" w:rsidP="002F0081" w:rsidRDefault="3BEB9C06" w14:paraId="45659D74" w14:textId="476874E2">
      <w:pPr>
        <w:pStyle w:val="Standard"/>
        <w:ind w:firstLine="720"/>
        <w:rPr>
          <w:sz w:val="26"/>
          <w:szCs w:val="26"/>
        </w:rPr>
      </w:pPr>
      <w:r w:rsidRPr="00225EE2">
        <w:rPr>
          <w:sz w:val="26"/>
          <w:szCs w:val="26"/>
        </w:rPr>
        <w:t xml:space="preserve">Staff recommends that the Commission adopt its </w:t>
      </w:r>
      <w:r w:rsidR="472BDF93">
        <w:rPr>
          <w:sz w:val="26"/>
          <w:szCs w:val="26"/>
        </w:rPr>
        <w:t>Revised P</w:t>
      </w:r>
      <w:r w:rsidRPr="00225EE2">
        <w:rPr>
          <w:sz w:val="26"/>
          <w:szCs w:val="26"/>
        </w:rPr>
        <w:t>roposal</w:t>
      </w:r>
      <w:r w:rsidR="472BDF93">
        <w:rPr>
          <w:sz w:val="26"/>
          <w:szCs w:val="26"/>
        </w:rPr>
        <w:t xml:space="preserve"> </w:t>
      </w:r>
      <w:r w:rsidRPr="00225EE2">
        <w:rPr>
          <w:sz w:val="26"/>
          <w:szCs w:val="26"/>
        </w:rPr>
        <w:t xml:space="preserve">on an interim basis until the Commission takes more permanent action in this proceeding.  </w:t>
      </w:r>
      <w:r w:rsidR="003C2EC0">
        <w:rPr>
          <w:sz w:val="26"/>
          <w:szCs w:val="26"/>
        </w:rPr>
        <w:t>Staff recommends that the Commission direct IPCS providers to implement the adopted rate caps and submit a Notice of Compliance no later than 30 days from Commission adoption of interim relief.</w:t>
      </w:r>
      <w:r w:rsidR="32EFFBC3">
        <w:rPr>
          <w:sz w:val="26"/>
          <w:szCs w:val="26"/>
        </w:rPr>
        <w:t xml:space="preserve">  </w:t>
      </w:r>
      <w:r w:rsidR="44B9E0AE">
        <w:rPr>
          <w:sz w:val="26"/>
          <w:szCs w:val="26"/>
        </w:rPr>
        <w:t xml:space="preserve">Staff </w:t>
      </w:r>
      <w:r w:rsidR="007E37A6">
        <w:rPr>
          <w:sz w:val="26"/>
          <w:szCs w:val="26"/>
        </w:rPr>
        <w:t>further recommends</w:t>
      </w:r>
      <w:r w:rsidR="3E862359">
        <w:rPr>
          <w:sz w:val="26"/>
          <w:szCs w:val="26"/>
        </w:rPr>
        <w:t xml:space="preserve"> </w:t>
      </w:r>
      <w:r w:rsidR="67FFBC07">
        <w:rPr>
          <w:sz w:val="26"/>
          <w:szCs w:val="26"/>
        </w:rPr>
        <w:t xml:space="preserve">that </w:t>
      </w:r>
      <w:r w:rsidR="3E862359">
        <w:rPr>
          <w:sz w:val="26"/>
          <w:szCs w:val="26"/>
        </w:rPr>
        <w:t xml:space="preserve">the </w:t>
      </w:r>
      <w:r w:rsidR="007E37A6">
        <w:rPr>
          <w:sz w:val="26"/>
          <w:szCs w:val="26"/>
        </w:rPr>
        <w:t xml:space="preserve">Commission not adopt the </w:t>
      </w:r>
      <w:r w:rsidR="238A3047">
        <w:rPr>
          <w:sz w:val="26"/>
          <w:szCs w:val="26"/>
        </w:rPr>
        <w:t xml:space="preserve">FCC’s </w:t>
      </w:r>
      <w:r w:rsidR="3E862359">
        <w:rPr>
          <w:sz w:val="26"/>
          <w:szCs w:val="26"/>
        </w:rPr>
        <w:t xml:space="preserve">Third Order </w:t>
      </w:r>
      <w:r w:rsidR="238A3047">
        <w:rPr>
          <w:sz w:val="26"/>
          <w:szCs w:val="26"/>
        </w:rPr>
        <w:t xml:space="preserve">interim </w:t>
      </w:r>
      <w:r w:rsidR="007E37A6">
        <w:rPr>
          <w:sz w:val="26"/>
          <w:szCs w:val="26"/>
        </w:rPr>
        <w:t>interstate rate caps</w:t>
      </w:r>
      <w:r w:rsidR="238A3047">
        <w:rPr>
          <w:sz w:val="26"/>
          <w:szCs w:val="26"/>
        </w:rPr>
        <w:t xml:space="preserve"> as permanent intrastate rate caps </w:t>
      </w:r>
      <w:r w:rsidR="3E862359">
        <w:rPr>
          <w:sz w:val="26"/>
          <w:szCs w:val="26"/>
        </w:rPr>
        <w:t>because “</w:t>
      </w:r>
      <w:r w:rsidR="5D2CCF80">
        <w:rPr>
          <w:sz w:val="26"/>
          <w:szCs w:val="26"/>
        </w:rPr>
        <w:t>intrastate services are generally less expensive to provide than interstate services.</w:t>
      </w:r>
      <w:r w:rsidR="3E862359">
        <w:rPr>
          <w:sz w:val="26"/>
          <w:szCs w:val="26"/>
        </w:rPr>
        <w:t>”</w:t>
      </w:r>
      <w:r w:rsidR="00255B29">
        <w:rPr>
          <w:rStyle w:val="FootnoteReference"/>
          <w:sz w:val="26"/>
          <w:szCs w:val="26"/>
        </w:rPr>
        <w:footnoteReference w:id="140"/>
      </w:r>
      <w:r w:rsidR="5D2CCF80">
        <w:rPr>
          <w:sz w:val="26"/>
          <w:szCs w:val="26"/>
        </w:rPr>
        <w:t xml:space="preserve">  </w:t>
      </w:r>
    </w:p>
    <w:p w:rsidRPr="00225EE2" w:rsidR="00A054B4" w:rsidP="002F0081" w:rsidRDefault="008A2A1B" w14:paraId="7EB58ACE" w14:textId="5BAB3220">
      <w:pPr>
        <w:pStyle w:val="Heading3"/>
        <w:rPr>
          <w:rFonts w:ascii="Book Antiqua" w:hAnsi="Book Antiqua"/>
        </w:rPr>
      </w:pPr>
      <w:bookmarkStart w:name="_Toc80089403" w:id="42"/>
      <w:r>
        <w:t>6.1.1</w:t>
      </w:r>
      <w:r>
        <w:tab/>
      </w:r>
      <w:r w:rsidR="00A054B4">
        <w:t>Party Comments</w:t>
      </w:r>
      <w:bookmarkEnd w:id="42"/>
    </w:p>
    <w:p w:rsidR="008814C8" w:rsidP="002A21A7" w:rsidRDefault="00667CD4" w14:paraId="3FE8B00C" w14:textId="0D58D5CD">
      <w:pPr>
        <w:pStyle w:val="Standard"/>
        <w:ind w:firstLine="720"/>
        <w:rPr>
          <w:sz w:val="26"/>
          <w:szCs w:val="26"/>
        </w:rPr>
      </w:pPr>
      <w:r>
        <w:rPr>
          <w:sz w:val="26"/>
          <w:szCs w:val="26"/>
        </w:rPr>
        <w:t>P</w:t>
      </w:r>
      <w:r w:rsidR="00A404D9">
        <w:rPr>
          <w:sz w:val="26"/>
          <w:szCs w:val="26"/>
        </w:rPr>
        <w:t xml:space="preserve">arties </w:t>
      </w:r>
      <w:r w:rsidR="00DD04B2">
        <w:rPr>
          <w:sz w:val="26"/>
          <w:szCs w:val="26"/>
        </w:rPr>
        <w:t>have widely d</w:t>
      </w:r>
      <w:r w:rsidR="00A404D9">
        <w:rPr>
          <w:sz w:val="26"/>
          <w:szCs w:val="26"/>
        </w:rPr>
        <w:t>iverg</w:t>
      </w:r>
      <w:r w:rsidR="00DD04B2">
        <w:rPr>
          <w:sz w:val="26"/>
          <w:szCs w:val="26"/>
        </w:rPr>
        <w:t xml:space="preserve">ent views </w:t>
      </w:r>
      <w:r w:rsidR="00A404D9">
        <w:rPr>
          <w:sz w:val="26"/>
          <w:szCs w:val="26"/>
        </w:rPr>
        <w:t xml:space="preserve">on </w:t>
      </w:r>
      <w:r w:rsidR="007B55DC">
        <w:rPr>
          <w:sz w:val="26"/>
          <w:szCs w:val="26"/>
        </w:rPr>
        <w:t xml:space="preserve">whether the Commission should adopt </w:t>
      </w:r>
      <w:r w:rsidR="00DD04B2">
        <w:rPr>
          <w:sz w:val="26"/>
          <w:szCs w:val="26"/>
        </w:rPr>
        <w:t xml:space="preserve">or reject </w:t>
      </w:r>
      <w:r w:rsidR="007B55DC">
        <w:rPr>
          <w:sz w:val="26"/>
          <w:szCs w:val="26"/>
        </w:rPr>
        <w:t xml:space="preserve">Staff’s Revised Proposal or </w:t>
      </w:r>
      <w:r w:rsidR="00DD04B2">
        <w:rPr>
          <w:sz w:val="26"/>
          <w:szCs w:val="26"/>
        </w:rPr>
        <w:t xml:space="preserve">adopt </w:t>
      </w:r>
      <w:r w:rsidR="007B55DC">
        <w:rPr>
          <w:sz w:val="26"/>
          <w:szCs w:val="26"/>
        </w:rPr>
        <w:t>some other</w:t>
      </w:r>
      <w:r w:rsidR="00DD04B2">
        <w:rPr>
          <w:sz w:val="26"/>
          <w:szCs w:val="26"/>
        </w:rPr>
        <w:t xml:space="preserve"> proposal</w:t>
      </w:r>
      <w:r w:rsidR="007B55DC">
        <w:rPr>
          <w:sz w:val="26"/>
          <w:szCs w:val="26"/>
        </w:rPr>
        <w:t xml:space="preserve">.  </w:t>
      </w:r>
      <w:r w:rsidR="00A40C8A">
        <w:rPr>
          <w:sz w:val="26"/>
          <w:szCs w:val="26"/>
        </w:rPr>
        <w:t>Cal</w:t>
      </w:r>
      <w:r w:rsidR="00573139">
        <w:rPr>
          <w:sz w:val="26"/>
          <w:szCs w:val="26"/>
        </w:rPr>
        <w:t> </w:t>
      </w:r>
      <w:r w:rsidR="00A40C8A">
        <w:rPr>
          <w:sz w:val="26"/>
          <w:szCs w:val="26"/>
        </w:rPr>
        <w:t xml:space="preserve">Advocates, TURN, </w:t>
      </w:r>
      <w:proofErr w:type="spellStart"/>
      <w:r w:rsidR="00A40C8A">
        <w:rPr>
          <w:sz w:val="26"/>
          <w:szCs w:val="26"/>
        </w:rPr>
        <w:t>CforAT</w:t>
      </w:r>
      <w:proofErr w:type="spellEnd"/>
      <w:r w:rsidR="00A40C8A">
        <w:rPr>
          <w:sz w:val="26"/>
          <w:szCs w:val="26"/>
        </w:rPr>
        <w:t xml:space="preserve">, Prison Policy Institute, the Justice Coalition, </w:t>
      </w:r>
      <w:r w:rsidR="006821D5">
        <w:rPr>
          <w:sz w:val="26"/>
          <w:szCs w:val="26"/>
        </w:rPr>
        <w:t xml:space="preserve">Verizon, </w:t>
      </w:r>
      <w:r w:rsidR="00130B10">
        <w:rPr>
          <w:sz w:val="26"/>
          <w:szCs w:val="26"/>
        </w:rPr>
        <w:t xml:space="preserve">and </w:t>
      </w:r>
      <w:r w:rsidR="006821D5">
        <w:rPr>
          <w:sz w:val="26"/>
          <w:szCs w:val="26"/>
        </w:rPr>
        <w:t>NCIC Inmate Communications broadly support Staff’s proposal</w:t>
      </w:r>
      <w:r w:rsidR="008814C8">
        <w:rPr>
          <w:sz w:val="26"/>
          <w:szCs w:val="26"/>
        </w:rPr>
        <w:t xml:space="preserve">.  </w:t>
      </w:r>
      <w:r w:rsidR="008814C8">
        <w:rPr>
          <w:sz w:val="26"/>
          <w:szCs w:val="26"/>
        </w:rPr>
        <w:lastRenderedPageBreak/>
        <w:t xml:space="preserve">All non-provider parties, however, </w:t>
      </w:r>
      <w:r w:rsidR="007E37A6">
        <w:rPr>
          <w:sz w:val="26"/>
          <w:szCs w:val="26"/>
        </w:rPr>
        <w:t xml:space="preserve">additionally </w:t>
      </w:r>
      <w:r w:rsidR="006821D5">
        <w:rPr>
          <w:sz w:val="26"/>
          <w:szCs w:val="26"/>
        </w:rPr>
        <w:t xml:space="preserve">recommend </w:t>
      </w:r>
      <w:r w:rsidR="00BB05BF">
        <w:rPr>
          <w:sz w:val="26"/>
          <w:szCs w:val="26"/>
        </w:rPr>
        <w:t xml:space="preserve">that </w:t>
      </w:r>
      <w:r w:rsidR="006821D5">
        <w:rPr>
          <w:sz w:val="26"/>
          <w:szCs w:val="26"/>
        </w:rPr>
        <w:t>the Comm</w:t>
      </w:r>
      <w:r w:rsidR="00B3043C">
        <w:rPr>
          <w:sz w:val="26"/>
          <w:szCs w:val="26"/>
        </w:rPr>
        <w:t>i</w:t>
      </w:r>
      <w:r w:rsidR="006821D5">
        <w:rPr>
          <w:sz w:val="26"/>
          <w:szCs w:val="26"/>
        </w:rPr>
        <w:t xml:space="preserve">ssion </w:t>
      </w:r>
      <w:r w:rsidR="00DD04B2">
        <w:rPr>
          <w:sz w:val="26"/>
          <w:szCs w:val="26"/>
        </w:rPr>
        <w:t xml:space="preserve">adopt </w:t>
      </w:r>
      <w:r w:rsidR="00130B10">
        <w:rPr>
          <w:sz w:val="26"/>
          <w:szCs w:val="26"/>
        </w:rPr>
        <w:t xml:space="preserve">per-minute </w:t>
      </w:r>
      <w:r w:rsidR="006821D5">
        <w:rPr>
          <w:sz w:val="26"/>
          <w:szCs w:val="26"/>
        </w:rPr>
        <w:t>rate</w:t>
      </w:r>
      <w:r w:rsidR="00DD04B2">
        <w:rPr>
          <w:sz w:val="26"/>
          <w:szCs w:val="26"/>
        </w:rPr>
        <w:t xml:space="preserve"> caps </w:t>
      </w:r>
      <w:r w:rsidR="006821D5">
        <w:rPr>
          <w:sz w:val="26"/>
          <w:szCs w:val="26"/>
        </w:rPr>
        <w:t>lower than proposed by Staff</w:t>
      </w:r>
      <w:r w:rsidR="00E45C2B">
        <w:rPr>
          <w:sz w:val="26"/>
          <w:szCs w:val="26"/>
        </w:rPr>
        <w:t xml:space="preserve"> in either its initial or Revised Proposal</w:t>
      </w:r>
      <w:r w:rsidR="006821D5">
        <w:rPr>
          <w:sz w:val="26"/>
          <w:szCs w:val="26"/>
        </w:rPr>
        <w:t xml:space="preserve">.  </w:t>
      </w:r>
    </w:p>
    <w:p w:rsidR="00E665C2" w:rsidP="002A21A7" w:rsidRDefault="006821D5" w14:paraId="4843F36A" w14:textId="121CF353">
      <w:pPr>
        <w:pStyle w:val="Standard"/>
        <w:ind w:firstLine="720"/>
        <w:rPr>
          <w:sz w:val="26"/>
          <w:szCs w:val="26"/>
        </w:rPr>
      </w:pPr>
      <w:r>
        <w:rPr>
          <w:sz w:val="26"/>
          <w:szCs w:val="26"/>
        </w:rPr>
        <w:t xml:space="preserve">Securus, GTL, and </w:t>
      </w:r>
      <w:r w:rsidR="003E7ABE">
        <w:rPr>
          <w:sz w:val="26"/>
          <w:szCs w:val="26"/>
        </w:rPr>
        <w:t>Pay Tel generally support Commission adoption of</w:t>
      </w:r>
      <w:r w:rsidR="008814C8">
        <w:rPr>
          <w:sz w:val="26"/>
          <w:szCs w:val="26"/>
        </w:rPr>
        <w:t xml:space="preserve"> </w:t>
      </w:r>
      <w:r w:rsidR="003E7ABE">
        <w:rPr>
          <w:sz w:val="26"/>
          <w:szCs w:val="26"/>
        </w:rPr>
        <w:t xml:space="preserve">the FCC’s </w:t>
      </w:r>
      <w:r w:rsidR="00DD04B2">
        <w:rPr>
          <w:sz w:val="26"/>
          <w:szCs w:val="26"/>
        </w:rPr>
        <w:t xml:space="preserve">2013 </w:t>
      </w:r>
      <w:r w:rsidR="003E7ABE">
        <w:rPr>
          <w:sz w:val="26"/>
          <w:szCs w:val="26"/>
        </w:rPr>
        <w:t>Order rates of $0.21 and $0.25 per minute</w:t>
      </w:r>
      <w:r w:rsidR="00E45C2B">
        <w:rPr>
          <w:sz w:val="26"/>
          <w:szCs w:val="26"/>
        </w:rPr>
        <w:t xml:space="preserve"> included in </w:t>
      </w:r>
      <w:r w:rsidR="00CF4841">
        <w:rPr>
          <w:sz w:val="26"/>
          <w:szCs w:val="26"/>
        </w:rPr>
        <w:t>the initial Staff Proposal</w:t>
      </w:r>
      <w:r w:rsidR="008814C8">
        <w:rPr>
          <w:sz w:val="26"/>
          <w:szCs w:val="26"/>
        </w:rPr>
        <w:t xml:space="preserve">.  </w:t>
      </w:r>
      <w:r w:rsidR="00E665C2">
        <w:rPr>
          <w:sz w:val="26"/>
          <w:szCs w:val="26"/>
        </w:rPr>
        <w:t>However, t</w:t>
      </w:r>
      <w:r w:rsidR="008814C8">
        <w:rPr>
          <w:sz w:val="26"/>
          <w:szCs w:val="26"/>
        </w:rPr>
        <w:t xml:space="preserve">hese parties </w:t>
      </w:r>
      <w:r w:rsidR="003E7ABE">
        <w:rPr>
          <w:sz w:val="26"/>
          <w:szCs w:val="26"/>
        </w:rPr>
        <w:t>oppose</w:t>
      </w:r>
      <w:r w:rsidR="00E665C2">
        <w:rPr>
          <w:sz w:val="26"/>
          <w:szCs w:val="26"/>
        </w:rPr>
        <w:t xml:space="preserve"> </w:t>
      </w:r>
      <w:r w:rsidR="003E7ABE">
        <w:rPr>
          <w:sz w:val="26"/>
          <w:szCs w:val="26"/>
        </w:rPr>
        <w:t xml:space="preserve">Commission adoption of </w:t>
      </w:r>
      <w:r w:rsidR="008814C8">
        <w:rPr>
          <w:sz w:val="26"/>
          <w:szCs w:val="26"/>
        </w:rPr>
        <w:t xml:space="preserve">the FCC’s </w:t>
      </w:r>
      <w:r w:rsidR="003E7ABE">
        <w:rPr>
          <w:sz w:val="26"/>
          <w:szCs w:val="26"/>
        </w:rPr>
        <w:t>Third Order rates of $0.14 and $0.16 per minute, as recommended in the Revised Staff Proposal.</w:t>
      </w:r>
      <w:r w:rsidR="00132FF5">
        <w:rPr>
          <w:sz w:val="26"/>
          <w:szCs w:val="26"/>
        </w:rPr>
        <w:t xml:space="preserve"> </w:t>
      </w:r>
      <w:r w:rsidR="008814C8">
        <w:rPr>
          <w:sz w:val="26"/>
          <w:szCs w:val="26"/>
        </w:rPr>
        <w:t xml:space="preserve"> </w:t>
      </w:r>
    </w:p>
    <w:p w:rsidR="001F1B01" w:rsidP="002A21A7" w:rsidRDefault="008814C8" w14:paraId="17FD32AF" w14:textId="58F76A2E">
      <w:pPr>
        <w:pStyle w:val="Standard"/>
        <w:ind w:firstLine="720"/>
        <w:rPr>
          <w:sz w:val="26"/>
          <w:szCs w:val="26"/>
        </w:rPr>
      </w:pPr>
      <w:r>
        <w:rPr>
          <w:sz w:val="26"/>
          <w:szCs w:val="26"/>
        </w:rPr>
        <w:t>The next two sections review party comments on</w:t>
      </w:r>
      <w:r w:rsidR="006F12F1">
        <w:rPr>
          <w:sz w:val="26"/>
          <w:szCs w:val="26"/>
        </w:rPr>
        <w:t xml:space="preserve"> the FCC’s 2013 Order </w:t>
      </w:r>
      <w:r w:rsidR="00CF4841">
        <w:rPr>
          <w:sz w:val="26"/>
          <w:szCs w:val="26"/>
        </w:rPr>
        <w:t xml:space="preserve">and 2021 Third Order </w:t>
      </w:r>
      <w:r w:rsidR="006F12F1">
        <w:rPr>
          <w:sz w:val="26"/>
          <w:szCs w:val="26"/>
        </w:rPr>
        <w:t>rate caps</w:t>
      </w:r>
      <w:r>
        <w:rPr>
          <w:sz w:val="26"/>
          <w:szCs w:val="26"/>
        </w:rPr>
        <w:t xml:space="preserve">. </w:t>
      </w:r>
    </w:p>
    <w:p w:rsidR="00B3043C" w:rsidP="009A2764" w:rsidRDefault="008A2A1B" w14:paraId="4D0BFEAA" w14:textId="60FBEC23">
      <w:pPr>
        <w:pStyle w:val="Heading4"/>
      </w:pPr>
      <w:bookmarkStart w:name="_Toc80089404" w:id="43"/>
      <w:r>
        <w:t>6.1.1.1</w:t>
      </w:r>
      <w:r>
        <w:tab/>
      </w:r>
      <w:r w:rsidRPr="004E3EB3" w:rsidR="00B3043C">
        <w:rPr>
          <w:rStyle w:val="Heading3Char"/>
          <w:b/>
        </w:rPr>
        <w:t>FCC</w:t>
      </w:r>
      <w:r w:rsidRPr="004E3EB3" w:rsidR="00CE480C">
        <w:rPr>
          <w:rStyle w:val="Heading3Char"/>
          <w:b/>
        </w:rPr>
        <w:t xml:space="preserve"> </w:t>
      </w:r>
      <w:r w:rsidRPr="004E3EB3" w:rsidR="00286963">
        <w:rPr>
          <w:rStyle w:val="Heading3Char"/>
          <w:b/>
        </w:rPr>
        <w:t xml:space="preserve">2013 </w:t>
      </w:r>
      <w:r w:rsidRPr="004E3EB3" w:rsidR="00B3043C">
        <w:rPr>
          <w:rStyle w:val="Heading3Char"/>
          <w:b/>
        </w:rPr>
        <w:t>Order Interim Rates</w:t>
      </w:r>
      <w:r w:rsidRPr="004E3EB3" w:rsidR="000E198D">
        <w:rPr>
          <w:rStyle w:val="Heading3Char"/>
          <w:b/>
        </w:rPr>
        <w:t xml:space="preserve"> of 21 </w:t>
      </w:r>
      <w:r w:rsidR="00573139">
        <w:rPr>
          <w:rStyle w:val="Heading3Char"/>
          <w:b/>
        </w:rPr>
        <w:br/>
      </w:r>
      <w:r w:rsidRPr="004E3EB3" w:rsidR="000E198D">
        <w:rPr>
          <w:rStyle w:val="Heading3Char"/>
          <w:b/>
        </w:rPr>
        <w:t>and 25 Cents Per Minute</w:t>
      </w:r>
      <w:bookmarkEnd w:id="43"/>
    </w:p>
    <w:p w:rsidR="00CA46C2" w:rsidP="00612840" w:rsidRDefault="003A0FB9" w14:paraId="4FEA4020" w14:textId="50914473">
      <w:pPr>
        <w:pStyle w:val="Standard"/>
        <w:ind w:firstLine="720"/>
        <w:rPr>
          <w:sz w:val="26"/>
          <w:szCs w:val="26"/>
        </w:rPr>
      </w:pPr>
      <w:r>
        <w:rPr>
          <w:sz w:val="26"/>
          <w:szCs w:val="26"/>
        </w:rPr>
        <w:t xml:space="preserve">Except for </w:t>
      </w:r>
      <w:r w:rsidRPr="003A0FB9" w:rsidR="000E1C18">
        <w:rPr>
          <w:sz w:val="26"/>
          <w:szCs w:val="26"/>
        </w:rPr>
        <w:t>Securus</w:t>
      </w:r>
      <w:r w:rsidR="00286963">
        <w:rPr>
          <w:sz w:val="26"/>
          <w:szCs w:val="26"/>
        </w:rPr>
        <w:t xml:space="preserve"> and </w:t>
      </w:r>
      <w:proofErr w:type="spellStart"/>
      <w:r w:rsidR="00286963">
        <w:rPr>
          <w:sz w:val="26"/>
          <w:szCs w:val="26"/>
        </w:rPr>
        <w:t>CforAT</w:t>
      </w:r>
      <w:proofErr w:type="spellEnd"/>
      <w:r w:rsidRPr="003A0FB9" w:rsidR="000E1C18">
        <w:rPr>
          <w:sz w:val="26"/>
          <w:szCs w:val="26"/>
        </w:rPr>
        <w:t xml:space="preserve">, parties </w:t>
      </w:r>
      <w:r w:rsidR="00535CFF">
        <w:rPr>
          <w:sz w:val="26"/>
          <w:szCs w:val="26"/>
        </w:rPr>
        <w:t xml:space="preserve">broadly </w:t>
      </w:r>
      <w:r w:rsidRPr="003A0FB9" w:rsidR="000E1C18">
        <w:rPr>
          <w:sz w:val="26"/>
          <w:szCs w:val="26"/>
        </w:rPr>
        <w:t xml:space="preserve">support Commission adoption of </w:t>
      </w:r>
      <w:r w:rsidR="00E57D6D">
        <w:rPr>
          <w:sz w:val="26"/>
          <w:szCs w:val="26"/>
        </w:rPr>
        <w:t xml:space="preserve">the </w:t>
      </w:r>
      <w:r w:rsidRPr="003A0FB9" w:rsidR="000E1C18">
        <w:rPr>
          <w:sz w:val="26"/>
          <w:szCs w:val="26"/>
        </w:rPr>
        <w:t xml:space="preserve">FCC’s </w:t>
      </w:r>
      <w:r w:rsidR="00CF4841">
        <w:rPr>
          <w:sz w:val="26"/>
          <w:szCs w:val="26"/>
        </w:rPr>
        <w:t xml:space="preserve">2013 </w:t>
      </w:r>
      <w:r w:rsidRPr="003A0FB9" w:rsidR="000E1C18">
        <w:rPr>
          <w:sz w:val="26"/>
          <w:szCs w:val="26"/>
        </w:rPr>
        <w:t>Order interim rate</w:t>
      </w:r>
      <w:r w:rsidR="00E57D6D">
        <w:rPr>
          <w:sz w:val="26"/>
          <w:szCs w:val="26"/>
        </w:rPr>
        <w:t xml:space="preserve"> caps</w:t>
      </w:r>
      <w:r w:rsidRPr="003A0FB9" w:rsidR="000E1C18">
        <w:rPr>
          <w:sz w:val="26"/>
          <w:szCs w:val="26"/>
        </w:rPr>
        <w:t xml:space="preserve"> of </w:t>
      </w:r>
      <w:r>
        <w:rPr>
          <w:sz w:val="26"/>
          <w:szCs w:val="26"/>
        </w:rPr>
        <w:t>$0.21</w:t>
      </w:r>
      <w:r w:rsidR="00CF4841">
        <w:rPr>
          <w:sz w:val="26"/>
          <w:szCs w:val="26"/>
        </w:rPr>
        <w:t xml:space="preserve"> and </w:t>
      </w:r>
      <w:r>
        <w:rPr>
          <w:sz w:val="26"/>
          <w:szCs w:val="26"/>
        </w:rPr>
        <w:t xml:space="preserve">$0.25 per minute </w:t>
      </w:r>
      <w:r w:rsidRPr="003A0FB9" w:rsidR="000E1C18">
        <w:rPr>
          <w:sz w:val="26"/>
          <w:szCs w:val="26"/>
        </w:rPr>
        <w:t>a</w:t>
      </w:r>
      <w:r w:rsidRPr="003A0FB9">
        <w:rPr>
          <w:sz w:val="26"/>
          <w:szCs w:val="26"/>
        </w:rPr>
        <w:t>s interim intrastate IPCS rate caps in California</w:t>
      </w:r>
      <w:r w:rsidR="00CC5317">
        <w:rPr>
          <w:sz w:val="26"/>
          <w:szCs w:val="26"/>
        </w:rPr>
        <w:t xml:space="preserve">, </w:t>
      </w:r>
      <w:r w:rsidR="000427A6">
        <w:rPr>
          <w:sz w:val="26"/>
          <w:szCs w:val="26"/>
        </w:rPr>
        <w:t xml:space="preserve">but </w:t>
      </w:r>
      <w:r w:rsidR="00C672A0">
        <w:rPr>
          <w:sz w:val="26"/>
          <w:szCs w:val="26"/>
        </w:rPr>
        <w:t>non-</w:t>
      </w:r>
      <w:r w:rsidR="004D1C8E">
        <w:rPr>
          <w:sz w:val="26"/>
          <w:szCs w:val="26"/>
        </w:rPr>
        <w:t>provider parties</w:t>
      </w:r>
      <w:r w:rsidR="00C672A0">
        <w:rPr>
          <w:sz w:val="26"/>
          <w:szCs w:val="26"/>
        </w:rPr>
        <w:t xml:space="preserve"> </w:t>
      </w:r>
      <w:r w:rsidR="00E57D6D">
        <w:rPr>
          <w:sz w:val="26"/>
          <w:szCs w:val="26"/>
        </w:rPr>
        <w:t xml:space="preserve">also </w:t>
      </w:r>
      <w:r w:rsidR="00C672A0">
        <w:rPr>
          <w:sz w:val="26"/>
          <w:szCs w:val="26"/>
        </w:rPr>
        <w:t xml:space="preserve">suggest </w:t>
      </w:r>
      <w:r w:rsidR="00535CFF">
        <w:rPr>
          <w:sz w:val="26"/>
          <w:szCs w:val="26"/>
        </w:rPr>
        <w:t xml:space="preserve">the Commission </w:t>
      </w:r>
      <w:r w:rsidR="00F00A3B">
        <w:rPr>
          <w:sz w:val="26"/>
          <w:szCs w:val="26"/>
        </w:rPr>
        <w:t xml:space="preserve">should </w:t>
      </w:r>
      <w:r w:rsidR="00535CFF">
        <w:rPr>
          <w:sz w:val="26"/>
          <w:szCs w:val="26"/>
        </w:rPr>
        <w:t xml:space="preserve">adopt </w:t>
      </w:r>
      <w:r w:rsidR="00E57D6D">
        <w:rPr>
          <w:sz w:val="26"/>
          <w:szCs w:val="26"/>
        </w:rPr>
        <w:t xml:space="preserve">much </w:t>
      </w:r>
      <w:r w:rsidR="00CC5317">
        <w:rPr>
          <w:sz w:val="26"/>
          <w:szCs w:val="26"/>
        </w:rPr>
        <w:t xml:space="preserve">lower rate caps.  </w:t>
      </w:r>
      <w:proofErr w:type="spellStart"/>
      <w:r w:rsidR="00CC5317">
        <w:rPr>
          <w:sz w:val="26"/>
          <w:szCs w:val="26"/>
        </w:rPr>
        <w:t>CforAT</w:t>
      </w:r>
      <w:proofErr w:type="spellEnd"/>
      <w:r w:rsidR="00CC5317">
        <w:rPr>
          <w:sz w:val="26"/>
          <w:szCs w:val="26"/>
        </w:rPr>
        <w:t xml:space="preserve"> opposes </w:t>
      </w:r>
      <w:r w:rsidR="00273D7C">
        <w:rPr>
          <w:sz w:val="26"/>
          <w:szCs w:val="26"/>
        </w:rPr>
        <w:t xml:space="preserve">Commission adoption of the FCC’s </w:t>
      </w:r>
      <w:r w:rsidR="00286963">
        <w:rPr>
          <w:sz w:val="26"/>
          <w:szCs w:val="26"/>
        </w:rPr>
        <w:t>2013</w:t>
      </w:r>
      <w:r w:rsidR="00273D7C">
        <w:rPr>
          <w:sz w:val="26"/>
          <w:szCs w:val="26"/>
        </w:rPr>
        <w:t xml:space="preserve"> Order interim rate caps</w:t>
      </w:r>
      <w:r w:rsidR="00612840">
        <w:rPr>
          <w:sz w:val="26"/>
          <w:szCs w:val="26"/>
        </w:rPr>
        <w:t>, stating that “Commission adoption of the Staff P</w:t>
      </w:r>
      <w:r w:rsidRPr="00612840" w:rsidR="00612840">
        <w:rPr>
          <w:sz w:val="26"/>
          <w:szCs w:val="26"/>
        </w:rPr>
        <w:t xml:space="preserve">roposal is preferable to a delay in imposing rate caps but does not make </w:t>
      </w:r>
      <w:r w:rsidR="00E57D6D">
        <w:rPr>
          <w:sz w:val="26"/>
          <w:szCs w:val="26"/>
        </w:rPr>
        <w:t xml:space="preserve">the </w:t>
      </w:r>
      <w:r w:rsidRPr="00612840" w:rsidR="00612840">
        <w:rPr>
          <w:sz w:val="26"/>
          <w:szCs w:val="26"/>
        </w:rPr>
        <w:t>FCC rates reasonable."</w:t>
      </w:r>
      <w:r w:rsidR="00612840">
        <w:rPr>
          <w:rStyle w:val="FootnoteReference"/>
          <w:sz w:val="26"/>
          <w:szCs w:val="26"/>
        </w:rPr>
        <w:footnoteReference w:id="141"/>
      </w:r>
    </w:p>
    <w:p w:rsidR="00273D7C" w:rsidP="003A0FB9" w:rsidRDefault="00273D7C" w14:paraId="3A547AB3" w14:textId="240EC8D4">
      <w:pPr>
        <w:pStyle w:val="Standard"/>
        <w:ind w:firstLine="720"/>
        <w:rPr>
          <w:sz w:val="26"/>
          <w:szCs w:val="26"/>
        </w:rPr>
      </w:pPr>
      <w:r>
        <w:rPr>
          <w:sz w:val="26"/>
          <w:szCs w:val="26"/>
        </w:rPr>
        <w:t xml:space="preserve">Securus argues that the Commission should use the </w:t>
      </w:r>
      <w:r w:rsidRPr="00273D7C">
        <w:rPr>
          <w:sz w:val="26"/>
          <w:szCs w:val="26"/>
        </w:rPr>
        <w:t>FCC</w:t>
      </w:r>
      <w:r>
        <w:rPr>
          <w:sz w:val="26"/>
          <w:szCs w:val="26"/>
        </w:rPr>
        <w:t>’s</w:t>
      </w:r>
      <w:r w:rsidRPr="00273D7C">
        <w:rPr>
          <w:sz w:val="26"/>
          <w:szCs w:val="26"/>
        </w:rPr>
        <w:t xml:space="preserve"> </w:t>
      </w:r>
      <w:r>
        <w:rPr>
          <w:sz w:val="26"/>
          <w:szCs w:val="26"/>
        </w:rPr>
        <w:t>2013 Order interim rates of $0.21</w:t>
      </w:r>
      <w:r w:rsidR="00286963">
        <w:rPr>
          <w:sz w:val="26"/>
          <w:szCs w:val="26"/>
        </w:rPr>
        <w:t xml:space="preserve"> and </w:t>
      </w:r>
      <w:r>
        <w:rPr>
          <w:sz w:val="26"/>
          <w:szCs w:val="26"/>
        </w:rPr>
        <w:t xml:space="preserve">$0.25 </w:t>
      </w:r>
      <w:r w:rsidR="00286963">
        <w:rPr>
          <w:sz w:val="26"/>
          <w:szCs w:val="26"/>
        </w:rPr>
        <w:t xml:space="preserve">per minute </w:t>
      </w:r>
      <w:r w:rsidRPr="00273D7C">
        <w:rPr>
          <w:sz w:val="26"/>
          <w:szCs w:val="26"/>
        </w:rPr>
        <w:t xml:space="preserve">rates as </w:t>
      </w:r>
      <w:r>
        <w:rPr>
          <w:sz w:val="26"/>
          <w:szCs w:val="26"/>
        </w:rPr>
        <w:t>“</w:t>
      </w:r>
      <w:r w:rsidRPr="00273D7C">
        <w:rPr>
          <w:sz w:val="26"/>
          <w:szCs w:val="26"/>
        </w:rPr>
        <w:t>benchmark</w:t>
      </w:r>
      <w:r>
        <w:rPr>
          <w:sz w:val="26"/>
          <w:szCs w:val="26"/>
        </w:rPr>
        <w:t xml:space="preserve">s” but allow </w:t>
      </w:r>
      <w:r w:rsidRPr="00273D7C">
        <w:rPr>
          <w:sz w:val="26"/>
          <w:szCs w:val="26"/>
        </w:rPr>
        <w:t>I</w:t>
      </w:r>
      <w:r>
        <w:rPr>
          <w:sz w:val="26"/>
          <w:szCs w:val="26"/>
        </w:rPr>
        <w:t>P</w:t>
      </w:r>
      <w:r w:rsidRPr="00273D7C">
        <w:rPr>
          <w:sz w:val="26"/>
          <w:szCs w:val="26"/>
        </w:rPr>
        <w:t xml:space="preserve">CS providers to recover reasonable costs for site commissions </w:t>
      </w:r>
      <w:r w:rsidR="008B0AC7">
        <w:rPr>
          <w:sz w:val="26"/>
          <w:szCs w:val="26"/>
        </w:rPr>
        <w:t>beyond those levels</w:t>
      </w:r>
      <w:r w:rsidR="00286963">
        <w:rPr>
          <w:sz w:val="26"/>
          <w:szCs w:val="26"/>
        </w:rPr>
        <w:t xml:space="preserve"> or institute a </w:t>
      </w:r>
      <w:r w:rsidRPr="00273D7C">
        <w:rPr>
          <w:sz w:val="26"/>
          <w:szCs w:val="26"/>
        </w:rPr>
        <w:t xml:space="preserve">waiver </w:t>
      </w:r>
      <w:r w:rsidR="00286963">
        <w:rPr>
          <w:sz w:val="26"/>
          <w:szCs w:val="26"/>
        </w:rPr>
        <w:t xml:space="preserve">application </w:t>
      </w:r>
      <w:r w:rsidRPr="00273D7C">
        <w:rPr>
          <w:sz w:val="26"/>
          <w:szCs w:val="26"/>
        </w:rPr>
        <w:t>process.</w:t>
      </w:r>
      <w:r w:rsidR="00286963">
        <w:rPr>
          <w:rStyle w:val="FootnoteReference"/>
          <w:sz w:val="26"/>
          <w:szCs w:val="26"/>
        </w:rPr>
        <w:footnoteReference w:id="142"/>
      </w:r>
      <w:r w:rsidRPr="00273D7C">
        <w:rPr>
          <w:sz w:val="26"/>
          <w:szCs w:val="26"/>
        </w:rPr>
        <w:t xml:space="preserve"> </w:t>
      </w:r>
      <w:r w:rsidR="00BF7A16">
        <w:rPr>
          <w:sz w:val="26"/>
          <w:szCs w:val="26"/>
        </w:rPr>
        <w:t xml:space="preserve"> </w:t>
      </w:r>
      <w:r w:rsidR="00BD4B23">
        <w:rPr>
          <w:sz w:val="26"/>
          <w:szCs w:val="26"/>
        </w:rPr>
        <w:t xml:space="preserve">Securus states that the </w:t>
      </w:r>
      <w:r w:rsidRPr="00273D7C">
        <w:rPr>
          <w:sz w:val="26"/>
          <w:szCs w:val="26"/>
        </w:rPr>
        <w:t xml:space="preserve">FCC's </w:t>
      </w:r>
      <w:r w:rsidR="00286963">
        <w:rPr>
          <w:sz w:val="26"/>
          <w:szCs w:val="26"/>
        </w:rPr>
        <w:t>2013</w:t>
      </w:r>
      <w:r w:rsidR="00BF7A16">
        <w:rPr>
          <w:sz w:val="26"/>
          <w:szCs w:val="26"/>
        </w:rPr>
        <w:t xml:space="preserve"> Order interim </w:t>
      </w:r>
      <w:r w:rsidR="0082179A">
        <w:rPr>
          <w:sz w:val="26"/>
          <w:szCs w:val="26"/>
        </w:rPr>
        <w:t>rates</w:t>
      </w:r>
      <w:r w:rsidR="00BF7A16">
        <w:rPr>
          <w:sz w:val="26"/>
          <w:szCs w:val="26"/>
        </w:rPr>
        <w:t xml:space="preserve"> </w:t>
      </w:r>
      <w:r w:rsidRPr="00273D7C">
        <w:rPr>
          <w:sz w:val="26"/>
          <w:szCs w:val="26"/>
        </w:rPr>
        <w:t xml:space="preserve">exclude </w:t>
      </w:r>
      <w:r w:rsidR="0082179A">
        <w:rPr>
          <w:sz w:val="26"/>
          <w:szCs w:val="26"/>
        </w:rPr>
        <w:t xml:space="preserve">the </w:t>
      </w:r>
      <w:r w:rsidRPr="00273D7C">
        <w:rPr>
          <w:sz w:val="26"/>
          <w:szCs w:val="26"/>
        </w:rPr>
        <w:t>costs of site commissions</w:t>
      </w:r>
      <w:r w:rsidR="00BF7A16">
        <w:rPr>
          <w:sz w:val="26"/>
          <w:szCs w:val="26"/>
        </w:rPr>
        <w:t xml:space="preserve"> </w:t>
      </w:r>
      <w:r w:rsidRPr="00273D7C">
        <w:rPr>
          <w:sz w:val="26"/>
          <w:szCs w:val="26"/>
        </w:rPr>
        <w:t xml:space="preserve">and </w:t>
      </w:r>
      <w:r w:rsidR="00BF7A16">
        <w:rPr>
          <w:sz w:val="26"/>
          <w:szCs w:val="26"/>
        </w:rPr>
        <w:t xml:space="preserve">are </w:t>
      </w:r>
      <w:r w:rsidRPr="00273D7C">
        <w:rPr>
          <w:sz w:val="26"/>
          <w:szCs w:val="26"/>
        </w:rPr>
        <w:t xml:space="preserve">based on </w:t>
      </w:r>
      <w:r w:rsidRPr="00273D7C">
        <w:rPr>
          <w:sz w:val="26"/>
          <w:szCs w:val="26"/>
        </w:rPr>
        <w:lastRenderedPageBreak/>
        <w:t>av</w:t>
      </w:r>
      <w:r w:rsidR="00BF7A16">
        <w:rPr>
          <w:sz w:val="26"/>
          <w:szCs w:val="26"/>
        </w:rPr>
        <w:t xml:space="preserve">erage </w:t>
      </w:r>
      <w:r w:rsidRPr="00273D7C">
        <w:rPr>
          <w:sz w:val="26"/>
          <w:szCs w:val="26"/>
        </w:rPr>
        <w:t>costs that do not account for cost variation based on facility size.</w:t>
      </w:r>
      <w:r w:rsidR="00286963">
        <w:rPr>
          <w:sz w:val="26"/>
          <w:szCs w:val="26"/>
        </w:rPr>
        <w:t xml:space="preserve">  Securus argues that the Commission should a</w:t>
      </w:r>
      <w:r w:rsidRPr="00273D7C" w:rsidR="00286963">
        <w:rPr>
          <w:sz w:val="26"/>
          <w:szCs w:val="26"/>
        </w:rPr>
        <w:t xml:space="preserve">llow for </w:t>
      </w:r>
      <w:r w:rsidR="00286963">
        <w:rPr>
          <w:sz w:val="26"/>
          <w:szCs w:val="26"/>
        </w:rPr>
        <w:t xml:space="preserve">full </w:t>
      </w:r>
      <w:r w:rsidRPr="00273D7C" w:rsidR="00286963">
        <w:rPr>
          <w:sz w:val="26"/>
          <w:szCs w:val="26"/>
        </w:rPr>
        <w:t>recovery of all I</w:t>
      </w:r>
      <w:r w:rsidR="00286963">
        <w:rPr>
          <w:sz w:val="26"/>
          <w:szCs w:val="26"/>
        </w:rPr>
        <w:t>P</w:t>
      </w:r>
      <w:r w:rsidRPr="00273D7C" w:rsidR="00286963">
        <w:rPr>
          <w:sz w:val="26"/>
          <w:szCs w:val="26"/>
        </w:rPr>
        <w:t>CS-related costs</w:t>
      </w:r>
      <w:r w:rsidR="00286963">
        <w:rPr>
          <w:sz w:val="26"/>
          <w:szCs w:val="26"/>
        </w:rPr>
        <w:t>.</w:t>
      </w:r>
      <w:r w:rsidR="00BF7A16">
        <w:rPr>
          <w:rStyle w:val="FootnoteReference"/>
          <w:sz w:val="26"/>
          <w:szCs w:val="26"/>
        </w:rPr>
        <w:footnoteReference w:id="143"/>
      </w:r>
    </w:p>
    <w:p w:rsidRPr="003A0FB9" w:rsidR="00163787" w:rsidP="003A0FB9" w:rsidRDefault="00163787" w14:paraId="2A504A8D" w14:textId="663B3F0F">
      <w:pPr>
        <w:pStyle w:val="Standard"/>
        <w:ind w:firstLine="720"/>
        <w:rPr>
          <w:sz w:val="26"/>
          <w:szCs w:val="26"/>
        </w:rPr>
      </w:pPr>
      <w:r>
        <w:rPr>
          <w:sz w:val="26"/>
          <w:szCs w:val="26"/>
        </w:rPr>
        <w:t xml:space="preserve">Pay Tel supports adopting the FCC’s </w:t>
      </w:r>
      <w:r w:rsidR="00286963">
        <w:rPr>
          <w:sz w:val="26"/>
          <w:szCs w:val="26"/>
        </w:rPr>
        <w:t>2013</w:t>
      </w:r>
      <w:r>
        <w:rPr>
          <w:sz w:val="26"/>
          <w:szCs w:val="26"/>
        </w:rPr>
        <w:t xml:space="preserve"> Order interim rates in California</w:t>
      </w:r>
      <w:r w:rsidR="00286963">
        <w:rPr>
          <w:sz w:val="26"/>
          <w:szCs w:val="26"/>
        </w:rPr>
        <w:t xml:space="preserve">, stating that it </w:t>
      </w:r>
      <w:r w:rsidRPr="00163787">
        <w:rPr>
          <w:sz w:val="26"/>
          <w:szCs w:val="26"/>
        </w:rPr>
        <w:t>already charge</w:t>
      </w:r>
      <w:r>
        <w:rPr>
          <w:sz w:val="26"/>
          <w:szCs w:val="26"/>
        </w:rPr>
        <w:t>s</w:t>
      </w:r>
      <w:r w:rsidRPr="00163787">
        <w:rPr>
          <w:sz w:val="26"/>
          <w:szCs w:val="26"/>
        </w:rPr>
        <w:t xml:space="preserve"> th</w:t>
      </w:r>
      <w:r>
        <w:rPr>
          <w:sz w:val="26"/>
          <w:szCs w:val="26"/>
        </w:rPr>
        <w:t>e</w:t>
      </w:r>
      <w:r w:rsidR="00883C99">
        <w:rPr>
          <w:sz w:val="26"/>
          <w:szCs w:val="26"/>
        </w:rPr>
        <w:t xml:space="preserve"> FCC’s </w:t>
      </w:r>
      <w:r w:rsidR="00286963">
        <w:rPr>
          <w:sz w:val="26"/>
          <w:szCs w:val="26"/>
        </w:rPr>
        <w:t>2013</w:t>
      </w:r>
      <w:r w:rsidR="00883C99">
        <w:rPr>
          <w:sz w:val="26"/>
          <w:szCs w:val="26"/>
        </w:rPr>
        <w:t xml:space="preserve"> Order interim rates for intrastate IPCS in California</w:t>
      </w:r>
      <w:r w:rsidR="00286963">
        <w:rPr>
          <w:sz w:val="26"/>
          <w:szCs w:val="26"/>
        </w:rPr>
        <w:t xml:space="preserve">.  Pay Tel </w:t>
      </w:r>
      <w:r w:rsidR="00182C81">
        <w:rPr>
          <w:sz w:val="26"/>
          <w:szCs w:val="26"/>
        </w:rPr>
        <w:t xml:space="preserve">opposes any rate cap </w:t>
      </w:r>
      <w:r w:rsidR="00883C99">
        <w:rPr>
          <w:sz w:val="26"/>
          <w:szCs w:val="26"/>
        </w:rPr>
        <w:t>below</w:t>
      </w:r>
      <w:r w:rsidR="00182C81">
        <w:rPr>
          <w:sz w:val="26"/>
          <w:szCs w:val="26"/>
        </w:rPr>
        <w:t xml:space="preserve"> this level.</w:t>
      </w:r>
      <w:r w:rsidR="00883C99">
        <w:rPr>
          <w:rStyle w:val="FootnoteReference"/>
          <w:sz w:val="26"/>
          <w:szCs w:val="26"/>
        </w:rPr>
        <w:footnoteReference w:id="144"/>
      </w:r>
      <w:r w:rsidR="00182C81">
        <w:rPr>
          <w:sz w:val="26"/>
          <w:szCs w:val="26"/>
        </w:rPr>
        <w:t xml:space="preserve"> </w:t>
      </w:r>
      <w:r w:rsidR="00B23400">
        <w:rPr>
          <w:sz w:val="26"/>
          <w:szCs w:val="26"/>
        </w:rPr>
        <w:t xml:space="preserve">  </w:t>
      </w:r>
      <w:r w:rsidR="00D72754">
        <w:rPr>
          <w:sz w:val="26"/>
          <w:szCs w:val="26"/>
        </w:rPr>
        <w:t xml:space="preserve">GTL </w:t>
      </w:r>
      <w:r w:rsidR="0153ED49">
        <w:rPr>
          <w:sz w:val="26"/>
          <w:szCs w:val="26"/>
        </w:rPr>
        <w:t>support</w:t>
      </w:r>
      <w:r w:rsidR="2F78E9FA">
        <w:rPr>
          <w:sz w:val="26"/>
          <w:szCs w:val="26"/>
        </w:rPr>
        <w:t>s</w:t>
      </w:r>
      <w:r w:rsidR="00D72754">
        <w:rPr>
          <w:sz w:val="26"/>
          <w:szCs w:val="26"/>
        </w:rPr>
        <w:t xml:space="preserve"> Commission adoption of the FCC’s </w:t>
      </w:r>
      <w:r w:rsidR="00286963">
        <w:rPr>
          <w:sz w:val="26"/>
          <w:szCs w:val="26"/>
        </w:rPr>
        <w:t>2013</w:t>
      </w:r>
      <w:r w:rsidR="00D72754">
        <w:rPr>
          <w:sz w:val="26"/>
          <w:szCs w:val="26"/>
        </w:rPr>
        <w:t xml:space="preserve"> Order rate caps</w:t>
      </w:r>
      <w:r w:rsidR="00286963">
        <w:rPr>
          <w:sz w:val="26"/>
          <w:szCs w:val="26"/>
        </w:rPr>
        <w:t xml:space="preserve"> as does NCIC Inmate Communications,</w:t>
      </w:r>
      <w:r w:rsidR="00AA2C63">
        <w:rPr>
          <w:sz w:val="26"/>
          <w:szCs w:val="26"/>
        </w:rPr>
        <w:t xml:space="preserve"> who also urges adoption of the FCC’s Third Order caps.</w:t>
      </w:r>
      <w:r w:rsidR="00D72754">
        <w:rPr>
          <w:rStyle w:val="FootnoteReference"/>
          <w:sz w:val="26"/>
          <w:szCs w:val="26"/>
        </w:rPr>
        <w:footnoteReference w:id="145"/>
      </w:r>
      <w:r w:rsidR="00D72754">
        <w:rPr>
          <w:sz w:val="26"/>
          <w:szCs w:val="26"/>
        </w:rPr>
        <w:t xml:space="preserve">  </w:t>
      </w:r>
    </w:p>
    <w:p w:rsidR="00B3043C" w:rsidP="009A2764" w:rsidRDefault="008A2A1B" w14:paraId="7E42BBC4" w14:textId="2838AF10">
      <w:pPr>
        <w:pStyle w:val="Heading4"/>
      </w:pPr>
      <w:bookmarkStart w:name="_Toc80089405" w:id="44"/>
      <w:r>
        <w:t>6.1.1.2</w:t>
      </w:r>
      <w:r>
        <w:tab/>
      </w:r>
      <w:r w:rsidRPr="004E3EB3" w:rsidR="00CE480C">
        <w:rPr>
          <w:rStyle w:val="Heading3Char"/>
          <w:b/>
        </w:rPr>
        <w:t>FCC Third Order Interim Rates</w:t>
      </w:r>
      <w:r w:rsidRPr="004E3EB3" w:rsidR="000E198D">
        <w:rPr>
          <w:rStyle w:val="Heading3Char"/>
          <w:b/>
        </w:rPr>
        <w:t xml:space="preserve"> of 14 and 16 Cents Per Minute</w:t>
      </w:r>
      <w:bookmarkEnd w:id="44"/>
    </w:p>
    <w:p w:rsidR="00DF4322" w:rsidP="00D55BD2" w:rsidRDefault="002C7A79" w14:paraId="37B76679" w14:textId="567E4EB8">
      <w:pPr>
        <w:pStyle w:val="Standard"/>
        <w:ind w:firstLine="720"/>
        <w:rPr>
          <w:sz w:val="26"/>
          <w:szCs w:val="26"/>
        </w:rPr>
      </w:pPr>
      <w:r>
        <w:rPr>
          <w:sz w:val="26"/>
          <w:szCs w:val="26"/>
        </w:rPr>
        <w:t xml:space="preserve">In opening comments, </w:t>
      </w:r>
      <w:r w:rsidR="00D41F29">
        <w:rPr>
          <w:sz w:val="26"/>
          <w:szCs w:val="26"/>
        </w:rPr>
        <w:t xml:space="preserve">NCIC Inmate Communications, </w:t>
      </w:r>
      <w:r w:rsidR="00CC7097">
        <w:rPr>
          <w:sz w:val="26"/>
          <w:szCs w:val="26"/>
        </w:rPr>
        <w:t xml:space="preserve">Verizon, </w:t>
      </w:r>
      <w:r w:rsidRPr="00D55BD2" w:rsidR="00D55BD2">
        <w:rPr>
          <w:sz w:val="26"/>
          <w:szCs w:val="26"/>
        </w:rPr>
        <w:t xml:space="preserve">TURN, </w:t>
      </w:r>
      <w:proofErr w:type="spellStart"/>
      <w:r w:rsidRPr="00D55BD2" w:rsidR="00D55BD2">
        <w:rPr>
          <w:sz w:val="26"/>
          <w:szCs w:val="26"/>
        </w:rPr>
        <w:t>CforAT</w:t>
      </w:r>
      <w:proofErr w:type="spellEnd"/>
      <w:r w:rsidRPr="00D55BD2" w:rsidR="00D55BD2">
        <w:rPr>
          <w:sz w:val="26"/>
          <w:szCs w:val="26"/>
        </w:rPr>
        <w:t xml:space="preserve">, the Prison Policy Initiative, and the Justice Coalition support Commission adoption of the FCC’s Third Order interim rate caps </w:t>
      </w:r>
      <w:r w:rsidR="00CC7097">
        <w:rPr>
          <w:sz w:val="26"/>
          <w:szCs w:val="26"/>
        </w:rPr>
        <w:t>when</w:t>
      </w:r>
      <w:r w:rsidR="00D72754">
        <w:rPr>
          <w:sz w:val="26"/>
          <w:szCs w:val="26"/>
        </w:rPr>
        <w:t xml:space="preserve"> the</w:t>
      </w:r>
      <w:r w:rsidR="00CC7097">
        <w:rPr>
          <w:sz w:val="26"/>
          <w:szCs w:val="26"/>
        </w:rPr>
        <w:t xml:space="preserve"> </w:t>
      </w:r>
      <w:r w:rsidRPr="00D55BD2" w:rsidR="00D55BD2">
        <w:rPr>
          <w:sz w:val="26"/>
          <w:szCs w:val="26"/>
        </w:rPr>
        <w:t>FCC adopts these</w:t>
      </w:r>
      <w:r w:rsidR="00CC7097">
        <w:rPr>
          <w:sz w:val="26"/>
          <w:szCs w:val="26"/>
        </w:rPr>
        <w:t xml:space="preserve">, </w:t>
      </w:r>
      <w:r w:rsidRPr="00D55BD2" w:rsidR="00D55BD2">
        <w:rPr>
          <w:sz w:val="26"/>
          <w:szCs w:val="26"/>
        </w:rPr>
        <w:t>as proposed in the initial Staff Proposal.</w:t>
      </w:r>
      <w:r w:rsidR="00CC7097">
        <w:rPr>
          <w:sz w:val="26"/>
          <w:szCs w:val="26"/>
        </w:rPr>
        <w:t xml:space="preserve">  </w:t>
      </w:r>
      <w:r w:rsidR="00D72DB2">
        <w:rPr>
          <w:sz w:val="26"/>
          <w:szCs w:val="26"/>
        </w:rPr>
        <w:t>NCIC Inmate Communications states this would provide consistency for incarcerated persons and their families.</w:t>
      </w:r>
      <w:r w:rsidR="00D72DB2">
        <w:rPr>
          <w:rStyle w:val="FootnoteReference"/>
          <w:sz w:val="26"/>
          <w:szCs w:val="26"/>
        </w:rPr>
        <w:footnoteReference w:id="146"/>
      </w:r>
      <w:r>
        <w:rPr>
          <w:sz w:val="26"/>
          <w:szCs w:val="26"/>
        </w:rPr>
        <w:t xml:space="preserve">  The Prison Policy Institute supports Commission adoption of these rates on an interim basis </w:t>
      </w:r>
      <w:r w:rsidR="007731D9">
        <w:rPr>
          <w:sz w:val="26"/>
          <w:szCs w:val="26"/>
        </w:rPr>
        <w:t xml:space="preserve">“in the interest of </w:t>
      </w:r>
      <w:r>
        <w:rPr>
          <w:sz w:val="26"/>
          <w:szCs w:val="26"/>
        </w:rPr>
        <w:t>speed and simplicity.”</w:t>
      </w:r>
      <w:r>
        <w:rPr>
          <w:rStyle w:val="FootnoteReference"/>
          <w:sz w:val="26"/>
          <w:szCs w:val="26"/>
        </w:rPr>
        <w:footnoteReference w:id="147"/>
      </w:r>
      <w:r w:rsidR="00286963">
        <w:rPr>
          <w:sz w:val="26"/>
          <w:szCs w:val="26"/>
        </w:rPr>
        <w:t xml:space="preserve">  </w:t>
      </w:r>
    </w:p>
    <w:p w:rsidR="00602BA8" w:rsidP="00C83530" w:rsidRDefault="008726E9" w14:paraId="78EE2EC7" w14:textId="783120C9">
      <w:pPr>
        <w:pStyle w:val="Standard"/>
        <w:ind w:firstLine="720"/>
        <w:rPr>
          <w:sz w:val="26"/>
          <w:szCs w:val="26"/>
        </w:rPr>
      </w:pPr>
      <w:r>
        <w:rPr>
          <w:sz w:val="26"/>
          <w:szCs w:val="26"/>
        </w:rPr>
        <w:t>Pay Tel o</w:t>
      </w:r>
      <w:r w:rsidR="00602BA8">
        <w:rPr>
          <w:sz w:val="26"/>
          <w:szCs w:val="26"/>
        </w:rPr>
        <w:t>ppos</w:t>
      </w:r>
      <w:r>
        <w:rPr>
          <w:sz w:val="26"/>
          <w:szCs w:val="26"/>
        </w:rPr>
        <w:t>es Commission</w:t>
      </w:r>
      <w:r w:rsidR="00602BA8">
        <w:rPr>
          <w:sz w:val="26"/>
          <w:szCs w:val="26"/>
        </w:rPr>
        <w:t xml:space="preserve"> adoption of the FCC’s Third Order rate</w:t>
      </w:r>
      <w:r w:rsidR="00286963">
        <w:rPr>
          <w:sz w:val="26"/>
          <w:szCs w:val="26"/>
        </w:rPr>
        <w:t xml:space="preserve"> caps.</w:t>
      </w:r>
      <w:r>
        <w:rPr>
          <w:sz w:val="26"/>
          <w:szCs w:val="26"/>
        </w:rPr>
        <w:t xml:space="preserve"> </w:t>
      </w:r>
      <w:r w:rsidR="00602BA8">
        <w:rPr>
          <w:sz w:val="26"/>
          <w:szCs w:val="26"/>
        </w:rPr>
        <w:t xml:space="preserve">Pay Tel </w:t>
      </w:r>
      <w:r w:rsidR="001321F7">
        <w:rPr>
          <w:sz w:val="26"/>
          <w:szCs w:val="26"/>
        </w:rPr>
        <w:t xml:space="preserve">questions the data and methodology the FCC used to develop </w:t>
      </w:r>
      <w:r w:rsidR="00B5259E">
        <w:rPr>
          <w:sz w:val="26"/>
          <w:szCs w:val="26"/>
        </w:rPr>
        <w:t xml:space="preserve">the </w:t>
      </w:r>
      <w:r w:rsidR="001321F7">
        <w:rPr>
          <w:sz w:val="26"/>
          <w:szCs w:val="26"/>
        </w:rPr>
        <w:t xml:space="preserve">Third Order </w:t>
      </w:r>
      <w:r w:rsidR="00B5259E">
        <w:rPr>
          <w:sz w:val="26"/>
          <w:szCs w:val="26"/>
        </w:rPr>
        <w:t xml:space="preserve">rates and states that these </w:t>
      </w:r>
      <w:r w:rsidR="00E60A48">
        <w:rPr>
          <w:sz w:val="26"/>
          <w:szCs w:val="26"/>
        </w:rPr>
        <w:t xml:space="preserve">do not adequately </w:t>
      </w:r>
      <w:r w:rsidRPr="00503E5D" w:rsidR="00E60A48">
        <w:rPr>
          <w:sz w:val="26"/>
          <w:szCs w:val="26"/>
        </w:rPr>
        <w:t xml:space="preserve">account for </w:t>
      </w:r>
      <w:r>
        <w:rPr>
          <w:sz w:val="26"/>
          <w:szCs w:val="26"/>
        </w:rPr>
        <w:t xml:space="preserve">the </w:t>
      </w:r>
      <w:r w:rsidRPr="00503E5D" w:rsidR="00E60A48">
        <w:rPr>
          <w:sz w:val="26"/>
          <w:szCs w:val="26"/>
        </w:rPr>
        <w:t xml:space="preserve">cost </w:t>
      </w:r>
      <w:r w:rsidRPr="00503E5D" w:rsidR="00E60A48">
        <w:rPr>
          <w:sz w:val="26"/>
          <w:szCs w:val="26"/>
        </w:rPr>
        <w:lastRenderedPageBreak/>
        <w:t>differential of different size facilities</w:t>
      </w:r>
      <w:r w:rsidR="006410C9">
        <w:rPr>
          <w:sz w:val="26"/>
          <w:szCs w:val="26"/>
        </w:rPr>
        <w:t>.</w:t>
      </w:r>
      <w:r w:rsidR="006410C9">
        <w:rPr>
          <w:rStyle w:val="FootnoteReference"/>
          <w:sz w:val="26"/>
          <w:szCs w:val="26"/>
        </w:rPr>
        <w:footnoteReference w:id="148"/>
      </w:r>
      <w:r w:rsidR="00857886">
        <w:rPr>
          <w:sz w:val="26"/>
          <w:szCs w:val="26"/>
        </w:rPr>
        <w:t xml:space="preserve">  </w:t>
      </w:r>
      <w:r w:rsidR="00A125D5">
        <w:rPr>
          <w:sz w:val="26"/>
          <w:szCs w:val="26"/>
        </w:rPr>
        <w:t>Pay Tel</w:t>
      </w:r>
      <w:r w:rsidR="009372B0">
        <w:rPr>
          <w:sz w:val="26"/>
          <w:szCs w:val="26"/>
        </w:rPr>
        <w:t xml:space="preserve"> state</w:t>
      </w:r>
      <w:r w:rsidR="004762D4">
        <w:rPr>
          <w:sz w:val="26"/>
          <w:szCs w:val="26"/>
        </w:rPr>
        <w:t>s</w:t>
      </w:r>
      <w:r w:rsidR="00A125D5">
        <w:rPr>
          <w:sz w:val="26"/>
          <w:szCs w:val="26"/>
        </w:rPr>
        <w:t xml:space="preserve"> that j</w:t>
      </w:r>
      <w:r w:rsidRPr="00A125D5" w:rsidR="00A125D5">
        <w:rPr>
          <w:sz w:val="26"/>
          <w:szCs w:val="26"/>
        </w:rPr>
        <w:t>ails have much higher turnover rates than prisons, and much shorter average length of stays for the incarcerated</w:t>
      </w:r>
      <w:r w:rsidR="004762D4">
        <w:rPr>
          <w:sz w:val="26"/>
          <w:szCs w:val="26"/>
        </w:rPr>
        <w:t xml:space="preserve"> and contends that this </w:t>
      </w:r>
      <w:r w:rsidRPr="00A125D5" w:rsidR="00A125D5">
        <w:rPr>
          <w:sz w:val="26"/>
          <w:szCs w:val="26"/>
        </w:rPr>
        <w:t>results in higher costs for IPCS providers to set up and close call-service accounts for a more frequently rotating population of the incarcerated and fewer calling minutes over which to spread costs</w:t>
      </w:r>
      <w:r w:rsidR="00AB09E5">
        <w:rPr>
          <w:sz w:val="26"/>
          <w:szCs w:val="26"/>
        </w:rPr>
        <w:t>.</w:t>
      </w:r>
      <w:r w:rsidRPr="00A125D5" w:rsidR="00A125D5">
        <w:rPr>
          <w:sz w:val="26"/>
          <w:szCs w:val="26"/>
          <w:vertAlign w:val="superscript"/>
        </w:rPr>
        <w:footnoteReference w:id="149"/>
      </w:r>
      <w:r w:rsidRPr="00A125D5" w:rsidR="00A125D5">
        <w:rPr>
          <w:sz w:val="26"/>
          <w:szCs w:val="26"/>
        </w:rPr>
        <w:t xml:space="preserve">  Pay Tel asserts that smaller</w:t>
      </w:r>
      <w:r w:rsidR="00CC238F">
        <w:rPr>
          <w:sz w:val="26"/>
          <w:szCs w:val="26"/>
        </w:rPr>
        <w:t xml:space="preserve"> facilities</w:t>
      </w:r>
      <w:r w:rsidRPr="00A125D5" w:rsidR="00A125D5">
        <w:rPr>
          <w:sz w:val="26"/>
          <w:szCs w:val="26"/>
        </w:rPr>
        <w:t xml:space="preserve"> incur higher facility costs to administer and monitor IPCS</w:t>
      </w:r>
      <w:r w:rsidR="00FA1A4C">
        <w:rPr>
          <w:sz w:val="26"/>
          <w:szCs w:val="26"/>
        </w:rPr>
        <w:t xml:space="preserve"> </w:t>
      </w:r>
      <w:r w:rsidR="00BB05BF">
        <w:rPr>
          <w:sz w:val="26"/>
          <w:szCs w:val="26"/>
        </w:rPr>
        <w:t xml:space="preserve">calls for security purposes </w:t>
      </w:r>
      <w:r w:rsidR="00001224">
        <w:rPr>
          <w:sz w:val="26"/>
          <w:szCs w:val="26"/>
        </w:rPr>
        <w:t xml:space="preserve">and use </w:t>
      </w:r>
      <w:r w:rsidRPr="00A125D5" w:rsidR="00A125D5">
        <w:rPr>
          <w:sz w:val="26"/>
          <w:szCs w:val="26"/>
        </w:rPr>
        <w:t>site commission funds for this purpose.</w:t>
      </w:r>
      <w:r w:rsidRPr="00A125D5" w:rsidR="00A125D5">
        <w:rPr>
          <w:sz w:val="26"/>
          <w:szCs w:val="26"/>
          <w:vertAlign w:val="superscript"/>
        </w:rPr>
        <w:footnoteReference w:id="150"/>
      </w:r>
      <w:r w:rsidRPr="00A125D5" w:rsidR="00A125D5">
        <w:rPr>
          <w:sz w:val="26"/>
          <w:szCs w:val="26"/>
        </w:rPr>
        <w:t xml:space="preserve"> </w:t>
      </w:r>
      <w:r w:rsidR="00FE10E6">
        <w:rPr>
          <w:sz w:val="26"/>
          <w:szCs w:val="26"/>
        </w:rPr>
        <w:t xml:space="preserve">Pay Tel </w:t>
      </w:r>
      <w:r w:rsidR="0035595C">
        <w:rPr>
          <w:sz w:val="26"/>
          <w:szCs w:val="26"/>
        </w:rPr>
        <w:t xml:space="preserve">also </w:t>
      </w:r>
      <w:r w:rsidRPr="0023784C" w:rsidR="00FE10E6">
        <w:rPr>
          <w:sz w:val="26"/>
          <w:szCs w:val="26"/>
        </w:rPr>
        <w:t>contests Staff’s assertion in both proposals that “intrastate services are generally less expensive to provide than interstate services.”</w:t>
      </w:r>
      <w:r w:rsidRPr="0023784C" w:rsidR="00FE10E6">
        <w:rPr>
          <w:rStyle w:val="FootnoteReference"/>
          <w:sz w:val="26"/>
          <w:szCs w:val="26"/>
        </w:rPr>
        <w:footnoteReference w:id="151"/>
      </w:r>
      <w:r w:rsidRPr="0023784C" w:rsidR="00FE10E6">
        <w:rPr>
          <w:sz w:val="26"/>
          <w:szCs w:val="26"/>
        </w:rPr>
        <w:t xml:space="preserve"> Pay Tel states that “there is record evidence in the FCC’s I</w:t>
      </w:r>
      <w:r w:rsidR="00FE10E6">
        <w:rPr>
          <w:sz w:val="26"/>
          <w:szCs w:val="26"/>
        </w:rPr>
        <w:t>[P]</w:t>
      </w:r>
      <w:r w:rsidRPr="0023784C" w:rsidR="00FE10E6">
        <w:rPr>
          <w:sz w:val="26"/>
          <w:szCs w:val="26"/>
        </w:rPr>
        <w:t>CS proceeding demonstrating that intrastate and interstate I</w:t>
      </w:r>
      <w:r w:rsidR="00FE10E6">
        <w:rPr>
          <w:sz w:val="26"/>
          <w:szCs w:val="26"/>
        </w:rPr>
        <w:t>[P]</w:t>
      </w:r>
      <w:r w:rsidRPr="0023784C" w:rsidR="00FE10E6">
        <w:rPr>
          <w:sz w:val="26"/>
          <w:szCs w:val="26"/>
        </w:rPr>
        <w:t>CS calls generally cost the same to deploy</w:t>
      </w:r>
      <w:r w:rsidR="00FE10E6">
        <w:rPr>
          <w:sz w:val="26"/>
          <w:szCs w:val="26"/>
        </w:rPr>
        <w:t>.”</w:t>
      </w:r>
      <w:r w:rsidRPr="0023784C" w:rsidR="00FE10E6">
        <w:rPr>
          <w:rStyle w:val="FootnoteReference"/>
          <w:sz w:val="26"/>
          <w:szCs w:val="26"/>
        </w:rPr>
        <w:footnoteReference w:id="152"/>
      </w:r>
      <w:r w:rsidRPr="00A125D5" w:rsidR="00A125D5">
        <w:rPr>
          <w:sz w:val="26"/>
          <w:szCs w:val="26"/>
        </w:rPr>
        <w:t xml:space="preserve">  </w:t>
      </w:r>
    </w:p>
    <w:p w:rsidRPr="00CF5E6A" w:rsidR="00666584" w:rsidP="00336A21" w:rsidRDefault="00666584" w14:paraId="032B8EFE" w14:textId="0864412A">
      <w:pPr>
        <w:pStyle w:val="Standard"/>
        <w:ind w:firstLine="720"/>
        <w:rPr>
          <w:sz w:val="26"/>
          <w:szCs w:val="26"/>
        </w:rPr>
      </w:pPr>
      <w:r>
        <w:rPr>
          <w:sz w:val="26"/>
          <w:szCs w:val="26"/>
        </w:rPr>
        <w:t>Securus opposes Commission adoption of the FCC’s Third Order rate caps of $0.14</w:t>
      </w:r>
      <w:r w:rsidR="00B5259E">
        <w:rPr>
          <w:sz w:val="26"/>
          <w:szCs w:val="26"/>
        </w:rPr>
        <w:t xml:space="preserve"> and </w:t>
      </w:r>
      <w:r>
        <w:rPr>
          <w:sz w:val="26"/>
          <w:szCs w:val="26"/>
        </w:rPr>
        <w:t>$0.16 per minute, stating</w:t>
      </w:r>
      <w:r w:rsidR="00B5259E">
        <w:rPr>
          <w:sz w:val="26"/>
          <w:szCs w:val="26"/>
        </w:rPr>
        <w:t>, as does Pay Tel,</w:t>
      </w:r>
      <w:r>
        <w:rPr>
          <w:sz w:val="26"/>
          <w:szCs w:val="26"/>
        </w:rPr>
        <w:t xml:space="preserve"> that the</w:t>
      </w:r>
      <w:r w:rsidR="002715EF">
        <w:rPr>
          <w:sz w:val="26"/>
          <w:szCs w:val="26"/>
        </w:rPr>
        <w:t xml:space="preserve">re </w:t>
      </w:r>
      <w:r w:rsidR="00B5259E">
        <w:rPr>
          <w:sz w:val="26"/>
          <w:szCs w:val="26"/>
        </w:rPr>
        <w:t>are</w:t>
      </w:r>
      <w:r w:rsidR="002715EF">
        <w:rPr>
          <w:sz w:val="26"/>
          <w:szCs w:val="26"/>
        </w:rPr>
        <w:t xml:space="preserve"> unresolved issues with the FCC’s </w:t>
      </w:r>
      <w:r w:rsidR="00B5259E">
        <w:rPr>
          <w:sz w:val="26"/>
          <w:szCs w:val="26"/>
        </w:rPr>
        <w:t xml:space="preserve">data and </w:t>
      </w:r>
      <w:r w:rsidR="002715EF">
        <w:rPr>
          <w:sz w:val="26"/>
          <w:szCs w:val="26"/>
        </w:rPr>
        <w:t>methodology</w:t>
      </w:r>
      <w:r w:rsidR="00B5259E">
        <w:rPr>
          <w:sz w:val="26"/>
          <w:szCs w:val="26"/>
        </w:rPr>
        <w:t>.  Securus asserts that the Third Order inadequately a</w:t>
      </w:r>
      <w:r w:rsidR="002715EF">
        <w:rPr>
          <w:sz w:val="26"/>
          <w:szCs w:val="26"/>
        </w:rPr>
        <w:t>ddress</w:t>
      </w:r>
      <w:r w:rsidR="00B5259E">
        <w:rPr>
          <w:sz w:val="26"/>
          <w:szCs w:val="26"/>
        </w:rPr>
        <w:t xml:space="preserve">es </w:t>
      </w:r>
      <w:r w:rsidR="002715EF">
        <w:rPr>
          <w:sz w:val="26"/>
          <w:szCs w:val="26"/>
        </w:rPr>
        <w:t>site commissions</w:t>
      </w:r>
      <w:r w:rsidR="00BB05BF">
        <w:rPr>
          <w:sz w:val="26"/>
          <w:szCs w:val="26"/>
        </w:rPr>
        <w:t xml:space="preserve"> because</w:t>
      </w:r>
      <w:r w:rsidR="00443FAA">
        <w:rPr>
          <w:sz w:val="26"/>
          <w:szCs w:val="26"/>
        </w:rPr>
        <w:t xml:space="preserve"> </w:t>
      </w:r>
      <w:r w:rsidR="00B5259E">
        <w:rPr>
          <w:sz w:val="26"/>
          <w:szCs w:val="26"/>
        </w:rPr>
        <w:t xml:space="preserve">it leaves in place the 2013 Order </w:t>
      </w:r>
      <w:r w:rsidR="004D6ECA">
        <w:rPr>
          <w:sz w:val="26"/>
          <w:szCs w:val="26"/>
        </w:rPr>
        <w:t>rate cap of $0.21 for smaller jails with</w:t>
      </w:r>
      <w:r w:rsidR="005D73DE">
        <w:rPr>
          <w:sz w:val="26"/>
          <w:szCs w:val="26"/>
        </w:rPr>
        <w:t xml:space="preserve"> average daily</w:t>
      </w:r>
      <w:r w:rsidR="004D6ECA">
        <w:rPr>
          <w:sz w:val="26"/>
          <w:szCs w:val="26"/>
        </w:rPr>
        <w:t xml:space="preserve"> populations</w:t>
      </w:r>
      <w:r w:rsidR="005D73DE">
        <w:rPr>
          <w:sz w:val="26"/>
          <w:szCs w:val="26"/>
        </w:rPr>
        <w:t xml:space="preserve"> below 1,000</w:t>
      </w:r>
      <w:r w:rsidR="00FB6A4F">
        <w:rPr>
          <w:sz w:val="26"/>
          <w:szCs w:val="26"/>
        </w:rPr>
        <w:t xml:space="preserve"> </w:t>
      </w:r>
      <w:r w:rsidR="00B5259E">
        <w:rPr>
          <w:sz w:val="26"/>
          <w:szCs w:val="26"/>
        </w:rPr>
        <w:t xml:space="preserve">but </w:t>
      </w:r>
      <w:r w:rsidR="00FB6A4F">
        <w:rPr>
          <w:sz w:val="26"/>
          <w:szCs w:val="26"/>
        </w:rPr>
        <w:t>prohibit</w:t>
      </w:r>
      <w:r w:rsidR="00BE33F5">
        <w:rPr>
          <w:sz w:val="26"/>
          <w:szCs w:val="26"/>
        </w:rPr>
        <w:t>s</w:t>
      </w:r>
      <w:r w:rsidR="00FB6A4F">
        <w:rPr>
          <w:sz w:val="26"/>
          <w:szCs w:val="26"/>
        </w:rPr>
        <w:t xml:space="preserve"> </w:t>
      </w:r>
      <w:r w:rsidR="00D072E5">
        <w:rPr>
          <w:sz w:val="26"/>
          <w:szCs w:val="26"/>
        </w:rPr>
        <w:t xml:space="preserve">upward adjustment </w:t>
      </w:r>
      <w:r w:rsidR="00BE33F5">
        <w:rPr>
          <w:sz w:val="26"/>
          <w:szCs w:val="26"/>
        </w:rPr>
        <w:t xml:space="preserve">of this cap </w:t>
      </w:r>
      <w:r w:rsidR="00D072E5">
        <w:rPr>
          <w:sz w:val="26"/>
          <w:szCs w:val="26"/>
        </w:rPr>
        <w:t xml:space="preserve">to account for site </w:t>
      </w:r>
      <w:r w:rsidR="00D072E5">
        <w:rPr>
          <w:sz w:val="26"/>
          <w:szCs w:val="26"/>
        </w:rPr>
        <w:lastRenderedPageBreak/>
        <w:t>commissions</w:t>
      </w:r>
      <w:r w:rsidR="00B5259E">
        <w:rPr>
          <w:sz w:val="26"/>
          <w:szCs w:val="26"/>
        </w:rPr>
        <w:t>, even if the commission is mandated by state or local law</w:t>
      </w:r>
      <w:r w:rsidR="00D072E5">
        <w:rPr>
          <w:sz w:val="26"/>
          <w:szCs w:val="26"/>
        </w:rPr>
        <w:t>.</w:t>
      </w:r>
      <w:r w:rsidR="00D072E5">
        <w:rPr>
          <w:rStyle w:val="FootnoteReference"/>
          <w:sz w:val="26"/>
          <w:szCs w:val="26"/>
        </w:rPr>
        <w:footnoteReference w:id="153"/>
      </w:r>
      <w:r w:rsidR="00B5259E">
        <w:rPr>
          <w:sz w:val="26"/>
          <w:szCs w:val="26"/>
        </w:rPr>
        <w:t xml:space="preserve">  </w:t>
      </w:r>
      <w:r w:rsidR="00F950F8">
        <w:rPr>
          <w:sz w:val="26"/>
          <w:szCs w:val="26"/>
        </w:rPr>
        <w:t>Securus argues t</w:t>
      </w:r>
      <w:r w:rsidR="002715EF">
        <w:rPr>
          <w:sz w:val="26"/>
          <w:szCs w:val="26"/>
        </w:rPr>
        <w:t xml:space="preserve">he </w:t>
      </w:r>
      <w:r>
        <w:rPr>
          <w:sz w:val="26"/>
          <w:szCs w:val="26"/>
        </w:rPr>
        <w:t xml:space="preserve">Commission </w:t>
      </w:r>
      <w:r w:rsidR="00A06134">
        <w:rPr>
          <w:sz w:val="26"/>
          <w:szCs w:val="26"/>
        </w:rPr>
        <w:t>should</w:t>
      </w:r>
      <w:r w:rsidRPr="00666584">
        <w:rPr>
          <w:sz w:val="26"/>
          <w:szCs w:val="26"/>
        </w:rPr>
        <w:t xml:space="preserve"> </w:t>
      </w:r>
      <w:r w:rsidR="00BA7425">
        <w:rPr>
          <w:sz w:val="26"/>
          <w:szCs w:val="26"/>
        </w:rPr>
        <w:t xml:space="preserve">directly assess IPCS provider costs </w:t>
      </w:r>
      <w:r w:rsidRPr="00666584">
        <w:rPr>
          <w:sz w:val="26"/>
          <w:szCs w:val="26"/>
        </w:rPr>
        <w:t xml:space="preserve">and develop </w:t>
      </w:r>
      <w:r>
        <w:rPr>
          <w:sz w:val="26"/>
          <w:szCs w:val="26"/>
        </w:rPr>
        <w:t>a</w:t>
      </w:r>
      <w:r w:rsidR="00BA7425">
        <w:rPr>
          <w:sz w:val="26"/>
          <w:szCs w:val="26"/>
        </w:rPr>
        <w:t xml:space="preserve"> unique </w:t>
      </w:r>
      <w:r w:rsidRPr="00666584">
        <w:rPr>
          <w:sz w:val="26"/>
          <w:szCs w:val="26"/>
        </w:rPr>
        <w:t xml:space="preserve">rate </w:t>
      </w:r>
      <w:r>
        <w:rPr>
          <w:sz w:val="26"/>
          <w:szCs w:val="26"/>
        </w:rPr>
        <w:t>proposal</w:t>
      </w:r>
      <w:r w:rsidRPr="00666584">
        <w:rPr>
          <w:sz w:val="26"/>
          <w:szCs w:val="26"/>
        </w:rPr>
        <w:t xml:space="preserve"> tailored </w:t>
      </w:r>
      <w:r w:rsidR="00BA7425">
        <w:rPr>
          <w:sz w:val="26"/>
          <w:szCs w:val="26"/>
        </w:rPr>
        <w:t xml:space="preserve">to </w:t>
      </w:r>
      <w:r w:rsidRPr="00666584">
        <w:rPr>
          <w:sz w:val="26"/>
          <w:szCs w:val="26"/>
        </w:rPr>
        <w:t>C</w:t>
      </w:r>
      <w:r w:rsidR="000C378F">
        <w:rPr>
          <w:sz w:val="26"/>
          <w:szCs w:val="26"/>
        </w:rPr>
        <w:t>alifornia</w:t>
      </w:r>
      <w:r w:rsidR="00BA7425">
        <w:rPr>
          <w:sz w:val="26"/>
          <w:szCs w:val="26"/>
        </w:rPr>
        <w:t>’s needs.  If th</w:t>
      </w:r>
      <w:r w:rsidR="00D00AF6">
        <w:rPr>
          <w:sz w:val="26"/>
          <w:szCs w:val="26"/>
        </w:rPr>
        <w:t xml:space="preserve">e Commission </w:t>
      </w:r>
      <w:r w:rsidR="00BA7425">
        <w:rPr>
          <w:sz w:val="26"/>
          <w:szCs w:val="26"/>
        </w:rPr>
        <w:t xml:space="preserve">does </w:t>
      </w:r>
      <w:r w:rsidR="00D00AF6">
        <w:rPr>
          <w:sz w:val="26"/>
          <w:szCs w:val="26"/>
        </w:rPr>
        <w:t xml:space="preserve">adopt the FCC’s Third Order </w:t>
      </w:r>
      <w:r w:rsidR="00561F99">
        <w:rPr>
          <w:sz w:val="26"/>
          <w:szCs w:val="26"/>
        </w:rPr>
        <w:t>interim rates</w:t>
      </w:r>
      <w:r w:rsidR="00BA7425">
        <w:rPr>
          <w:sz w:val="26"/>
          <w:szCs w:val="26"/>
        </w:rPr>
        <w:t xml:space="preserve">, Securus requests that </w:t>
      </w:r>
      <w:r w:rsidR="00BB05BF">
        <w:rPr>
          <w:sz w:val="26"/>
          <w:szCs w:val="26"/>
        </w:rPr>
        <w:t>this occur</w:t>
      </w:r>
      <w:r w:rsidR="00DE6A34">
        <w:rPr>
          <w:sz w:val="26"/>
          <w:szCs w:val="26"/>
        </w:rPr>
        <w:t>s</w:t>
      </w:r>
      <w:r w:rsidR="00BB05BF">
        <w:rPr>
          <w:sz w:val="26"/>
          <w:szCs w:val="26"/>
        </w:rPr>
        <w:t xml:space="preserve"> </w:t>
      </w:r>
      <w:r w:rsidR="00BA7425">
        <w:rPr>
          <w:sz w:val="26"/>
          <w:szCs w:val="26"/>
        </w:rPr>
        <w:t xml:space="preserve">after the </w:t>
      </w:r>
      <w:r w:rsidR="00BB05BF">
        <w:rPr>
          <w:sz w:val="26"/>
          <w:szCs w:val="26"/>
        </w:rPr>
        <w:t xml:space="preserve">FCC </w:t>
      </w:r>
      <w:r w:rsidR="00BA7425">
        <w:rPr>
          <w:sz w:val="26"/>
          <w:szCs w:val="26"/>
        </w:rPr>
        <w:t xml:space="preserve">regulations </w:t>
      </w:r>
      <w:r w:rsidRPr="00E059B4" w:rsidR="00E059B4">
        <w:rPr>
          <w:sz w:val="26"/>
          <w:szCs w:val="26"/>
        </w:rPr>
        <w:t>take effect</w:t>
      </w:r>
      <w:r w:rsidR="00BA7425">
        <w:rPr>
          <w:sz w:val="26"/>
          <w:szCs w:val="26"/>
        </w:rPr>
        <w:t xml:space="preserve"> </w:t>
      </w:r>
      <w:r w:rsidR="00561F99">
        <w:rPr>
          <w:sz w:val="26"/>
          <w:szCs w:val="26"/>
        </w:rPr>
        <w:t xml:space="preserve">or </w:t>
      </w:r>
      <w:r w:rsidR="00BA7425">
        <w:rPr>
          <w:sz w:val="26"/>
          <w:szCs w:val="26"/>
        </w:rPr>
        <w:t xml:space="preserve">after </w:t>
      </w:r>
      <w:r w:rsidRPr="00CF5E6A" w:rsidR="00BA7425">
        <w:rPr>
          <w:sz w:val="26"/>
          <w:szCs w:val="26"/>
        </w:rPr>
        <w:t>removal of any stay on Third Order requirements</w:t>
      </w:r>
      <w:r w:rsidRPr="00CF5E6A" w:rsidR="00682A8D">
        <w:rPr>
          <w:sz w:val="26"/>
          <w:szCs w:val="26"/>
        </w:rPr>
        <w:t>.</w:t>
      </w:r>
      <w:r w:rsidRPr="00CF5E6A" w:rsidR="00682A8D">
        <w:rPr>
          <w:rStyle w:val="FootnoteReference"/>
          <w:sz w:val="26"/>
          <w:szCs w:val="26"/>
        </w:rPr>
        <w:footnoteReference w:id="154"/>
      </w:r>
    </w:p>
    <w:p w:rsidRPr="00B3043C" w:rsidR="00CA46C2" w:rsidP="008F00E3" w:rsidRDefault="008A2A1B" w14:paraId="00FEF546" w14:textId="681F010D">
      <w:pPr>
        <w:pStyle w:val="Heading2"/>
      </w:pPr>
      <w:bookmarkStart w:name="_Toc80089406" w:id="45"/>
      <w:r>
        <w:t>6</w:t>
      </w:r>
      <w:r w:rsidR="004616AF">
        <w:t>.2</w:t>
      </w:r>
      <w:r w:rsidR="004616AF">
        <w:tab/>
      </w:r>
      <w:r w:rsidR="00CA46C2">
        <w:t>Part</w:t>
      </w:r>
      <w:r w:rsidR="00A037DD">
        <w:t xml:space="preserve">y </w:t>
      </w:r>
      <w:r w:rsidR="00CA46C2">
        <w:t>Propos</w:t>
      </w:r>
      <w:r w:rsidR="00A037DD">
        <w:t xml:space="preserve">als </w:t>
      </w:r>
      <w:r w:rsidR="00142B11">
        <w:t>for an</w:t>
      </w:r>
      <w:r w:rsidR="00A037DD">
        <w:t xml:space="preserve"> </w:t>
      </w:r>
      <w:r w:rsidR="00CA46C2">
        <w:t>Interim Rate</w:t>
      </w:r>
      <w:r w:rsidR="00A037DD">
        <w:t xml:space="preserve"> </w:t>
      </w:r>
      <w:r w:rsidR="00142B11">
        <w:t xml:space="preserve">Cap </w:t>
      </w:r>
      <w:r w:rsidR="00CA41FA">
        <w:br/>
      </w:r>
      <w:r w:rsidR="00142B11">
        <w:t>of</w:t>
      </w:r>
      <w:r w:rsidR="002E131D">
        <w:t xml:space="preserve"> One to 11 Cents Per Minute</w:t>
      </w:r>
      <w:bookmarkEnd w:id="45"/>
    </w:p>
    <w:p w:rsidR="00B8701E" w:rsidP="00F22219" w:rsidRDefault="007D3D5E" w14:paraId="2C9BE7E0" w14:textId="5CE9E6A3">
      <w:pPr>
        <w:pStyle w:val="Standard"/>
        <w:ind w:firstLine="720"/>
        <w:rPr>
          <w:sz w:val="26"/>
          <w:szCs w:val="26"/>
        </w:rPr>
      </w:pPr>
      <w:r>
        <w:rPr>
          <w:sz w:val="26"/>
          <w:szCs w:val="26"/>
        </w:rPr>
        <w:t xml:space="preserve">All </w:t>
      </w:r>
      <w:r w:rsidR="00545BA5">
        <w:rPr>
          <w:sz w:val="26"/>
          <w:szCs w:val="26"/>
        </w:rPr>
        <w:t>n</w:t>
      </w:r>
      <w:r w:rsidR="00B8701E">
        <w:rPr>
          <w:sz w:val="26"/>
          <w:szCs w:val="26"/>
        </w:rPr>
        <w:t>on-pro</w:t>
      </w:r>
      <w:r w:rsidR="004D1C8E">
        <w:rPr>
          <w:sz w:val="26"/>
          <w:szCs w:val="26"/>
        </w:rPr>
        <w:t xml:space="preserve">vider parties (Cal Advocates, TURN, </w:t>
      </w:r>
      <w:proofErr w:type="spellStart"/>
      <w:r w:rsidR="004D1C8E">
        <w:rPr>
          <w:sz w:val="26"/>
          <w:szCs w:val="26"/>
        </w:rPr>
        <w:t>CforAT</w:t>
      </w:r>
      <w:proofErr w:type="spellEnd"/>
      <w:r w:rsidR="004D1C8E">
        <w:rPr>
          <w:sz w:val="26"/>
          <w:szCs w:val="26"/>
        </w:rPr>
        <w:t xml:space="preserve">, Prison Policy Institute, and the Justice Coalition) </w:t>
      </w:r>
      <w:r w:rsidR="00827C7E">
        <w:rPr>
          <w:sz w:val="26"/>
          <w:szCs w:val="26"/>
        </w:rPr>
        <w:t xml:space="preserve">support </w:t>
      </w:r>
      <w:r w:rsidR="00B8701E">
        <w:rPr>
          <w:sz w:val="26"/>
          <w:szCs w:val="26"/>
        </w:rPr>
        <w:t xml:space="preserve">Commission adoption of interim intrastate IPCS rate caps lower than those adopted by the FCC in either its </w:t>
      </w:r>
      <w:r w:rsidR="00286963">
        <w:rPr>
          <w:sz w:val="26"/>
          <w:szCs w:val="26"/>
        </w:rPr>
        <w:t>2013</w:t>
      </w:r>
      <w:r w:rsidR="00BA7425">
        <w:rPr>
          <w:sz w:val="26"/>
          <w:szCs w:val="26"/>
        </w:rPr>
        <w:t xml:space="preserve"> Order</w:t>
      </w:r>
      <w:r w:rsidR="00B8701E">
        <w:rPr>
          <w:sz w:val="26"/>
          <w:szCs w:val="26"/>
        </w:rPr>
        <w:t xml:space="preserve"> or </w:t>
      </w:r>
      <w:r w:rsidR="00BA7425">
        <w:rPr>
          <w:sz w:val="26"/>
          <w:szCs w:val="26"/>
        </w:rPr>
        <w:t xml:space="preserve">its 2021 </w:t>
      </w:r>
      <w:r w:rsidR="00B8701E">
        <w:rPr>
          <w:sz w:val="26"/>
          <w:szCs w:val="26"/>
        </w:rPr>
        <w:t xml:space="preserve">Third Order. </w:t>
      </w:r>
      <w:r w:rsidR="006C1E59">
        <w:rPr>
          <w:sz w:val="26"/>
          <w:szCs w:val="26"/>
        </w:rPr>
        <w:t xml:space="preserve"> T</w:t>
      </w:r>
      <w:r w:rsidR="004D1C8E">
        <w:rPr>
          <w:sz w:val="26"/>
          <w:szCs w:val="26"/>
        </w:rPr>
        <w:t xml:space="preserve">hese parties </w:t>
      </w:r>
      <w:r w:rsidR="00C828C2">
        <w:rPr>
          <w:sz w:val="26"/>
          <w:szCs w:val="26"/>
        </w:rPr>
        <w:t>offer several</w:t>
      </w:r>
      <w:r w:rsidR="00B8701E">
        <w:rPr>
          <w:sz w:val="26"/>
          <w:szCs w:val="26"/>
        </w:rPr>
        <w:t xml:space="preserve"> proposals </w:t>
      </w:r>
      <w:r w:rsidR="00BA7425">
        <w:rPr>
          <w:sz w:val="26"/>
          <w:szCs w:val="26"/>
        </w:rPr>
        <w:t>for Commission consideration.</w:t>
      </w:r>
    </w:p>
    <w:p w:rsidR="00ED5A47" w:rsidP="00ED5A47" w:rsidRDefault="00681517" w14:paraId="6EDEA2AB" w14:textId="304803BE">
      <w:pPr>
        <w:pStyle w:val="Standard"/>
        <w:ind w:firstLine="720"/>
        <w:rPr>
          <w:sz w:val="26"/>
          <w:szCs w:val="26"/>
        </w:rPr>
      </w:pPr>
      <w:r>
        <w:rPr>
          <w:sz w:val="26"/>
          <w:szCs w:val="26"/>
        </w:rPr>
        <w:t xml:space="preserve">The </w:t>
      </w:r>
      <w:r w:rsidR="00647462">
        <w:rPr>
          <w:sz w:val="26"/>
          <w:szCs w:val="26"/>
        </w:rPr>
        <w:t xml:space="preserve">Justice Coalition </w:t>
      </w:r>
      <w:r>
        <w:rPr>
          <w:sz w:val="26"/>
          <w:szCs w:val="26"/>
        </w:rPr>
        <w:t>recommends</w:t>
      </w:r>
      <w:r w:rsidR="00827C7E">
        <w:rPr>
          <w:sz w:val="26"/>
          <w:szCs w:val="26"/>
        </w:rPr>
        <w:t xml:space="preserve"> that </w:t>
      </w:r>
      <w:r w:rsidR="00647462">
        <w:rPr>
          <w:sz w:val="26"/>
          <w:szCs w:val="26"/>
        </w:rPr>
        <w:t xml:space="preserve">the Commission cap intrastate IPCS </w:t>
      </w:r>
      <w:r w:rsidRPr="00647462" w:rsidR="00647462">
        <w:rPr>
          <w:sz w:val="26"/>
          <w:szCs w:val="26"/>
        </w:rPr>
        <w:t>rate</w:t>
      </w:r>
      <w:r w:rsidR="00647462">
        <w:rPr>
          <w:sz w:val="26"/>
          <w:szCs w:val="26"/>
        </w:rPr>
        <w:t>s</w:t>
      </w:r>
      <w:r w:rsidRPr="00647462" w:rsidR="00647462">
        <w:rPr>
          <w:sz w:val="26"/>
          <w:szCs w:val="26"/>
        </w:rPr>
        <w:t xml:space="preserve"> </w:t>
      </w:r>
      <w:r w:rsidR="00647462">
        <w:rPr>
          <w:sz w:val="26"/>
          <w:szCs w:val="26"/>
        </w:rPr>
        <w:t xml:space="preserve">at </w:t>
      </w:r>
      <w:r>
        <w:rPr>
          <w:sz w:val="26"/>
          <w:szCs w:val="26"/>
        </w:rPr>
        <w:t>a maximum of</w:t>
      </w:r>
      <w:r w:rsidR="00647462">
        <w:rPr>
          <w:sz w:val="26"/>
          <w:szCs w:val="26"/>
        </w:rPr>
        <w:t xml:space="preserve"> </w:t>
      </w:r>
      <w:r w:rsidRPr="00647462" w:rsidR="00647462">
        <w:rPr>
          <w:sz w:val="26"/>
          <w:szCs w:val="26"/>
        </w:rPr>
        <w:t>$0.11</w:t>
      </w:r>
      <w:r w:rsidR="00647462">
        <w:rPr>
          <w:sz w:val="26"/>
          <w:szCs w:val="26"/>
        </w:rPr>
        <w:t xml:space="preserve"> per </w:t>
      </w:r>
      <w:r w:rsidRPr="00647462" w:rsidR="00647462">
        <w:rPr>
          <w:sz w:val="26"/>
          <w:szCs w:val="26"/>
        </w:rPr>
        <w:t>min</w:t>
      </w:r>
      <w:r w:rsidR="00647462">
        <w:rPr>
          <w:sz w:val="26"/>
          <w:szCs w:val="26"/>
        </w:rPr>
        <w:t xml:space="preserve">ute as </w:t>
      </w:r>
      <w:r w:rsidR="008D1943">
        <w:rPr>
          <w:sz w:val="26"/>
          <w:szCs w:val="26"/>
        </w:rPr>
        <w:t xml:space="preserve">reflected in the FCC’s </w:t>
      </w:r>
      <w:r w:rsidR="007D3D5E">
        <w:rPr>
          <w:sz w:val="26"/>
          <w:szCs w:val="26"/>
        </w:rPr>
        <w:t>2015 permanent</w:t>
      </w:r>
      <w:r w:rsidR="008D1943">
        <w:rPr>
          <w:sz w:val="26"/>
          <w:szCs w:val="26"/>
        </w:rPr>
        <w:t xml:space="preserve"> rates, adopted in </w:t>
      </w:r>
      <w:r w:rsidR="00BA7425">
        <w:rPr>
          <w:sz w:val="26"/>
          <w:szCs w:val="26"/>
        </w:rPr>
        <w:t xml:space="preserve">the </w:t>
      </w:r>
      <w:r w:rsidR="008D1943">
        <w:rPr>
          <w:sz w:val="26"/>
          <w:szCs w:val="26"/>
        </w:rPr>
        <w:t>2015</w:t>
      </w:r>
      <w:r w:rsidR="00BA7425">
        <w:rPr>
          <w:sz w:val="26"/>
          <w:szCs w:val="26"/>
        </w:rPr>
        <w:t xml:space="preserve"> Order but later vacated </w:t>
      </w:r>
      <w:r w:rsidRPr="009B2ACB" w:rsidR="00BA7425">
        <w:rPr>
          <w:sz w:val="26"/>
          <w:szCs w:val="26"/>
        </w:rPr>
        <w:t xml:space="preserve">by </w:t>
      </w:r>
      <w:r w:rsidRPr="009B2ACB" w:rsidR="61A4B309">
        <w:rPr>
          <w:sz w:val="26"/>
          <w:szCs w:val="26"/>
        </w:rPr>
        <w:t>the D.C. Circuit</w:t>
      </w:r>
      <w:r w:rsidRPr="009B2ACB" w:rsidR="0A0E01FC">
        <w:rPr>
          <w:sz w:val="26"/>
          <w:szCs w:val="26"/>
        </w:rPr>
        <w:t>.</w:t>
      </w:r>
      <w:r w:rsidRPr="009B2ACB" w:rsidR="00827C7E">
        <w:rPr>
          <w:rStyle w:val="FootnoteReference"/>
          <w:sz w:val="26"/>
          <w:szCs w:val="26"/>
        </w:rPr>
        <w:footnoteReference w:id="155"/>
      </w:r>
      <w:r w:rsidR="008D1943">
        <w:rPr>
          <w:sz w:val="26"/>
          <w:szCs w:val="26"/>
        </w:rPr>
        <w:t xml:space="preserve"> </w:t>
      </w:r>
      <w:r w:rsidR="00A85ABD">
        <w:rPr>
          <w:sz w:val="26"/>
          <w:szCs w:val="26"/>
        </w:rPr>
        <w:t xml:space="preserve"> </w:t>
      </w:r>
      <w:r w:rsidR="00BA7425">
        <w:rPr>
          <w:sz w:val="26"/>
          <w:szCs w:val="26"/>
        </w:rPr>
        <w:t xml:space="preserve">According to the Justice Coalition, the state of </w:t>
      </w:r>
      <w:r w:rsidRPr="00647462" w:rsidR="00647462">
        <w:rPr>
          <w:sz w:val="26"/>
          <w:szCs w:val="26"/>
        </w:rPr>
        <w:t>New Jersey adopted the FCC</w:t>
      </w:r>
      <w:r w:rsidR="008D1943">
        <w:rPr>
          <w:sz w:val="26"/>
          <w:szCs w:val="26"/>
        </w:rPr>
        <w:t xml:space="preserve"> 2015 </w:t>
      </w:r>
      <w:r w:rsidR="00BA7425">
        <w:rPr>
          <w:sz w:val="26"/>
          <w:szCs w:val="26"/>
        </w:rPr>
        <w:t xml:space="preserve">Order </w:t>
      </w:r>
      <w:r w:rsidR="008D1943">
        <w:rPr>
          <w:sz w:val="26"/>
          <w:szCs w:val="26"/>
        </w:rPr>
        <w:t>ra</w:t>
      </w:r>
      <w:r w:rsidR="00BA7425">
        <w:rPr>
          <w:sz w:val="26"/>
          <w:szCs w:val="26"/>
        </w:rPr>
        <w:t>tes</w:t>
      </w:r>
      <w:r w:rsidR="00A85ABD">
        <w:rPr>
          <w:sz w:val="26"/>
          <w:szCs w:val="26"/>
        </w:rPr>
        <w:t xml:space="preserve"> </w:t>
      </w:r>
      <w:r w:rsidR="008D1943">
        <w:rPr>
          <w:sz w:val="26"/>
          <w:szCs w:val="26"/>
        </w:rPr>
        <w:t xml:space="preserve">as </w:t>
      </w:r>
      <w:r w:rsidR="00A85ABD">
        <w:rPr>
          <w:sz w:val="26"/>
          <w:szCs w:val="26"/>
        </w:rPr>
        <w:t>its</w:t>
      </w:r>
      <w:r w:rsidRPr="00647462" w:rsidR="00647462">
        <w:rPr>
          <w:sz w:val="26"/>
          <w:szCs w:val="26"/>
        </w:rPr>
        <w:t xml:space="preserve"> </w:t>
      </w:r>
      <w:r w:rsidR="00BB05BF">
        <w:rPr>
          <w:sz w:val="26"/>
          <w:szCs w:val="26"/>
        </w:rPr>
        <w:t xml:space="preserve">own </w:t>
      </w:r>
      <w:r w:rsidRPr="00647462" w:rsidR="00647462">
        <w:rPr>
          <w:sz w:val="26"/>
          <w:szCs w:val="26"/>
        </w:rPr>
        <w:t xml:space="preserve">intrastate </w:t>
      </w:r>
      <w:r w:rsidR="00A85ABD">
        <w:rPr>
          <w:sz w:val="26"/>
          <w:szCs w:val="26"/>
        </w:rPr>
        <w:t xml:space="preserve">IPCS </w:t>
      </w:r>
      <w:r w:rsidR="00BB05BF">
        <w:rPr>
          <w:sz w:val="26"/>
          <w:szCs w:val="26"/>
        </w:rPr>
        <w:t xml:space="preserve">rate </w:t>
      </w:r>
      <w:r w:rsidR="00A85ABD">
        <w:rPr>
          <w:sz w:val="26"/>
          <w:szCs w:val="26"/>
        </w:rPr>
        <w:t xml:space="preserve">cap </w:t>
      </w:r>
      <w:r w:rsidRPr="00647462" w:rsidR="00647462">
        <w:rPr>
          <w:sz w:val="26"/>
          <w:szCs w:val="26"/>
        </w:rPr>
        <w:t>in 201</w:t>
      </w:r>
      <w:r w:rsidR="00BA7425">
        <w:rPr>
          <w:sz w:val="26"/>
          <w:szCs w:val="26"/>
        </w:rPr>
        <w:t>6</w:t>
      </w:r>
      <w:r w:rsidR="00A85ABD">
        <w:rPr>
          <w:sz w:val="26"/>
          <w:szCs w:val="26"/>
        </w:rPr>
        <w:t>.</w:t>
      </w:r>
      <w:r w:rsidR="00A85ABD">
        <w:rPr>
          <w:rStyle w:val="FootnoteReference"/>
          <w:sz w:val="26"/>
          <w:szCs w:val="26"/>
        </w:rPr>
        <w:footnoteReference w:id="156"/>
      </w:r>
      <w:r w:rsidRPr="00647462" w:rsidR="00647462">
        <w:rPr>
          <w:sz w:val="26"/>
          <w:szCs w:val="26"/>
        </w:rPr>
        <w:t xml:space="preserve">  </w:t>
      </w:r>
      <w:r w:rsidR="007E7C5C">
        <w:rPr>
          <w:sz w:val="26"/>
          <w:szCs w:val="26"/>
        </w:rPr>
        <w:t xml:space="preserve">The Justice Coalition </w:t>
      </w:r>
      <w:r w:rsidR="00ED5A47">
        <w:rPr>
          <w:sz w:val="26"/>
          <w:szCs w:val="26"/>
        </w:rPr>
        <w:lastRenderedPageBreak/>
        <w:t>recommends the Commission consider even lower rates, stating that “</w:t>
      </w:r>
      <w:r w:rsidRPr="00655E69" w:rsidR="00ED5A47">
        <w:rPr>
          <w:sz w:val="26"/>
          <w:szCs w:val="26"/>
        </w:rPr>
        <w:t>there are a range of rate caps that are defensible, ranging from $0.009 per minute to $0.11 per minute</w:t>
      </w:r>
      <w:r w:rsidR="00ED5A47">
        <w:rPr>
          <w:sz w:val="26"/>
          <w:szCs w:val="26"/>
        </w:rPr>
        <w:t>.”</w:t>
      </w:r>
      <w:r w:rsidR="00ED5A47">
        <w:rPr>
          <w:rStyle w:val="FootnoteReference"/>
          <w:sz w:val="26"/>
          <w:szCs w:val="26"/>
        </w:rPr>
        <w:footnoteReference w:id="157"/>
      </w:r>
      <w:r w:rsidR="00ED5A47">
        <w:rPr>
          <w:sz w:val="26"/>
          <w:szCs w:val="26"/>
        </w:rPr>
        <w:t xml:space="preserve">  The Justice Coalition states that</w:t>
      </w:r>
      <w:r w:rsidRPr="00F47DBC" w:rsidR="00ED5A47">
        <w:rPr>
          <w:sz w:val="26"/>
          <w:szCs w:val="26"/>
        </w:rPr>
        <w:t xml:space="preserve"> </w:t>
      </w:r>
      <w:r w:rsidRPr="007D3579" w:rsidR="00ED5A47">
        <w:rPr>
          <w:sz w:val="26"/>
          <w:szCs w:val="26"/>
        </w:rPr>
        <w:t>prison and jail systems across the country</w:t>
      </w:r>
      <w:r w:rsidR="00ED5A47">
        <w:rPr>
          <w:sz w:val="26"/>
          <w:szCs w:val="26"/>
        </w:rPr>
        <w:t xml:space="preserve"> are currently charging rates </w:t>
      </w:r>
      <w:r w:rsidRPr="007D3579" w:rsidR="00ED5A47">
        <w:rPr>
          <w:sz w:val="26"/>
          <w:szCs w:val="26"/>
        </w:rPr>
        <w:t>of $0.009 per minute</w:t>
      </w:r>
      <w:r w:rsidR="00ED5A47">
        <w:rPr>
          <w:sz w:val="26"/>
          <w:szCs w:val="26"/>
        </w:rPr>
        <w:t xml:space="preserve"> </w:t>
      </w:r>
      <w:r w:rsidRPr="007D3579" w:rsidR="00ED5A47">
        <w:rPr>
          <w:sz w:val="26"/>
          <w:szCs w:val="26"/>
        </w:rPr>
        <w:t>to $0.03 per minute.</w:t>
      </w:r>
      <w:r w:rsidR="00ED5A47">
        <w:rPr>
          <w:rStyle w:val="FootnoteReference"/>
          <w:sz w:val="26"/>
          <w:szCs w:val="26"/>
        </w:rPr>
        <w:footnoteReference w:id="158"/>
      </w:r>
      <w:r w:rsidRPr="007D3579" w:rsidR="00ED5A47">
        <w:rPr>
          <w:sz w:val="26"/>
          <w:szCs w:val="26"/>
        </w:rPr>
        <w:t xml:space="preserve">  </w:t>
      </w:r>
      <w:r w:rsidR="00ED5A47">
        <w:rPr>
          <w:sz w:val="26"/>
          <w:szCs w:val="26"/>
        </w:rPr>
        <w:t>Commission adoption of a rate cap in this range would provide rate relief to all incarcerated persons and their families in California, observes the Justice Coalition, which none of the other proposals would accomplish.</w:t>
      </w:r>
      <w:r w:rsidR="003922D6">
        <w:rPr>
          <w:sz w:val="26"/>
          <w:szCs w:val="26"/>
        </w:rPr>
        <w:t xml:space="preserve">  The Justice Coalition also </w:t>
      </w:r>
      <w:r w:rsidR="00BB05BF">
        <w:rPr>
          <w:sz w:val="26"/>
          <w:szCs w:val="26"/>
        </w:rPr>
        <w:t xml:space="preserve">identifies </w:t>
      </w:r>
      <w:r w:rsidR="003922D6">
        <w:rPr>
          <w:sz w:val="26"/>
          <w:szCs w:val="26"/>
        </w:rPr>
        <w:t xml:space="preserve">the CDCR rate of $0.025 as a </w:t>
      </w:r>
      <w:r w:rsidR="00BB05BF">
        <w:rPr>
          <w:sz w:val="26"/>
          <w:szCs w:val="26"/>
        </w:rPr>
        <w:t xml:space="preserve">potential </w:t>
      </w:r>
      <w:r w:rsidR="003922D6">
        <w:rPr>
          <w:sz w:val="26"/>
          <w:szCs w:val="26"/>
        </w:rPr>
        <w:t>model in both its opening and reply comments.</w:t>
      </w:r>
      <w:r w:rsidR="003922D6">
        <w:rPr>
          <w:rStyle w:val="FootnoteReference"/>
          <w:sz w:val="26"/>
          <w:szCs w:val="26"/>
        </w:rPr>
        <w:footnoteReference w:id="159"/>
      </w:r>
    </w:p>
    <w:p w:rsidR="00ED5A47" w:rsidP="00ED5A47" w:rsidRDefault="00ED5A47" w14:paraId="6E1379F2" w14:textId="77777777">
      <w:pPr>
        <w:pStyle w:val="Standard"/>
        <w:ind w:firstLine="720"/>
        <w:rPr>
          <w:sz w:val="26"/>
          <w:szCs w:val="26"/>
        </w:rPr>
      </w:pPr>
      <w:r>
        <w:rPr>
          <w:sz w:val="26"/>
          <w:szCs w:val="26"/>
        </w:rPr>
        <w:t xml:space="preserve">The Justice Coalition further recommends the Commission require IPCS providers to provide </w:t>
      </w:r>
      <w:r w:rsidRPr="00AF5F62">
        <w:rPr>
          <w:sz w:val="26"/>
          <w:szCs w:val="26"/>
        </w:rPr>
        <w:t>at least two free 15-minute calls per week to incarcerated people</w:t>
      </w:r>
      <w:r>
        <w:rPr>
          <w:sz w:val="26"/>
          <w:szCs w:val="26"/>
        </w:rPr>
        <w:t xml:space="preserve">, noting that the CDCR provides two free calls per month, but that no standards in this area exist: </w:t>
      </w:r>
    </w:p>
    <w:p w:rsidR="00ED5A47" w:rsidP="00FC0716" w:rsidRDefault="00ED5A47" w14:paraId="7C3A349E" w14:textId="77777777">
      <w:pPr>
        <w:pStyle w:val="BlockQuote"/>
        <w:spacing w:line="240" w:lineRule="auto"/>
        <w:ind w:right="1440"/>
        <w:rPr>
          <w:sz w:val="26"/>
          <w:szCs w:val="26"/>
        </w:rPr>
      </w:pPr>
      <w:r w:rsidRPr="00783099">
        <w:rPr>
          <w:sz w:val="26"/>
          <w:szCs w:val="26"/>
        </w:rPr>
        <w:t>We heard from callers during the Public Participation Hearings last month that there is no standard among facilities with regards to the number and duration of free calls.  We urge the Commission to use its authority to standardize this practice across the state and ensure</w:t>
      </w:r>
      <w:r w:rsidRPr="00783099" w:rsidDel="00FC3264">
        <w:rPr>
          <w:sz w:val="26"/>
          <w:szCs w:val="26"/>
        </w:rPr>
        <w:t xml:space="preserve"> </w:t>
      </w:r>
      <w:r w:rsidRPr="00783099">
        <w:rPr>
          <w:sz w:val="26"/>
          <w:szCs w:val="26"/>
        </w:rPr>
        <w:t>that whether someone has access to fre</w:t>
      </w:r>
      <w:r>
        <w:rPr>
          <w:sz w:val="26"/>
          <w:szCs w:val="26"/>
        </w:rPr>
        <w:t>e</w:t>
      </w:r>
      <w:r w:rsidRPr="00783099">
        <w:rPr>
          <w:sz w:val="26"/>
          <w:szCs w:val="26"/>
        </w:rPr>
        <w:t xml:space="preserve"> calls does not depend on the facility where they are incarcerated.  This is especially important </w:t>
      </w:r>
      <w:proofErr w:type="gramStart"/>
      <w:r w:rsidRPr="00783099">
        <w:rPr>
          <w:sz w:val="26"/>
          <w:szCs w:val="26"/>
        </w:rPr>
        <w:t>in light of</w:t>
      </w:r>
      <w:proofErr w:type="gramEnd"/>
      <w:r w:rsidRPr="00783099">
        <w:rPr>
          <w:sz w:val="26"/>
          <w:szCs w:val="26"/>
        </w:rPr>
        <w:t xml:space="preserve"> the ongoing impacts of COVID-19 and the suspension of in-person visits for over a year in many facilities.  Phone calls are people’s lifelines to staying in touch with their loved ones and support networks outside.</w:t>
      </w:r>
      <w:r>
        <w:rPr>
          <w:rStyle w:val="FootnoteReference"/>
          <w:sz w:val="26"/>
          <w:szCs w:val="26"/>
        </w:rPr>
        <w:footnoteReference w:id="160"/>
      </w:r>
    </w:p>
    <w:p w:rsidR="00827C7E" w:rsidP="00CF37A0" w:rsidRDefault="00ED5A47" w14:paraId="5A79E6E6" w14:textId="2F2A8399">
      <w:pPr>
        <w:pStyle w:val="Standard"/>
        <w:ind w:firstLine="720"/>
        <w:rPr>
          <w:sz w:val="26"/>
          <w:szCs w:val="26"/>
        </w:rPr>
      </w:pPr>
      <w:proofErr w:type="spellStart"/>
      <w:r w:rsidRPr="00D71D67">
        <w:rPr>
          <w:sz w:val="26"/>
          <w:szCs w:val="26"/>
        </w:rPr>
        <w:lastRenderedPageBreak/>
        <w:t>CforAT</w:t>
      </w:r>
      <w:proofErr w:type="spellEnd"/>
      <w:r w:rsidRPr="00D71D67">
        <w:rPr>
          <w:sz w:val="26"/>
          <w:szCs w:val="26"/>
        </w:rPr>
        <w:t xml:space="preserve"> and Cal Advocates </w:t>
      </w:r>
      <w:r>
        <w:rPr>
          <w:sz w:val="26"/>
          <w:szCs w:val="26"/>
        </w:rPr>
        <w:t xml:space="preserve">provide similar recommendations </w:t>
      </w:r>
      <w:r w:rsidR="003922D6">
        <w:rPr>
          <w:sz w:val="26"/>
          <w:szCs w:val="26"/>
        </w:rPr>
        <w:t>regarding provision of free calls</w:t>
      </w:r>
      <w:r>
        <w:rPr>
          <w:sz w:val="26"/>
          <w:szCs w:val="26"/>
        </w:rPr>
        <w:t xml:space="preserve"> in their reply comments</w:t>
      </w:r>
      <w:r w:rsidRPr="00D71D67">
        <w:rPr>
          <w:sz w:val="26"/>
          <w:szCs w:val="26"/>
        </w:rPr>
        <w:t>.</w:t>
      </w:r>
      <w:r w:rsidRPr="00D71D67">
        <w:rPr>
          <w:rStyle w:val="FootnoteReference"/>
          <w:sz w:val="26"/>
          <w:szCs w:val="26"/>
        </w:rPr>
        <w:footnoteReference w:id="161"/>
      </w:r>
    </w:p>
    <w:p w:rsidR="00464510" w:rsidP="00F22219" w:rsidRDefault="00A85ABD" w14:paraId="65483A3C" w14:textId="0702299C">
      <w:pPr>
        <w:pStyle w:val="Standard"/>
        <w:ind w:firstLine="720"/>
        <w:rPr>
          <w:sz w:val="26"/>
          <w:szCs w:val="26"/>
        </w:rPr>
      </w:pPr>
      <w:r>
        <w:rPr>
          <w:sz w:val="26"/>
          <w:szCs w:val="26"/>
        </w:rPr>
        <w:t xml:space="preserve">TURN </w:t>
      </w:r>
      <w:r w:rsidR="00BA7425">
        <w:rPr>
          <w:sz w:val="26"/>
          <w:szCs w:val="26"/>
        </w:rPr>
        <w:t xml:space="preserve">states that </w:t>
      </w:r>
      <w:r w:rsidR="1C93116F">
        <w:rPr>
          <w:sz w:val="26"/>
          <w:szCs w:val="26"/>
        </w:rPr>
        <w:t xml:space="preserve">it </w:t>
      </w:r>
      <w:r w:rsidR="00BA7425">
        <w:rPr>
          <w:sz w:val="26"/>
          <w:szCs w:val="26"/>
        </w:rPr>
        <w:t xml:space="preserve">is </w:t>
      </w:r>
      <w:r w:rsidRPr="00420D53" w:rsidR="00BA7425">
        <w:rPr>
          <w:sz w:val="26"/>
          <w:szCs w:val="26"/>
        </w:rPr>
        <w:t xml:space="preserve">appropriate </w:t>
      </w:r>
      <w:r w:rsidR="00BA7425">
        <w:rPr>
          <w:sz w:val="26"/>
          <w:szCs w:val="26"/>
        </w:rPr>
        <w:t xml:space="preserve">for </w:t>
      </w:r>
      <w:r w:rsidRPr="00420D53" w:rsidR="00420D53">
        <w:rPr>
          <w:sz w:val="26"/>
          <w:szCs w:val="26"/>
        </w:rPr>
        <w:t xml:space="preserve">the Commission </w:t>
      </w:r>
      <w:r w:rsidR="00523B0D">
        <w:rPr>
          <w:sz w:val="26"/>
          <w:szCs w:val="26"/>
        </w:rPr>
        <w:t xml:space="preserve">to </w:t>
      </w:r>
      <w:r w:rsidR="00ED30EB">
        <w:rPr>
          <w:sz w:val="26"/>
          <w:szCs w:val="26"/>
        </w:rPr>
        <w:t>“</w:t>
      </w:r>
      <w:r w:rsidRPr="00420D53" w:rsidR="00420D53">
        <w:rPr>
          <w:sz w:val="26"/>
          <w:szCs w:val="26"/>
        </w:rPr>
        <w:t>move independently</w:t>
      </w:r>
      <w:r w:rsidR="00ED30EB">
        <w:rPr>
          <w:sz w:val="26"/>
          <w:szCs w:val="26"/>
        </w:rPr>
        <w:t>”</w:t>
      </w:r>
      <w:r w:rsidRPr="00420D53" w:rsidR="00420D53">
        <w:rPr>
          <w:sz w:val="26"/>
          <w:szCs w:val="26"/>
        </w:rPr>
        <w:t xml:space="preserve"> from the FCC and </w:t>
      </w:r>
      <w:r w:rsidR="00D83FFD">
        <w:rPr>
          <w:sz w:val="26"/>
          <w:szCs w:val="26"/>
        </w:rPr>
        <w:t xml:space="preserve">act to approve </w:t>
      </w:r>
      <w:r w:rsidR="00523B0D">
        <w:rPr>
          <w:sz w:val="26"/>
          <w:szCs w:val="26"/>
        </w:rPr>
        <w:t xml:space="preserve">lower </w:t>
      </w:r>
      <w:r w:rsidRPr="00420D53" w:rsidR="00420D53">
        <w:rPr>
          <w:sz w:val="26"/>
          <w:szCs w:val="26"/>
        </w:rPr>
        <w:t>rate</w:t>
      </w:r>
      <w:r w:rsidR="00C828C2">
        <w:rPr>
          <w:sz w:val="26"/>
          <w:szCs w:val="26"/>
        </w:rPr>
        <w:t xml:space="preserve"> caps</w:t>
      </w:r>
      <w:r w:rsidRPr="00420D53" w:rsidR="00420D53">
        <w:rPr>
          <w:sz w:val="26"/>
          <w:szCs w:val="26"/>
        </w:rPr>
        <w:t xml:space="preserve"> </w:t>
      </w:r>
      <w:r w:rsidRPr="00420D53" w:rsidR="339929AB">
        <w:rPr>
          <w:sz w:val="26"/>
          <w:szCs w:val="26"/>
        </w:rPr>
        <w:t xml:space="preserve">than </w:t>
      </w:r>
      <w:r w:rsidR="007D6284">
        <w:rPr>
          <w:sz w:val="26"/>
          <w:szCs w:val="26"/>
        </w:rPr>
        <w:t xml:space="preserve">those </w:t>
      </w:r>
      <w:r w:rsidR="00C828C2">
        <w:rPr>
          <w:sz w:val="26"/>
          <w:szCs w:val="26"/>
        </w:rPr>
        <w:t xml:space="preserve">adopted by the </w:t>
      </w:r>
      <w:r w:rsidR="007D6284">
        <w:rPr>
          <w:sz w:val="26"/>
          <w:szCs w:val="26"/>
        </w:rPr>
        <w:t>FCC</w:t>
      </w:r>
      <w:r w:rsidR="6560C5BD">
        <w:rPr>
          <w:sz w:val="26"/>
          <w:szCs w:val="26"/>
        </w:rPr>
        <w:t xml:space="preserve"> in adopting rates for incarcerated persons and their families in California</w:t>
      </w:r>
      <w:r w:rsidR="29AA650B">
        <w:rPr>
          <w:sz w:val="26"/>
          <w:szCs w:val="26"/>
        </w:rPr>
        <w:t>.</w:t>
      </w:r>
      <w:r w:rsidR="007D6284">
        <w:rPr>
          <w:sz w:val="26"/>
          <w:szCs w:val="26"/>
        </w:rPr>
        <w:t xml:space="preserve">  </w:t>
      </w:r>
      <w:r w:rsidR="008C1A34">
        <w:rPr>
          <w:sz w:val="26"/>
          <w:szCs w:val="26"/>
        </w:rPr>
        <w:t xml:space="preserve">In support of this, </w:t>
      </w:r>
      <w:r w:rsidR="007D6284">
        <w:rPr>
          <w:sz w:val="26"/>
          <w:szCs w:val="26"/>
        </w:rPr>
        <w:t xml:space="preserve">TURN </w:t>
      </w:r>
      <w:r w:rsidR="00C828C2">
        <w:rPr>
          <w:sz w:val="26"/>
          <w:szCs w:val="26"/>
        </w:rPr>
        <w:t xml:space="preserve">observes </w:t>
      </w:r>
      <w:r w:rsidR="007D6284">
        <w:rPr>
          <w:sz w:val="26"/>
          <w:szCs w:val="26"/>
        </w:rPr>
        <w:t xml:space="preserve">that the </w:t>
      </w:r>
      <w:r w:rsidRPr="00420D53" w:rsidR="00420D53">
        <w:rPr>
          <w:sz w:val="26"/>
          <w:szCs w:val="26"/>
        </w:rPr>
        <w:t xml:space="preserve">FCC </w:t>
      </w:r>
      <w:r w:rsidR="00464510">
        <w:rPr>
          <w:sz w:val="26"/>
          <w:szCs w:val="26"/>
        </w:rPr>
        <w:t xml:space="preserve">has clearly affirmed that </w:t>
      </w:r>
      <w:r w:rsidRPr="00420D53" w:rsidR="00420D53">
        <w:rPr>
          <w:sz w:val="26"/>
          <w:szCs w:val="26"/>
        </w:rPr>
        <w:t>states may adopt rate caps lower than those set by the FCC</w:t>
      </w:r>
      <w:r w:rsidR="00464510">
        <w:rPr>
          <w:sz w:val="26"/>
          <w:szCs w:val="26"/>
        </w:rPr>
        <w:t xml:space="preserve">, and the </w:t>
      </w:r>
      <w:r w:rsidRPr="00420D53" w:rsidR="00420D53">
        <w:rPr>
          <w:sz w:val="26"/>
          <w:szCs w:val="26"/>
        </w:rPr>
        <w:t>D</w:t>
      </w:r>
      <w:r w:rsidR="00BB05BF">
        <w:rPr>
          <w:sz w:val="26"/>
          <w:szCs w:val="26"/>
        </w:rPr>
        <w:t>.</w:t>
      </w:r>
      <w:r w:rsidRPr="00420D53" w:rsidR="00420D53">
        <w:rPr>
          <w:sz w:val="26"/>
          <w:szCs w:val="26"/>
        </w:rPr>
        <w:t>C</w:t>
      </w:r>
      <w:r w:rsidR="00BB05BF">
        <w:rPr>
          <w:sz w:val="26"/>
          <w:szCs w:val="26"/>
        </w:rPr>
        <w:t>.</w:t>
      </w:r>
      <w:r w:rsidRPr="00420D53" w:rsidR="00420D53">
        <w:rPr>
          <w:sz w:val="26"/>
          <w:szCs w:val="26"/>
        </w:rPr>
        <w:t xml:space="preserve"> Circuit explicitly removed FCC jurisdiction from dictating intrastate </w:t>
      </w:r>
      <w:r w:rsidR="00464510">
        <w:rPr>
          <w:sz w:val="26"/>
          <w:szCs w:val="26"/>
        </w:rPr>
        <w:t xml:space="preserve">IPCS </w:t>
      </w:r>
      <w:r w:rsidRPr="00420D53" w:rsidR="00420D53">
        <w:rPr>
          <w:sz w:val="26"/>
          <w:szCs w:val="26"/>
        </w:rPr>
        <w:t>rates.</w:t>
      </w:r>
      <w:r w:rsidR="00523B0D">
        <w:rPr>
          <w:rStyle w:val="FootnoteReference"/>
          <w:sz w:val="26"/>
          <w:szCs w:val="26"/>
        </w:rPr>
        <w:footnoteReference w:id="162"/>
      </w:r>
      <w:r w:rsidRPr="00420D53" w:rsidR="00420D53">
        <w:rPr>
          <w:sz w:val="26"/>
          <w:szCs w:val="26"/>
        </w:rPr>
        <w:t xml:space="preserve"> </w:t>
      </w:r>
    </w:p>
    <w:p w:rsidR="00A85ABD" w:rsidP="00F22219" w:rsidRDefault="00420D53" w14:paraId="6A8C9A4E" w14:textId="3B9A7CDD">
      <w:pPr>
        <w:pStyle w:val="Standard"/>
        <w:ind w:firstLine="720"/>
        <w:rPr>
          <w:sz w:val="26"/>
          <w:szCs w:val="26"/>
        </w:rPr>
      </w:pPr>
      <w:r w:rsidRPr="00420D53">
        <w:rPr>
          <w:sz w:val="26"/>
          <w:szCs w:val="26"/>
        </w:rPr>
        <w:t xml:space="preserve">TURN </w:t>
      </w:r>
      <w:r w:rsidR="00464510">
        <w:rPr>
          <w:sz w:val="26"/>
          <w:szCs w:val="26"/>
        </w:rPr>
        <w:t xml:space="preserve">proposes the Commission </w:t>
      </w:r>
      <w:r w:rsidR="001D5EE3">
        <w:rPr>
          <w:sz w:val="26"/>
          <w:szCs w:val="26"/>
        </w:rPr>
        <w:t xml:space="preserve">adopt a cap based on </w:t>
      </w:r>
      <w:r w:rsidR="008C1A34">
        <w:rPr>
          <w:sz w:val="26"/>
          <w:szCs w:val="26"/>
        </w:rPr>
        <w:t>reduc</w:t>
      </w:r>
      <w:r w:rsidR="001D5EE3">
        <w:rPr>
          <w:sz w:val="26"/>
          <w:szCs w:val="26"/>
        </w:rPr>
        <w:t>ing</w:t>
      </w:r>
      <w:r w:rsidR="008C1A34">
        <w:rPr>
          <w:sz w:val="26"/>
          <w:szCs w:val="26"/>
        </w:rPr>
        <w:t xml:space="preserve"> </w:t>
      </w:r>
      <w:r w:rsidR="00464510">
        <w:rPr>
          <w:sz w:val="26"/>
          <w:szCs w:val="26"/>
        </w:rPr>
        <w:t xml:space="preserve">the FCC’s </w:t>
      </w:r>
      <w:r w:rsidR="00523B0D">
        <w:rPr>
          <w:sz w:val="26"/>
          <w:szCs w:val="26"/>
        </w:rPr>
        <w:t xml:space="preserve">Third Order </w:t>
      </w:r>
      <w:r w:rsidR="00D51060">
        <w:rPr>
          <w:sz w:val="26"/>
          <w:szCs w:val="26"/>
        </w:rPr>
        <w:t xml:space="preserve">interstate </w:t>
      </w:r>
      <w:r w:rsidRPr="00420D53">
        <w:rPr>
          <w:sz w:val="26"/>
          <w:szCs w:val="26"/>
        </w:rPr>
        <w:t>rate</w:t>
      </w:r>
      <w:r w:rsidR="00D51060">
        <w:rPr>
          <w:sz w:val="26"/>
          <w:szCs w:val="26"/>
        </w:rPr>
        <w:t xml:space="preserve"> caps </w:t>
      </w:r>
      <w:r w:rsidRPr="00420D53">
        <w:rPr>
          <w:sz w:val="26"/>
          <w:szCs w:val="26"/>
        </w:rPr>
        <w:t xml:space="preserve">by a percentage </w:t>
      </w:r>
      <w:r w:rsidR="001D5EE3">
        <w:rPr>
          <w:sz w:val="26"/>
          <w:szCs w:val="26"/>
        </w:rPr>
        <w:t>b</w:t>
      </w:r>
      <w:r w:rsidR="007E4C28">
        <w:rPr>
          <w:sz w:val="26"/>
          <w:szCs w:val="26"/>
        </w:rPr>
        <w:t xml:space="preserve">ased on the logic that </w:t>
      </w:r>
      <w:r w:rsidRPr="00420D53">
        <w:rPr>
          <w:sz w:val="26"/>
          <w:szCs w:val="26"/>
        </w:rPr>
        <w:t xml:space="preserve">intrastate calls </w:t>
      </w:r>
      <w:r w:rsidR="00523B0D">
        <w:rPr>
          <w:sz w:val="26"/>
          <w:szCs w:val="26"/>
        </w:rPr>
        <w:t xml:space="preserve">are less expensive to </w:t>
      </w:r>
      <w:r w:rsidRPr="00420D53">
        <w:rPr>
          <w:sz w:val="26"/>
          <w:szCs w:val="26"/>
        </w:rPr>
        <w:t xml:space="preserve">provide than interstate calls. </w:t>
      </w:r>
      <w:r w:rsidR="00523B0D">
        <w:rPr>
          <w:sz w:val="26"/>
          <w:szCs w:val="26"/>
        </w:rPr>
        <w:t xml:space="preserve"> </w:t>
      </w:r>
      <w:r w:rsidRPr="00420D53">
        <w:rPr>
          <w:sz w:val="26"/>
          <w:szCs w:val="26"/>
        </w:rPr>
        <w:t xml:space="preserve">TURN </w:t>
      </w:r>
      <w:r w:rsidR="001D5EE3">
        <w:rPr>
          <w:sz w:val="26"/>
          <w:szCs w:val="26"/>
        </w:rPr>
        <w:t xml:space="preserve">suggests </w:t>
      </w:r>
      <w:r w:rsidRPr="00420D53" w:rsidR="00523B0D">
        <w:rPr>
          <w:sz w:val="26"/>
          <w:szCs w:val="26"/>
        </w:rPr>
        <w:t xml:space="preserve">there </w:t>
      </w:r>
      <w:r w:rsidR="00523B0D">
        <w:rPr>
          <w:sz w:val="26"/>
          <w:szCs w:val="26"/>
        </w:rPr>
        <w:t xml:space="preserve">are ample </w:t>
      </w:r>
      <w:r w:rsidRPr="00420D53" w:rsidR="00523B0D">
        <w:rPr>
          <w:sz w:val="26"/>
          <w:szCs w:val="26"/>
        </w:rPr>
        <w:t>California developments support</w:t>
      </w:r>
      <w:r w:rsidR="00523B0D">
        <w:rPr>
          <w:sz w:val="26"/>
          <w:szCs w:val="26"/>
        </w:rPr>
        <w:t>ing</w:t>
      </w:r>
      <w:r w:rsidRPr="00420D53" w:rsidR="00523B0D">
        <w:rPr>
          <w:sz w:val="26"/>
          <w:szCs w:val="26"/>
        </w:rPr>
        <w:t xml:space="preserve"> a reduction of at least </w:t>
      </w:r>
      <w:r w:rsidRPr="00420D53">
        <w:rPr>
          <w:sz w:val="26"/>
          <w:szCs w:val="26"/>
        </w:rPr>
        <w:t xml:space="preserve">thirty percent </w:t>
      </w:r>
      <w:r w:rsidR="00523B0D">
        <w:rPr>
          <w:sz w:val="26"/>
          <w:szCs w:val="26"/>
        </w:rPr>
        <w:t>as an appropriate amoun</w:t>
      </w:r>
      <w:r w:rsidRPr="00420D53">
        <w:rPr>
          <w:sz w:val="26"/>
          <w:szCs w:val="26"/>
        </w:rPr>
        <w:t>t</w:t>
      </w:r>
      <w:r w:rsidR="009D7C78">
        <w:rPr>
          <w:sz w:val="26"/>
          <w:szCs w:val="26"/>
        </w:rPr>
        <w:t>, i</w:t>
      </w:r>
      <w:r w:rsidR="00523B0D">
        <w:rPr>
          <w:sz w:val="26"/>
          <w:szCs w:val="26"/>
        </w:rPr>
        <w:t>nclud</w:t>
      </w:r>
      <w:r w:rsidR="009D7C78">
        <w:rPr>
          <w:sz w:val="26"/>
          <w:szCs w:val="26"/>
        </w:rPr>
        <w:t>ing</w:t>
      </w:r>
      <w:r w:rsidR="00523B0D">
        <w:rPr>
          <w:sz w:val="26"/>
          <w:szCs w:val="26"/>
        </w:rPr>
        <w:t xml:space="preserve"> </w:t>
      </w:r>
      <w:r w:rsidR="00D51060">
        <w:rPr>
          <w:sz w:val="26"/>
          <w:szCs w:val="26"/>
        </w:rPr>
        <w:t xml:space="preserve">the </w:t>
      </w:r>
      <w:r w:rsidR="001D5EE3">
        <w:rPr>
          <w:sz w:val="26"/>
          <w:szCs w:val="26"/>
        </w:rPr>
        <w:t xml:space="preserve">March 2021 </w:t>
      </w:r>
      <w:r w:rsidR="00523B0D">
        <w:rPr>
          <w:sz w:val="26"/>
          <w:szCs w:val="26"/>
        </w:rPr>
        <w:t xml:space="preserve">CDCR and GTL state prison system </w:t>
      </w:r>
      <w:r w:rsidR="00D51060">
        <w:rPr>
          <w:sz w:val="26"/>
          <w:szCs w:val="26"/>
        </w:rPr>
        <w:t xml:space="preserve">contract </w:t>
      </w:r>
      <w:r w:rsidRPr="00420D53">
        <w:rPr>
          <w:sz w:val="26"/>
          <w:szCs w:val="26"/>
        </w:rPr>
        <w:t xml:space="preserve">for voice calling </w:t>
      </w:r>
      <w:r w:rsidR="00D51060">
        <w:rPr>
          <w:sz w:val="26"/>
          <w:szCs w:val="26"/>
        </w:rPr>
        <w:t>price of $0.0</w:t>
      </w:r>
      <w:r w:rsidRPr="00420D53">
        <w:rPr>
          <w:sz w:val="26"/>
          <w:szCs w:val="26"/>
        </w:rPr>
        <w:t xml:space="preserve">25 </w:t>
      </w:r>
      <w:r w:rsidR="00D51060">
        <w:rPr>
          <w:sz w:val="26"/>
          <w:szCs w:val="26"/>
        </w:rPr>
        <w:t>per minute</w:t>
      </w:r>
      <w:r w:rsidRPr="00523B0D" w:rsidR="00100F20">
        <w:rPr>
          <w:sz w:val="26"/>
          <w:szCs w:val="26"/>
        </w:rPr>
        <w:t>.</w:t>
      </w:r>
      <w:r w:rsidRPr="00523B0D" w:rsidR="00100F20">
        <w:rPr>
          <w:rStyle w:val="FootnoteReference"/>
          <w:sz w:val="26"/>
          <w:szCs w:val="26"/>
        </w:rPr>
        <w:footnoteReference w:id="163"/>
      </w:r>
      <w:r w:rsidR="00100F20">
        <w:rPr>
          <w:sz w:val="26"/>
          <w:szCs w:val="26"/>
        </w:rPr>
        <w:t xml:space="preserve"> </w:t>
      </w:r>
      <w:r w:rsidR="00120ED4">
        <w:rPr>
          <w:sz w:val="26"/>
          <w:szCs w:val="26"/>
        </w:rPr>
        <w:t xml:space="preserve"> </w:t>
      </w:r>
      <w:r w:rsidR="00523B0D">
        <w:rPr>
          <w:sz w:val="26"/>
          <w:szCs w:val="26"/>
        </w:rPr>
        <w:t xml:space="preserve">Implementing </w:t>
      </w:r>
      <w:r w:rsidR="00251C3E">
        <w:rPr>
          <w:sz w:val="26"/>
          <w:szCs w:val="26"/>
        </w:rPr>
        <w:t>T</w:t>
      </w:r>
      <w:r w:rsidR="00523B0D">
        <w:rPr>
          <w:sz w:val="26"/>
          <w:szCs w:val="26"/>
        </w:rPr>
        <w:t>U</w:t>
      </w:r>
      <w:r w:rsidR="00120ED4">
        <w:rPr>
          <w:sz w:val="26"/>
          <w:szCs w:val="26"/>
        </w:rPr>
        <w:t xml:space="preserve">RN’s </w:t>
      </w:r>
      <w:r w:rsidR="001D5EE3">
        <w:rPr>
          <w:sz w:val="26"/>
          <w:szCs w:val="26"/>
        </w:rPr>
        <w:t>recommendations</w:t>
      </w:r>
      <w:r w:rsidR="00523B0D">
        <w:rPr>
          <w:sz w:val="26"/>
          <w:szCs w:val="26"/>
        </w:rPr>
        <w:t xml:space="preserve"> would result in</w:t>
      </w:r>
      <w:r w:rsidR="001D5EE3">
        <w:rPr>
          <w:sz w:val="26"/>
          <w:szCs w:val="26"/>
        </w:rPr>
        <w:t xml:space="preserve"> </w:t>
      </w:r>
      <w:r w:rsidR="00120ED4">
        <w:rPr>
          <w:sz w:val="26"/>
          <w:szCs w:val="26"/>
        </w:rPr>
        <w:t>intrastate IPCS rate cap of $0.</w:t>
      </w:r>
      <w:r w:rsidR="00507A3A">
        <w:rPr>
          <w:sz w:val="26"/>
          <w:szCs w:val="26"/>
        </w:rPr>
        <w:t xml:space="preserve">092 </w:t>
      </w:r>
      <w:r w:rsidR="00DA66F5">
        <w:rPr>
          <w:sz w:val="26"/>
          <w:szCs w:val="26"/>
        </w:rPr>
        <w:t xml:space="preserve">per minute </w:t>
      </w:r>
      <w:r w:rsidR="00507A3A">
        <w:rPr>
          <w:sz w:val="26"/>
          <w:szCs w:val="26"/>
        </w:rPr>
        <w:t>for prisons and $0.</w:t>
      </w:r>
      <w:r w:rsidR="00DA66F5">
        <w:rPr>
          <w:sz w:val="26"/>
          <w:szCs w:val="26"/>
        </w:rPr>
        <w:t xml:space="preserve">11 per minute for jails. </w:t>
      </w:r>
    </w:p>
    <w:p w:rsidR="00D32E9A" w:rsidP="00441463" w:rsidRDefault="00F9211E" w14:paraId="1F565F30" w14:textId="4B23635E">
      <w:pPr>
        <w:pStyle w:val="Standard"/>
        <w:ind w:firstLine="720"/>
        <w:rPr>
          <w:sz w:val="26"/>
          <w:szCs w:val="26"/>
        </w:rPr>
      </w:pPr>
      <w:r>
        <w:rPr>
          <w:sz w:val="26"/>
          <w:szCs w:val="26"/>
        </w:rPr>
        <w:t xml:space="preserve">Cal Advocates calls intrastate IPCS rates </w:t>
      </w:r>
      <w:r w:rsidRPr="001F1B01">
        <w:rPr>
          <w:sz w:val="26"/>
          <w:szCs w:val="26"/>
        </w:rPr>
        <w:t>“unreasonable and unaffordable”</w:t>
      </w:r>
      <w:r w:rsidR="009F13C6">
        <w:rPr>
          <w:sz w:val="26"/>
          <w:szCs w:val="26"/>
        </w:rPr>
        <w:t xml:space="preserve"> and </w:t>
      </w:r>
      <w:r w:rsidRPr="001F1B01" w:rsidR="009F13C6">
        <w:rPr>
          <w:sz w:val="26"/>
          <w:szCs w:val="26"/>
        </w:rPr>
        <w:t xml:space="preserve">recommends the Commission cap </w:t>
      </w:r>
      <w:r w:rsidR="009F13C6">
        <w:rPr>
          <w:sz w:val="26"/>
          <w:szCs w:val="26"/>
        </w:rPr>
        <w:t xml:space="preserve">intrastate IPCS rates in California </w:t>
      </w:r>
      <w:proofErr w:type="gramStart"/>
      <w:r w:rsidR="009F13C6">
        <w:rPr>
          <w:sz w:val="26"/>
          <w:szCs w:val="26"/>
        </w:rPr>
        <w:t xml:space="preserve">at </w:t>
      </w:r>
      <w:r w:rsidRPr="001F1B01" w:rsidR="009F13C6">
        <w:rPr>
          <w:sz w:val="26"/>
          <w:szCs w:val="26"/>
        </w:rPr>
        <w:t xml:space="preserve"> $</w:t>
      </w:r>
      <w:proofErr w:type="gramEnd"/>
      <w:r w:rsidR="00FA0E0D">
        <w:rPr>
          <w:sz w:val="26"/>
          <w:szCs w:val="26"/>
        </w:rPr>
        <w:t>0</w:t>
      </w:r>
      <w:r w:rsidRPr="001F1B01" w:rsidR="009F13C6">
        <w:rPr>
          <w:sz w:val="26"/>
          <w:szCs w:val="26"/>
        </w:rPr>
        <w:t>.05</w:t>
      </w:r>
      <w:r w:rsidR="009F13C6">
        <w:rPr>
          <w:sz w:val="26"/>
          <w:szCs w:val="26"/>
        </w:rPr>
        <w:t xml:space="preserve"> per </w:t>
      </w:r>
      <w:r w:rsidRPr="001F1B01" w:rsidR="009F13C6">
        <w:rPr>
          <w:sz w:val="26"/>
          <w:szCs w:val="26"/>
        </w:rPr>
        <w:t>minute</w:t>
      </w:r>
      <w:r w:rsidR="009F13C6">
        <w:rPr>
          <w:sz w:val="26"/>
          <w:szCs w:val="26"/>
        </w:rPr>
        <w:t>.</w:t>
      </w:r>
      <w:r w:rsidRPr="001F1B01">
        <w:rPr>
          <w:rStyle w:val="FootnoteReference"/>
          <w:sz w:val="26"/>
          <w:szCs w:val="26"/>
        </w:rPr>
        <w:footnoteReference w:id="164"/>
      </w:r>
      <w:r w:rsidRPr="001F1B01">
        <w:rPr>
          <w:sz w:val="26"/>
          <w:szCs w:val="26"/>
        </w:rPr>
        <w:t xml:space="preserve">  </w:t>
      </w:r>
      <w:r w:rsidRPr="001F1B01" w:rsidR="47685E86">
        <w:rPr>
          <w:sz w:val="26"/>
          <w:szCs w:val="26"/>
        </w:rPr>
        <w:t>Cal Advocates states that</w:t>
      </w:r>
      <w:r w:rsidR="007E4C28">
        <w:rPr>
          <w:sz w:val="26"/>
          <w:szCs w:val="26"/>
        </w:rPr>
        <w:t xml:space="preserve"> </w:t>
      </w:r>
      <w:r w:rsidR="00441463">
        <w:rPr>
          <w:sz w:val="26"/>
          <w:szCs w:val="26"/>
        </w:rPr>
        <w:t>adopti</w:t>
      </w:r>
      <w:r w:rsidR="007E4C28">
        <w:rPr>
          <w:sz w:val="26"/>
          <w:szCs w:val="26"/>
        </w:rPr>
        <w:t xml:space="preserve">ng </w:t>
      </w:r>
      <w:r w:rsidRPr="00A72772" w:rsidR="00441463">
        <w:rPr>
          <w:sz w:val="26"/>
          <w:szCs w:val="26"/>
        </w:rPr>
        <w:t xml:space="preserve">an interim </w:t>
      </w:r>
      <w:r w:rsidR="00441463">
        <w:rPr>
          <w:sz w:val="26"/>
          <w:szCs w:val="26"/>
        </w:rPr>
        <w:t xml:space="preserve">intrastate </w:t>
      </w:r>
      <w:r w:rsidRPr="00A72772" w:rsidR="00441463">
        <w:rPr>
          <w:sz w:val="26"/>
          <w:szCs w:val="26"/>
        </w:rPr>
        <w:t xml:space="preserve">IPCS rate </w:t>
      </w:r>
      <w:r w:rsidRPr="00A72772" w:rsidR="00441463">
        <w:rPr>
          <w:sz w:val="26"/>
          <w:szCs w:val="26"/>
        </w:rPr>
        <w:lastRenderedPageBreak/>
        <w:t xml:space="preserve">cap of $0.05 per minute </w:t>
      </w:r>
      <w:r w:rsidR="00441463">
        <w:rPr>
          <w:sz w:val="26"/>
          <w:szCs w:val="26"/>
        </w:rPr>
        <w:t xml:space="preserve">would </w:t>
      </w:r>
      <w:r w:rsidRPr="00A72772" w:rsidR="00441463">
        <w:rPr>
          <w:sz w:val="26"/>
          <w:szCs w:val="26"/>
        </w:rPr>
        <w:t>provide meaningful relief for</w:t>
      </w:r>
      <w:r w:rsidR="00441463">
        <w:rPr>
          <w:sz w:val="26"/>
          <w:szCs w:val="26"/>
        </w:rPr>
        <w:t xml:space="preserve"> </w:t>
      </w:r>
      <w:r w:rsidRPr="00A72772" w:rsidR="00441463">
        <w:rPr>
          <w:sz w:val="26"/>
          <w:szCs w:val="26"/>
        </w:rPr>
        <w:t xml:space="preserve">incarcerated </w:t>
      </w:r>
      <w:r w:rsidR="00441463">
        <w:rPr>
          <w:sz w:val="26"/>
          <w:szCs w:val="26"/>
        </w:rPr>
        <w:t xml:space="preserve">persons </w:t>
      </w:r>
      <w:r w:rsidRPr="00A72772" w:rsidR="00441463">
        <w:rPr>
          <w:sz w:val="26"/>
          <w:szCs w:val="26"/>
        </w:rPr>
        <w:t xml:space="preserve">and their families while the Commission evaluates a more permanent </w:t>
      </w:r>
      <w:r w:rsidR="00441463">
        <w:rPr>
          <w:sz w:val="26"/>
          <w:szCs w:val="26"/>
        </w:rPr>
        <w:t xml:space="preserve">option. </w:t>
      </w:r>
    </w:p>
    <w:p w:rsidRPr="001F1B01" w:rsidR="00ED0DCC" w:rsidP="009F13C6" w:rsidRDefault="00796225" w14:paraId="0BE9A059" w14:textId="48C8EA86">
      <w:pPr>
        <w:pStyle w:val="Standard"/>
        <w:ind w:firstLine="720"/>
        <w:rPr>
          <w:sz w:val="26"/>
          <w:szCs w:val="26"/>
        </w:rPr>
      </w:pPr>
      <w:r w:rsidRPr="001F1B01">
        <w:rPr>
          <w:sz w:val="26"/>
          <w:szCs w:val="26"/>
        </w:rPr>
        <w:t xml:space="preserve">Cal Advocates </w:t>
      </w:r>
      <w:r w:rsidR="007A4A36">
        <w:rPr>
          <w:sz w:val="26"/>
          <w:szCs w:val="26"/>
        </w:rPr>
        <w:t xml:space="preserve">justifies </w:t>
      </w:r>
      <w:r w:rsidR="009F13C6">
        <w:rPr>
          <w:sz w:val="26"/>
          <w:szCs w:val="26"/>
        </w:rPr>
        <w:t xml:space="preserve">its </w:t>
      </w:r>
      <w:r w:rsidR="007A4A36">
        <w:rPr>
          <w:sz w:val="26"/>
          <w:szCs w:val="26"/>
        </w:rPr>
        <w:t xml:space="preserve">proposal </w:t>
      </w:r>
      <w:r w:rsidR="00551D19">
        <w:rPr>
          <w:sz w:val="26"/>
          <w:szCs w:val="26"/>
        </w:rPr>
        <w:t xml:space="preserve">in several ways.  First, it </w:t>
      </w:r>
      <w:r w:rsidR="007A4A36">
        <w:rPr>
          <w:sz w:val="26"/>
          <w:szCs w:val="26"/>
        </w:rPr>
        <w:t>refer</w:t>
      </w:r>
      <w:r w:rsidR="00551D19">
        <w:rPr>
          <w:sz w:val="26"/>
          <w:szCs w:val="26"/>
        </w:rPr>
        <w:t xml:space="preserve">s </w:t>
      </w:r>
      <w:r w:rsidR="007A4A36">
        <w:rPr>
          <w:sz w:val="26"/>
          <w:szCs w:val="26"/>
        </w:rPr>
        <w:t xml:space="preserve">to </w:t>
      </w:r>
      <w:r w:rsidRPr="001F1B01" w:rsidR="005E31BD">
        <w:rPr>
          <w:sz w:val="26"/>
          <w:szCs w:val="26"/>
        </w:rPr>
        <w:t>SB</w:t>
      </w:r>
      <w:r w:rsidR="00B2653E">
        <w:rPr>
          <w:sz w:val="26"/>
          <w:szCs w:val="26"/>
        </w:rPr>
        <w:t> </w:t>
      </w:r>
      <w:r w:rsidRPr="001F1B01" w:rsidR="005E31BD">
        <w:rPr>
          <w:sz w:val="26"/>
          <w:szCs w:val="26"/>
        </w:rPr>
        <w:t>555</w:t>
      </w:r>
      <w:r w:rsidRPr="001F1B01">
        <w:rPr>
          <w:sz w:val="26"/>
          <w:szCs w:val="26"/>
        </w:rPr>
        <w:t xml:space="preserve">, </w:t>
      </w:r>
      <w:r w:rsidR="007A4A36">
        <w:rPr>
          <w:sz w:val="26"/>
          <w:szCs w:val="26"/>
        </w:rPr>
        <w:t>adopted by the California Legislature in September 2020</w:t>
      </w:r>
      <w:r w:rsidR="00523B0D">
        <w:rPr>
          <w:sz w:val="26"/>
          <w:szCs w:val="26"/>
        </w:rPr>
        <w:t xml:space="preserve"> and vetoed by </w:t>
      </w:r>
      <w:r w:rsidR="00551D19">
        <w:rPr>
          <w:sz w:val="26"/>
          <w:szCs w:val="26"/>
        </w:rPr>
        <w:t xml:space="preserve">Governor Newsom </w:t>
      </w:r>
      <w:r w:rsidR="00523B0D">
        <w:rPr>
          <w:sz w:val="26"/>
          <w:szCs w:val="26"/>
        </w:rPr>
        <w:t xml:space="preserve">later that </w:t>
      </w:r>
      <w:r w:rsidR="009C79FB">
        <w:rPr>
          <w:sz w:val="26"/>
          <w:szCs w:val="26"/>
        </w:rPr>
        <w:t xml:space="preserve">month.  Second, </w:t>
      </w:r>
      <w:r w:rsidR="00B13600">
        <w:rPr>
          <w:sz w:val="26"/>
          <w:szCs w:val="26"/>
        </w:rPr>
        <w:t xml:space="preserve">Cal Advocates observes that some </w:t>
      </w:r>
      <w:r w:rsidR="009C79FB">
        <w:rPr>
          <w:sz w:val="26"/>
          <w:szCs w:val="26"/>
        </w:rPr>
        <w:t xml:space="preserve">California </w:t>
      </w:r>
      <w:r w:rsidR="00B13600">
        <w:rPr>
          <w:sz w:val="26"/>
          <w:szCs w:val="26"/>
        </w:rPr>
        <w:t xml:space="preserve">intrastate IPCS </w:t>
      </w:r>
      <w:r w:rsidRPr="001F1B01" w:rsidR="005E31BD">
        <w:rPr>
          <w:sz w:val="26"/>
          <w:szCs w:val="26"/>
        </w:rPr>
        <w:t xml:space="preserve">providers already offer rates below </w:t>
      </w:r>
      <w:r w:rsidR="00B13600">
        <w:rPr>
          <w:sz w:val="26"/>
          <w:szCs w:val="26"/>
        </w:rPr>
        <w:t xml:space="preserve">the $0.05 per </w:t>
      </w:r>
      <w:r w:rsidR="009C79FB">
        <w:rPr>
          <w:sz w:val="26"/>
          <w:szCs w:val="26"/>
        </w:rPr>
        <w:t xml:space="preserve">minute, including </w:t>
      </w:r>
      <w:r w:rsidR="00B13600">
        <w:rPr>
          <w:sz w:val="26"/>
          <w:szCs w:val="26"/>
        </w:rPr>
        <w:t>GTL</w:t>
      </w:r>
      <w:r w:rsidR="009C79FB">
        <w:rPr>
          <w:sz w:val="26"/>
          <w:szCs w:val="26"/>
        </w:rPr>
        <w:t>, who</w:t>
      </w:r>
      <w:r w:rsidR="002A6FC0">
        <w:rPr>
          <w:sz w:val="26"/>
          <w:szCs w:val="26"/>
        </w:rPr>
        <w:t xml:space="preserve"> as of March 2021 charges</w:t>
      </w:r>
      <w:r w:rsidR="00B13600">
        <w:rPr>
          <w:sz w:val="26"/>
          <w:szCs w:val="26"/>
        </w:rPr>
        <w:t xml:space="preserve"> this rate to </w:t>
      </w:r>
      <w:r w:rsidR="002A6FC0">
        <w:rPr>
          <w:sz w:val="26"/>
          <w:szCs w:val="26"/>
        </w:rPr>
        <w:t xml:space="preserve">all 90 </w:t>
      </w:r>
      <w:r w:rsidR="00B13600">
        <w:rPr>
          <w:sz w:val="26"/>
          <w:szCs w:val="26"/>
        </w:rPr>
        <w:t xml:space="preserve">California state-run prison facilities. </w:t>
      </w:r>
      <w:r w:rsidR="00BD2430">
        <w:rPr>
          <w:sz w:val="26"/>
          <w:szCs w:val="26"/>
        </w:rPr>
        <w:t xml:space="preserve"> </w:t>
      </w:r>
      <w:r w:rsidR="002A6FC0">
        <w:rPr>
          <w:sz w:val="26"/>
          <w:szCs w:val="26"/>
        </w:rPr>
        <w:t xml:space="preserve">Third, </w:t>
      </w:r>
      <w:r w:rsidRPr="00B13600">
        <w:rPr>
          <w:sz w:val="26"/>
          <w:szCs w:val="26"/>
        </w:rPr>
        <w:t xml:space="preserve">Cal Advocates </w:t>
      </w:r>
      <w:r w:rsidR="002A6FC0">
        <w:rPr>
          <w:sz w:val="26"/>
          <w:szCs w:val="26"/>
        </w:rPr>
        <w:t xml:space="preserve">notes </w:t>
      </w:r>
      <w:r w:rsidRPr="00B13600">
        <w:rPr>
          <w:sz w:val="26"/>
          <w:szCs w:val="26"/>
        </w:rPr>
        <w:t xml:space="preserve">that </w:t>
      </w:r>
      <w:r w:rsidRPr="001F1B01">
        <w:rPr>
          <w:sz w:val="26"/>
          <w:szCs w:val="26"/>
        </w:rPr>
        <w:t xml:space="preserve">14 </w:t>
      </w:r>
      <w:r w:rsidR="009F13C6">
        <w:rPr>
          <w:sz w:val="26"/>
          <w:szCs w:val="26"/>
        </w:rPr>
        <w:t xml:space="preserve">U.S. </w:t>
      </w:r>
      <w:r w:rsidRPr="001F1B01">
        <w:rPr>
          <w:sz w:val="26"/>
          <w:szCs w:val="26"/>
        </w:rPr>
        <w:t xml:space="preserve">states </w:t>
      </w:r>
      <w:r w:rsidR="009F13C6">
        <w:rPr>
          <w:sz w:val="26"/>
          <w:szCs w:val="26"/>
        </w:rPr>
        <w:t xml:space="preserve">now </w:t>
      </w:r>
      <w:r w:rsidRPr="001F1B01">
        <w:rPr>
          <w:sz w:val="26"/>
          <w:szCs w:val="26"/>
        </w:rPr>
        <w:t>have</w:t>
      </w:r>
      <w:r w:rsidR="00523B0D">
        <w:rPr>
          <w:sz w:val="26"/>
          <w:szCs w:val="26"/>
        </w:rPr>
        <w:t xml:space="preserve"> average</w:t>
      </w:r>
      <w:r w:rsidR="00B13600">
        <w:rPr>
          <w:sz w:val="26"/>
          <w:szCs w:val="26"/>
        </w:rPr>
        <w:t xml:space="preserve"> </w:t>
      </w:r>
      <w:r w:rsidR="00B93E64">
        <w:rPr>
          <w:sz w:val="26"/>
          <w:szCs w:val="26"/>
        </w:rPr>
        <w:t xml:space="preserve">intrastate IPCS </w:t>
      </w:r>
      <w:r w:rsidRPr="001F1B01">
        <w:rPr>
          <w:sz w:val="26"/>
          <w:szCs w:val="26"/>
        </w:rPr>
        <w:t xml:space="preserve">voice calling rates of $0.05 cents per minute or less </w:t>
      </w:r>
      <w:r w:rsidR="00B93E64">
        <w:rPr>
          <w:sz w:val="26"/>
          <w:szCs w:val="26"/>
        </w:rPr>
        <w:t>in prisons</w:t>
      </w:r>
      <w:r w:rsidRPr="00481ADA">
        <w:rPr>
          <w:sz w:val="26"/>
          <w:szCs w:val="26"/>
        </w:rPr>
        <w:t>.</w:t>
      </w:r>
      <w:r w:rsidRPr="00481ADA" w:rsidR="00ED0DCC">
        <w:rPr>
          <w:rStyle w:val="FootnoteReference"/>
          <w:sz w:val="26"/>
          <w:szCs w:val="26"/>
        </w:rPr>
        <w:footnoteReference w:id="165"/>
      </w:r>
      <w:r w:rsidRPr="00481ADA">
        <w:rPr>
          <w:sz w:val="26"/>
          <w:szCs w:val="26"/>
        </w:rPr>
        <w:t xml:space="preserve">  </w:t>
      </w:r>
      <w:r w:rsidRPr="00481ADA" w:rsidR="00481ADA">
        <w:rPr>
          <w:sz w:val="26"/>
          <w:szCs w:val="26"/>
        </w:rPr>
        <w:t xml:space="preserve">Fourth, </w:t>
      </w:r>
      <w:r w:rsidRPr="00481ADA" w:rsidR="00ED0DCC">
        <w:rPr>
          <w:sz w:val="26"/>
          <w:szCs w:val="26"/>
        </w:rPr>
        <w:t>Cal</w:t>
      </w:r>
      <w:r w:rsidRPr="00B93E64" w:rsidR="00ED0DCC">
        <w:rPr>
          <w:sz w:val="26"/>
          <w:szCs w:val="26"/>
        </w:rPr>
        <w:t xml:space="preserve"> Advocates </w:t>
      </w:r>
      <w:r w:rsidR="00481ADA">
        <w:rPr>
          <w:sz w:val="26"/>
          <w:szCs w:val="26"/>
        </w:rPr>
        <w:t>o</w:t>
      </w:r>
      <w:r w:rsidRPr="00B93E64" w:rsidR="00ED0DCC">
        <w:rPr>
          <w:sz w:val="26"/>
          <w:szCs w:val="26"/>
        </w:rPr>
        <w:t>bserves that the U.S. Congress has introduced legislation that would require the FCC to establish maximum rates and charges</w:t>
      </w:r>
      <w:r w:rsidR="00B93E64">
        <w:rPr>
          <w:sz w:val="26"/>
          <w:szCs w:val="26"/>
        </w:rPr>
        <w:t xml:space="preserve">, including </w:t>
      </w:r>
      <w:r w:rsidRPr="00B93E64" w:rsidR="00ED0DCC">
        <w:rPr>
          <w:sz w:val="26"/>
          <w:szCs w:val="26"/>
        </w:rPr>
        <w:t>interim rate caps of $0.04 per minute for debit or prepaid calling and $0.05 per minute for collect calling.</w:t>
      </w:r>
      <w:r w:rsidR="00B93E64">
        <w:rPr>
          <w:rStyle w:val="FootnoteReference"/>
          <w:sz w:val="26"/>
          <w:szCs w:val="26"/>
        </w:rPr>
        <w:footnoteReference w:id="166"/>
      </w:r>
      <w:r w:rsidRPr="001F1B01" w:rsidR="00ED0DCC">
        <w:rPr>
          <w:b/>
          <w:bCs/>
          <w:sz w:val="26"/>
          <w:szCs w:val="26"/>
        </w:rPr>
        <w:t xml:space="preserve"> </w:t>
      </w:r>
    </w:p>
    <w:p w:rsidR="0C88AC9B" w:rsidP="000A7320" w:rsidRDefault="5EE5017E" w14:paraId="06AE3B06" w14:textId="6FFBE02B">
      <w:pPr>
        <w:pStyle w:val="Standard"/>
        <w:ind w:firstLine="720"/>
      </w:pPr>
      <w:proofErr w:type="spellStart"/>
      <w:r w:rsidRPr="0C88AC9B">
        <w:rPr>
          <w:sz w:val="26"/>
          <w:szCs w:val="26"/>
        </w:rPr>
        <w:t>CforAT</w:t>
      </w:r>
      <w:proofErr w:type="spellEnd"/>
      <w:r w:rsidRPr="0C88AC9B">
        <w:rPr>
          <w:sz w:val="26"/>
          <w:szCs w:val="26"/>
        </w:rPr>
        <w:t xml:space="preserve"> and the Justice Coalition support Cal Advocates’ proposal for a $0.05</w:t>
      </w:r>
      <w:r w:rsidR="00E14606">
        <w:rPr>
          <w:sz w:val="26"/>
          <w:szCs w:val="26"/>
        </w:rPr>
        <w:t xml:space="preserve"> per </w:t>
      </w:r>
      <w:r w:rsidRPr="0C88AC9B">
        <w:rPr>
          <w:sz w:val="26"/>
          <w:szCs w:val="26"/>
        </w:rPr>
        <w:t xml:space="preserve">minute cap on intrastate IPCS rates.  </w:t>
      </w:r>
      <w:proofErr w:type="spellStart"/>
      <w:r w:rsidRPr="0C88AC9B">
        <w:rPr>
          <w:sz w:val="26"/>
          <w:szCs w:val="26"/>
        </w:rPr>
        <w:t>CforAT</w:t>
      </w:r>
      <w:proofErr w:type="spellEnd"/>
      <w:r w:rsidRPr="0C88AC9B">
        <w:rPr>
          <w:sz w:val="26"/>
          <w:szCs w:val="26"/>
        </w:rPr>
        <w:t xml:space="preserve"> argues that, as the state with the most incarcerated people, IPCS providers in California should be able to leverage economies of scale to provide IPCS at lower cost than other smaller states.</w:t>
      </w:r>
      <w:r w:rsidRPr="0C88AC9B">
        <w:rPr>
          <w:rStyle w:val="FootnoteReference"/>
          <w:sz w:val="26"/>
          <w:szCs w:val="26"/>
        </w:rPr>
        <w:footnoteReference w:id="167"/>
      </w:r>
      <w:r w:rsidRPr="0C88AC9B">
        <w:rPr>
          <w:sz w:val="26"/>
          <w:szCs w:val="26"/>
        </w:rPr>
        <w:t xml:space="preserve">  </w:t>
      </w:r>
    </w:p>
    <w:p w:rsidR="00EF2563" w:rsidP="00520E4E" w:rsidRDefault="004616AF" w14:paraId="67D79616" w14:textId="54E1AA4B">
      <w:pPr>
        <w:pStyle w:val="Heading3"/>
      </w:pPr>
      <w:bookmarkStart w:name="_Toc80089407" w:id="46"/>
      <w:r>
        <w:lastRenderedPageBreak/>
        <w:t>6.2.1</w:t>
      </w:r>
      <w:r w:rsidR="6ADC1A9D">
        <w:t xml:space="preserve"> </w:t>
      </w:r>
      <w:r>
        <w:tab/>
      </w:r>
      <w:r w:rsidR="00617F46">
        <w:t>Provider</w:t>
      </w:r>
      <w:r w:rsidR="00A037DD">
        <w:t xml:space="preserve"> </w:t>
      </w:r>
      <w:r w:rsidR="00617F46">
        <w:t>Comments</w:t>
      </w:r>
      <w:bookmarkEnd w:id="46"/>
      <w:r w:rsidR="00617F46">
        <w:t xml:space="preserve"> </w:t>
      </w:r>
      <w:r w:rsidR="00EF2563">
        <w:t xml:space="preserve"> </w:t>
      </w:r>
    </w:p>
    <w:p w:rsidR="00F17325" w:rsidP="00BE6E6B" w:rsidRDefault="00A365D4" w14:paraId="24EBF1F5" w14:textId="520C0118">
      <w:pPr>
        <w:pStyle w:val="Standard"/>
        <w:ind w:firstLine="720"/>
        <w:rPr>
          <w:sz w:val="26"/>
          <w:szCs w:val="26"/>
        </w:rPr>
      </w:pPr>
      <w:r>
        <w:rPr>
          <w:sz w:val="26"/>
          <w:szCs w:val="26"/>
        </w:rPr>
        <w:t>Securus opposes Cal Advocates’ proposed $0.05 per minute rate cap.</w:t>
      </w:r>
      <w:r w:rsidR="00F756D2">
        <w:rPr>
          <w:rStyle w:val="FootnoteReference"/>
          <w:sz w:val="26"/>
          <w:szCs w:val="26"/>
        </w:rPr>
        <w:footnoteReference w:id="168"/>
      </w:r>
      <w:r>
        <w:rPr>
          <w:sz w:val="26"/>
          <w:szCs w:val="26"/>
        </w:rPr>
        <w:t xml:space="preserve">  Securus </w:t>
      </w:r>
      <w:r w:rsidR="00B7772E">
        <w:rPr>
          <w:sz w:val="26"/>
          <w:szCs w:val="26"/>
        </w:rPr>
        <w:t xml:space="preserve">argues that the variable </w:t>
      </w:r>
      <w:r w:rsidRPr="00153184" w:rsidR="00153184">
        <w:rPr>
          <w:sz w:val="26"/>
          <w:szCs w:val="26"/>
        </w:rPr>
        <w:t xml:space="preserve">rates among different correctional agencies </w:t>
      </w:r>
      <w:r w:rsidR="00B7772E">
        <w:rPr>
          <w:sz w:val="26"/>
          <w:szCs w:val="26"/>
        </w:rPr>
        <w:t xml:space="preserve">identified by Cal Advocates result from </w:t>
      </w:r>
      <w:r w:rsidRPr="00153184" w:rsidR="00153184">
        <w:rPr>
          <w:sz w:val="26"/>
          <w:szCs w:val="26"/>
        </w:rPr>
        <w:t xml:space="preserve">variable costs that reflect the </w:t>
      </w:r>
      <w:r w:rsidRPr="00153184" w:rsidR="00217CAF">
        <w:rPr>
          <w:sz w:val="26"/>
          <w:szCs w:val="26"/>
        </w:rPr>
        <w:t>needs</w:t>
      </w:r>
      <w:r w:rsidRPr="00153184" w:rsidR="00153184">
        <w:rPr>
          <w:sz w:val="26"/>
          <w:szCs w:val="26"/>
        </w:rPr>
        <w:t xml:space="preserve"> of the facility, the facility’s population, location and other factors that affect costs.</w:t>
      </w:r>
      <w:r w:rsidR="00B7772E">
        <w:rPr>
          <w:rStyle w:val="FootnoteReference"/>
          <w:sz w:val="26"/>
          <w:szCs w:val="26"/>
        </w:rPr>
        <w:footnoteReference w:id="169"/>
      </w:r>
      <w:r w:rsidRPr="00153184" w:rsidR="00153184">
        <w:rPr>
          <w:sz w:val="26"/>
          <w:szCs w:val="26"/>
        </w:rPr>
        <w:t xml:space="preserve"> </w:t>
      </w:r>
      <w:r w:rsidR="00B7772E">
        <w:rPr>
          <w:sz w:val="26"/>
          <w:szCs w:val="26"/>
        </w:rPr>
        <w:t xml:space="preserve"> </w:t>
      </w:r>
      <w:r w:rsidR="00D65658">
        <w:rPr>
          <w:sz w:val="26"/>
          <w:szCs w:val="26"/>
        </w:rPr>
        <w:t>Securus states that t</w:t>
      </w:r>
      <w:r w:rsidR="00523B0D">
        <w:rPr>
          <w:sz w:val="26"/>
          <w:szCs w:val="26"/>
        </w:rPr>
        <w:t xml:space="preserve">he </w:t>
      </w:r>
      <w:r w:rsidR="00B7772E">
        <w:rPr>
          <w:sz w:val="26"/>
          <w:szCs w:val="26"/>
        </w:rPr>
        <w:t xml:space="preserve">FCC’s Third Order </w:t>
      </w:r>
      <w:r w:rsidRPr="00153184" w:rsidR="00153184">
        <w:rPr>
          <w:sz w:val="26"/>
          <w:szCs w:val="26"/>
        </w:rPr>
        <w:t xml:space="preserve">recognizes that costs vary between </w:t>
      </w:r>
      <w:r w:rsidR="00B7772E">
        <w:rPr>
          <w:sz w:val="26"/>
          <w:szCs w:val="26"/>
        </w:rPr>
        <w:t xml:space="preserve">differently sized facilities, which </w:t>
      </w:r>
      <w:r w:rsidRPr="00153184" w:rsidR="00153184">
        <w:rPr>
          <w:sz w:val="26"/>
          <w:szCs w:val="26"/>
        </w:rPr>
        <w:t>precludes a “one-size-fits-all” rate prescription.</w:t>
      </w:r>
      <w:r w:rsidR="00B7772E">
        <w:rPr>
          <w:rStyle w:val="FootnoteReference"/>
          <w:sz w:val="26"/>
          <w:szCs w:val="26"/>
        </w:rPr>
        <w:footnoteReference w:id="170"/>
      </w:r>
      <w:r w:rsidR="00426E26">
        <w:rPr>
          <w:sz w:val="26"/>
          <w:szCs w:val="26"/>
        </w:rPr>
        <w:t xml:space="preserve">  Securus</w:t>
      </w:r>
      <w:r w:rsidR="00D623B2">
        <w:rPr>
          <w:sz w:val="26"/>
          <w:szCs w:val="26"/>
        </w:rPr>
        <w:t xml:space="preserve"> further</w:t>
      </w:r>
      <w:r w:rsidR="00426E26">
        <w:rPr>
          <w:sz w:val="26"/>
          <w:szCs w:val="26"/>
        </w:rPr>
        <w:t xml:space="preserve"> </w:t>
      </w:r>
      <w:r w:rsidR="003902FE">
        <w:rPr>
          <w:sz w:val="26"/>
          <w:szCs w:val="26"/>
        </w:rPr>
        <w:t>contends that</w:t>
      </w:r>
      <w:r w:rsidR="00217CAF">
        <w:rPr>
          <w:sz w:val="26"/>
          <w:szCs w:val="26"/>
        </w:rPr>
        <w:t xml:space="preserve"> Cal Advocates’ proposal </w:t>
      </w:r>
      <w:r w:rsidR="00EF2563">
        <w:rPr>
          <w:sz w:val="26"/>
          <w:szCs w:val="26"/>
        </w:rPr>
        <w:t xml:space="preserve">fails to consider </w:t>
      </w:r>
      <w:r w:rsidR="00217CAF">
        <w:rPr>
          <w:sz w:val="26"/>
          <w:szCs w:val="26"/>
        </w:rPr>
        <w:t>site commissions</w:t>
      </w:r>
      <w:r w:rsidR="00846137">
        <w:rPr>
          <w:sz w:val="26"/>
          <w:szCs w:val="26"/>
        </w:rPr>
        <w:t>,</w:t>
      </w:r>
      <w:r w:rsidRPr="00DD3DC2" w:rsidR="00622614">
        <w:rPr>
          <w:rStyle w:val="FootnoteReference"/>
          <w:sz w:val="26"/>
          <w:szCs w:val="26"/>
        </w:rPr>
        <w:footnoteReference w:id="171"/>
      </w:r>
      <w:r w:rsidR="00846137">
        <w:rPr>
          <w:sz w:val="26"/>
          <w:szCs w:val="26"/>
        </w:rPr>
        <w:t xml:space="preserve"> and </w:t>
      </w:r>
      <w:r w:rsidR="00BD6B1D">
        <w:rPr>
          <w:sz w:val="26"/>
          <w:szCs w:val="26"/>
        </w:rPr>
        <w:t xml:space="preserve">that parties </w:t>
      </w:r>
      <w:r w:rsidR="00DA7F00">
        <w:rPr>
          <w:sz w:val="26"/>
          <w:szCs w:val="26"/>
        </w:rPr>
        <w:t>more generally “con</w:t>
      </w:r>
      <w:r w:rsidRPr="00DA7F00" w:rsidR="00DA7F00">
        <w:rPr>
          <w:sz w:val="26"/>
          <w:szCs w:val="26"/>
        </w:rPr>
        <w:t>tinue to erroneously compare I</w:t>
      </w:r>
      <w:r w:rsidR="00DA7F00">
        <w:rPr>
          <w:sz w:val="26"/>
          <w:szCs w:val="26"/>
        </w:rPr>
        <w:t>[P]</w:t>
      </w:r>
      <w:r w:rsidRPr="00DA7F00" w:rsidR="00DA7F00">
        <w:rPr>
          <w:sz w:val="26"/>
          <w:szCs w:val="26"/>
        </w:rPr>
        <w:t>CS rates to commercial telephone rates</w:t>
      </w:r>
      <w:r w:rsidR="00846137">
        <w:rPr>
          <w:sz w:val="26"/>
          <w:szCs w:val="26"/>
        </w:rPr>
        <w:t>.”</w:t>
      </w:r>
      <w:r w:rsidR="00DD3DC2">
        <w:rPr>
          <w:rStyle w:val="FootnoteReference"/>
          <w:sz w:val="26"/>
          <w:szCs w:val="26"/>
        </w:rPr>
        <w:footnoteReference w:id="172"/>
      </w:r>
    </w:p>
    <w:p w:rsidRPr="00F17325" w:rsidR="00523B0D" w:rsidP="00F17325" w:rsidRDefault="00523B0D" w14:paraId="707DCCA0" w14:textId="49D99CA1">
      <w:pPr>
        <w:pStyle w:val="Standard"/>
        <w:ind w:firstLine="720"/>
        <w:rPr>
          <w:sz w:val="26"/>
          <w:szCs w:val="26"/>
        </w:rPr>
      </w:pPr>
      <w:r>
        <w:rPr>
          <w:sz w:val="26"/>
          <w:szCs w:val="26"/>
        </w:rPr>
        <w:t xml:space="preserve">GTL, Pay Tel and NCIC Communications do not </w:t>
      </w:r>
      <w:r w:rsidR="00EF2563">
        <w:rPr>
          <w:sz w:val="26"/>
          <w:szCs w:val="26"/>
        </w:rPr>
        <w:t>comment on Cal</w:t>
      </w:r>
      <w:r w:rsidR="00B2653E">
        <w:rPr>
          <w:sz w:val="26"/>
          <w:szCs w:val="26"/>
        </w:rPr>
        <w:t> </w:t>
      </w:r>
      <w:r w:rsidR="00EF2563">
        <w:rPr>
          <w:sz w:val="26"/>
          <w:szCs w:val="26"/>
        </w:rPr>
        <w:t xml:space="preserve">Advocates’ proposal. </w:t>
      </w:r>
    </w:p>
    <w:p w:rsidRPr="00CF5E6A" w:rsidR="00632AAA" w:rsidP="00632AAA" w:rsidRDefault="1E316586" w14:paraId="7F20CBEC" w14:textId="3B0CE054">
      <w:pPr>
        <w:pStyle w:val="Heading2"/>
      </w:pPr>
      <w:bookmarkStart w:name="_Toc80089408" w:id="47"/>
      <w:r>
        <w:t>6.2</w:t>
      </w:r>
      <w:r w:rsidR="003E26B9">
        <w:tab/>
      </w:r>
      <w:r w:rsidRPr="00CF5E6A" w:rsidR="00632AAA">
        <w:t>Implementation Timeline</w:t>
      </w:r>
      <w:bookmarkEnd w:id="47"/>
    </w:p>
    <w:p w:rsidRPr="00061FCB" w:rsidR="00632AAA" w:rsidP="00632AAA" w:rsidRDefault="00632AAA" w14:paraId="283C19A4" w14:textId="77777777">
      <w:pPr>
        <w:pStyle w:val="Standard"/>
        <w:ind w:firstLine="720"/>
        <w:rPr>
          <w:sz w:val="26"/>
          <w:szCs w:val="26"/>
        </w:rPr>
      </w:pPr>
      <w:r w:rsidRPr="00061FCB">
        <w:rPr>
          <w:sz w:val="26"/>
          <w:szCs w:val="26"/>
        </w:rPr>
        <w:t xml:space="preserve">The April 2021 ALJ Ruling asked parties to comment on the Staff’s proposed implementation timeline of 30 days for any adopted interim rates.  </w:t>
      </w:r>
    </w:p>
    <w:p w:rsidRPr="00632AAA" w:rsidR="00632AAA" w:rsidP="00632AAA" w:rsidRDefault="00632AAA" w14:paraId="490736FC" w14:textId="74AC8001">
      <w:pPr>
        <w:pStyle w:val="Standard"/>
        <w:ind w:firstLine="720"/>
        <w:rPr>
          <w:sz w:val="26"/>
          <w:szCs w:val="26"/>
        </w:rPr>
      </w:pPr>
      <w:r w:rsidRPr="00061FCB">
        <w:rPr>
          <w:sz w:val="26"/>
          <w:szCs w:val="26"/>
        </w:rPr>
        <w:t xml:space="preserve">Most provider parties request 90 days to implement any adopted rate caps, stating that additional time was needed to renegotiate contracts with facilities and provide required notice to the incarcerated.  </w:t>
      </w:r>
      <w:r w:rsidR="00D65658">
        <w:rPr>
          <w:sz w:val="26"/>
          <w:szCs w:val="26"/>
        </w:rPr>
        <w:t xml:space="preserve">However, </w:t>
      </w:r>
      <w:r w:rsidRPr="00061FCB">
        <w:rPr>
          <w:sz w:val="26"/>
          <w:szCs w:val="26"/>
        </w:rPr>
        <w:t>IPCS provider NCIC Inmate Communications supports the 30-day implementation timeline and states that “this should be enforced regardless of the timeline the current Inmate Telephone Agreement (</w:t>
      </w:r>
      <w:proofErr w:type="gramStart"/>
      <w:r w:rsidRPr="00B2653E">
        <w:rPr>
          <w:i/>
          <w:iCs/>
          <w:sz w:val="26"/>
          <w:szCs w:val="26"/>
        </w:rPr>
        <w:t>i</w:t>
      </w:r>
      <w:r w:rsidR="00B2653E">
        <w:rPr>
          <w:i/>
          <w:iCs/>
          <w:sz w:val="26"/>
          <w:szCs w:val="26"/>
        </w:rPr>
        <w:t>.</w:t>
      </w:r>
      <w:r w:rsidRPr="00B2653E">
        <w:rPr>
          <w:i/>
          <w:iCs/>
          <w:sz w:val="26"/>
          <w:szCs w:val="26"/>
        </w:rPr>
        <w:t>e</w:t>
      </w:r>
      <w:r w:rsidR="00655016">
        <w:rPr>
          <w:i/>
          <w:iCs/>
          <w:sz w:val="26"/>
          <w:szCs w:val="26"/>
        </w:rPr>
        <w:t>.</w:t>
      </w:r>
      <w:proofErr w:type="gramEnd"/>
      <w:r w:rsidRPr="00061FCB">
        <w:rPr>
          <w:sz w:val="26"/>
          <w:szCs w:val="26"/>
        </w:rPr>
        <w:t xml:space="preserve"> the amount of time left on the current Agreement’s </w:t>
      </w:r>
      <w:r w:rsidRPr="00061FCB">
        <w:rPr>
          <w:sz w:val="26"/>
          <w:szCs w:val="26"/>
        </w:rPr>
        <w:lastRenderedPageBreak/>
        <w:t>Initial Term or any Renewal Terms), to ensure consistency for incarcerated persons and their families).”</w:t>
      </w:r>
      <w:r w:rsidRPr="00061FCB">
        <w:rPr>
          <w:rStyle w:val="FootnoteReference"/>
          <w:sz w:val="26"/>
          <w:szCs w:val="26"/>
        </w:rPr>
        <w:footnoteReference w:id="173"/>
      </w:r>
      <w:r w:rsidRPr="00061FCB">
        <w:rPr>
          <w:sz w:val="26"/>
          <w:szCs w:val="26"/>
        </w:rPr>
        <w:t xml:space="preserve">  All non-provider parties support a 30-day implementation timeline for any adopted rate caps.</w:t>
      </w:r>
    </w:p>
    <w:p w:rsidR="006A728D" w:rsidP="00A054B4" w:rsidRDefault="00632AAA" w14:paraId="40781560" w14:textId="73E8DAC8">
      <w:pPr>
        <w:pStyle w:val="Heading2"/>
      </w:pPr>
      <w:bookmarkStart w:name="_Toc80089409" w:id="48"/>
      <w:r w:rsidRPr="00632AAA">
        <w:t>6.3</w:t>
      </w:r>
      <w:r w:rsidRPr="00632AAA">
        <w:tab/>
      </w:r>
      <w:r w:rsidR="4D48B44E">
        <w:t xml:space="preserve">Adopting an Interim Rate Cap </w:t>
      </w:r>
      <w:r w:rsidR="00655016">
        <w:br/>
      </w:r>
      <w:r w:rsidR="4D48B44E">
        <w:t>of Seven Cents Per Minute</w:t>
      </w:r>
      <w:bookmarkEnd w:id="48"/>
    </w:p>
    <w:p w:rsidR="00846137" w:rsidP="00E42680" w:rsidRDefault="00B73051" w14:paraId="5A70F064" w14:textId="6A741C65">
      <w:pPr>
        <w:pStyle w:val="Standard"/>
        <w:ind w:firstLine="720"/>
        <w:rPr>
          <w:sz w:val="26"/>
          <w:szCs w:val="26"/>
        </w:rPr>
      </w:pPr>
      <w:r w:rsidRPr="00E949C5">
        <w:rPr>
          <w:sz w:val="26"/>
          <w:szCs w:val="26"/>
        </w:rPr>
        <w:t xml:space="preserve">Based on careful review of </w:t>
      </w:r>
      <w:r w:rsidR="00846137">
        <w:rPr>
          <w:sz w:val="26"/>
          <w:szCs w:val="26"/>
        </w:rPr>
        <w:t>the record</w:t>
      </w:r>
      <w:r w:rsidRPr="00E949C5">
        <w:rPr>
          <w:sz w:val="26"/>
          <w:szCs w:val="26"/>
        </w:rPr>
        <w:t xml:space="preserve">, we adopt an interim rate cap of seven cents ($0.07) per minute for all intrastate IPCS calls </w:t>
      </w:r>
      <w:r w:rsidRPr="00E949C5" w:rsidR="00E949C5">
        <w:rPr>
          <w:sz w:val="26"/>
          <w:szCs w:val="26"/>
        </w:rPr>
        <w:t xml:space="preserve">in California. </w:t>
      </w:r>
      <w:r w:rsidR="00E949C5">
        <w:rPr>
          <w:sz w:val="26"/>
          <w:szCs w:val="26"/>
        </w:rPr>
        <w:t xml:space="preserve"> </w:t>
      </w:r>
      <w:r w:rsidR="009E0B69">
        <w:rPr>
          <w:sz w:val="26"/>
          <w:szCs w:val="26"/>
        </w:rPr>
        <w:t xml:space="preserve">Adopting an interim rate cap of $0.07 per minute provides immediate rate relief to approximately </w:t>
      </w:r>
      <w:r w:rsidR="008C4325">
        <w:rPr>
          <w:sz w:val="26"/>
          <w:szCs w:val="26"/>
        </w:rPr>
        <w:t>171,0</w:t>
      </w:r>
      <w:r w:rsidR="008B4A0D">
        <w:rPr>
          <w:sz w:val="26"/>
          <w:szCs w:val="26"/>
        </w:rPr>
        <w:t>00</w:t>
      </w:r>
      <w:r w:rsidR="009E0B69">
        <w:rPr>
          <w:sz w:val="26"/>
          <w:szCs w:val="26"/>
        </w:rPr>
        <w:t xml:space="preserve"> incarcerated people located at</w:t>
      </w:r>
      <w:r w:rsidR="00CA01C4">
        <w:rPr>
          <w:sz w:val="26"/>
          <w:szCs w:val="26"/>
        </w:rPr>
        <w:t xml:space="preserve"> </w:t>
      </w:r>
      <w:r w:rsidRPr="00336A21" w:rsidR="008C4325">
        <w:rPr>
          <w:sz w:val="26"/>
          <w:szCs w:val="26"/>
        </w:rPr>
        <w:t>343</w:t>
      </w:r>
      <w:r w:rsidRPr="00C83530" w:rsidR="009E0B69">
        <w:rPr>
          <w:sz w:val="26"/>
          <w:szCs w:val="26"/>
        </w:rPr>
        <w:t xml:space="preserve"> incarceration</w:t>
      </w:r>
      <w:r w:rsidR="009E0B69">
        <w:rPr>
          <w:sz w:val="26"/>
          <w:szCs w:val="26"/>
        </w:rPr>
        <w:t xml:space="preserve"> facilities in California</w:t>
      </w:r>
      <w:r w:rsidR="009B3714">
        <w:rPr>
          <w:sz w:val="26"/>
          <w:szCs w:val="26"/>
        </w:rPr>
        <w:t>.</w:t>
      </w:r>
      <w:r w:rsidR="00E42680">
        <w:rPr>
          <w:sz w:val="26"/>
          <w:szCs w:val="26"/>
        </w:rPr>
        <w:t xml:space="preserve"> </w:t>
      </w:r>
      <w:r w:rsidR="00BB067F">
        <w:rPr>
          <w:sz w:val="26"/>
          <w:szCs w:val="26"/>
        </w:rPr>
        <w:t xml:space="preserve"> </w:t>
      </w:r>
      <w:r w:rsidR="006B3638">
        <w:rPr>
          <w:sz w:val="26"/>
          <w:szCs w:val="26"/>
        </w:rPr>
        <w:t xml:space="preserve">All </w:t>
      </w:r>
      <w:r w:rsidR="00BB067F">
        <w:rPr>
          <w:sz w:val="26"/>
          <w:szCs w:val="26"/>
        </w:rPr>
        <w:t>telephone corporations that provide IPCS</w:t>
      </w:r>
      <w:r w:rsidR="006B3638">
        <w:rPr>
          <w:sz w:val="26"/>
          <w:szCs w:val="26"/>
        </w:rPr>
        <w:t xml:space="preserve"> </w:t>
      </w:r>
      <w:proofErr w:type="gramStart"/>
      <w:r w:rsidR="007E4C28">
        <w:rPr>
          <w:sz w:val="26"/>
          <w:szCs w:val="26"/>
        </w:rPr>
        <w:t xml:space="preserve">shall </w:t>
      </w:r>
      <w:r w:rsidR="001F3645">
        <w:rPr>
          <w:sz w:val="26"/>
          <w:szCs w:val="26"/>
        </w:rPr>
        <w:t xml:space="preserve"> </w:t>
      </w:r>
      <w:r w:rsidR="006B3638">
        <w:rPr>
          <w:sz w:val="26"/>
          <w:szCs w:val="26"/>
        </w:rPr>
        <w:t>implement</w:t>
      </w:r>
      <w:proofErr w:type="gramEnd"/>
      <w:r w:rsidR="006B3638">
        <w:rPr>
          <w:sz w:val="26"/>
          <w:szCs w:val="26"/>
        </w:rPr>
        <w:t xml:space="preserve"> </w:t>
      </w:r>
      <w:r w:rsidR="00803A9D">
        <w:rPr>
          <w:sz w:val="26"/>
          <w:szCs w:val="26"/>
        </w:rPr>
        <w:t xml:space="preserve">the $0.07 per minute rate cap </w:t>
      </w:r>
      <w:r w:rsidR="00570914">
        <w:rPr>
          <w:sz w:val="26"/>
          <w:szCs w:val="26"/>
        </w:rPr>
        <w:t>across each facility</w:t>
      </w:r>
      <w:r w:rsidR="001F3645">
        <w:rPr>
          <w:sz w:val="26"/>
          <w:szCs w:val="26"/>
        </w:rPr>
        <w:t xml:space="preserve">, contract and account that it serves </w:t>
      </w:r>
      <w:r w:rsidR="00570914">
        <w:rPr>
          <w:sz w:val="26"/>
          <w:szCs w:val="26"/>
        </w:rPr>
        <w:t xml:space="preserve">in California no later than 45 days from Commission issuance of this decision.  </w:t>
      </w:r>
      <w:r w:rsidRPr="007E4C28" w:rsidR="007E4C28">
        <w:rPr>
          <w:sz w:val="26"/>
          <w:szCs w:val="26"/>
        </w:rPr>
        <w:t>Th</w:t>
      </w:r>
      <w:r w:rsidR="007E4C28">
        <w:rPr>
          <w:sz w:val="26"/>
          <w:szCs w:val="26"/>
        </w:rPr>
        <w:t xml:space="preserve">e </w:t>
      </w:r>
      <w:r w:rsidRPr="007E4C28" w:rsidR="007E4C28">
        <w:rPr>
          <w:sz w:val="26"/>
          <w:szCs w:val="26"/>
        </w:rPr>
        <w:t>interim rate cap applies to all prisons and jails in California and will remain in effect until we adopt a permanent IPCS intrastate rate cap later in this proceeding.</w:t>
      </w:r>
    </w:p>
    <w:p w:rsidR="00486930" w:rsidRDefault="00E949C5" w14:paraId="45335C2A" w14:textId="03722F5A">
      <w:pPr>
        <w:pStyle w:val="Standard"/>
        <w:ind w:firstLine="720"/>
        <w:rPr>
          <w:sz w:val="26"/>
          <w:szCs w:val="26"/>
        </w:rPr>
      </w:pPr>
      <w:r>
        <w:rPr>
          <w:sz w:val="26"/>
          <w:szCs w:val="26"/>
        </w:rPr>
        <w:t xml:space="preserve">We base </w:t>
      </w:r>
      <w:r w:rsidR="009E0B69">
        <w:rPr>
          <w:sz w:val="26"/>
          <w:szCs w:val="26"/>
        </w:rPr>
        <w:t xml:space="preserve">our adopted interim per-minute rate cap </w:t>
      </w:r>
      <w:r>
        <w:rPr>
          <w:sz w:val="26"/>
          <w:szCs w:val="26"/>
        </w:rPr>
        <w:t xml:space="preserve">on the following reasoning and </w:t>
      </w:r>
      <w:r w:rsidR="0067520C">
        <w:rPr>
          <w:sz w:val="26"/>
          <w:szCs w:val="26"/>
        </w:rPr>
        <w:t>information</w:t>
      </w:r>
      <w:r w:rsidR="00663093">
        <w:rPr>
          <w:sz w:val="26"/>
          <w:szCs w:val="26"/>
        </w:rPr>
        <w:t>.</w:t>
      </w:r>
      <w:r w:rsidR="0067520C">
        <w:rPr>
          <w:sz w:val="26"/>
          <w:szCs w:val="26"/>
        </w:rPr>
        <w:t xml:space="preserve">  </w:t>
      </w:r>
      <w:r w:rsidRPr="00823667" w:rsidR="000D3DBA">
        <w:rPr>
          <w:sz w:val="26"/>
          <w:szCs w:val="26"/>
        </w:rPr>
        <w:t xml:space="preserve">First, we </w:t>
      </w:r>
      <w:r w:rsidRPr="00823667" w:rsidR="004F67C4">
        <w:rPr>
          <w:sz w:val="26"/>
          <w:szCs w:val="26"/>
        </w:rPr>
        <w:t>take official notice that</w:t>
      </w:r>
      <w:r w:rsidRPr="00823667" w:rsidR="00DA148D">
        <w:rPr>
          <w:sz w:val="26"/>
          <w:szCs w:val="26"/>
        </w:rPr>
        <w:t xml:space="preserve"> the CDCR capped intrastate IPCS rates in California prisons at </w:t>
      </w:r>
      <w:r w:rsidRPr="00823667" w:rsidR="00A34F57">
        <w:rPr>
          <w:sz w:val="26"/>
          <w:szCs w:val="26"/>
        </w:rPr>
        <w:t>$0.025 per minute earlier this year, through 2026.</w:t>
      </w:r>
      <w:r w:rsidR="00FD4016">
        <w:rPr>
          <w:rStyle w:val="FootnoteReference"/>
          <w:sz w:val="26"/>
          <w:szCs w:val="26"/>
        </w:rPr>
        <w:footnoteReference w:id="174"/>
      </w:r>
      <w:r w:rsidR="00A34F57">
        <w:rPr>
          <w:sz w:val="26"/>
          <w:szCs w:val="26"/>
        </w:rPr>
        <w:t xml:space="preserve">  </w:t>
      </w:r>
      <w:r w:rsidR="798233BF">
        <w:rPr>
          <w:sz w:val="26"/>
          <w:szCs w:val="26"/>
        </w:rPr>
        <w:t>This</w:t>
      </w:r>
      <w:r w:rsidR="00A34F57">
        <w:rPr>
          <w:sz w:val="26"/>
          <w:szCs w:val="26"/>
        </w:rPr>
        <w:t xml:space="preserve"> provides </w:t>
      </w:r>
      <w:r w:rsidR="547BDD9B">
        <w:rPr>
          <w:sz w:val="26"/>
          <w:szCs w:val="26"/>
        </w:rPr>
        <w:t>a</w:t>
      </w:r>
      <w:r w:rsidR="65B6A454">
        <w:rPr>
          <w:sz w:val="26"/>
          <w:szCs w:val="26"/>
        </w:rPr>
        <w:t>n</w:t>
      </w:r>
      <w:r w:rsidR="00A34F57">
        <w:rPr>
          <w:sz w:val="26"/>
          <w:szCs w:val="26"/>
        </w:rPr>
        <w:t xml:space="preserve"> </w:t>
      </w:r>
      <w:r w:rsidRPr="41ED985B" w:rsidR="007D2359">
        <w:rPr>
          <w:sz w:val="26"/>
          <w:szCs w:val="26"/>
        </w:rPr>
        <w:t xml:space="preserve">interim </w:t>
      </w:r>
      <w:r w:rsidR="00A34F57">
        <w:rPr>
          <w:sz w:val="26"/>
          <w:szCs w:val="26"/>
        </w:rPr>
        <w:t xml:space="preserve">benchmark of </w:t>
      </w:r>
      <w:r w:rsidR="00463D29">
        <w:rPr>
          <w:sz w:val="26"/>
          <w:szCs w:val="26"/>
        </w:rPr>
        <w:t xml:space="preserve">the </w:t>
      </w:r>
      <w:r w:rsidR="002B7EF2">
        <w:rPr>
          <w:sz w:val="26"/>
          <w:szCs w:val="26"/>
        </w:rPr>
        <w:t xml:space="preserve">costs of providing </w:t>
      </w:r>
      <w:r w:rsidR="00463D29">
        <w:rPr>
          <w:sz w:val="26"/>
          <w:szCs w:val="26"/>
        </w:rPr>
        <w:t xml:space="preserve">IPCS at </w:t>
      </w:r>
      <w:r w:rsidR="00100566">
        <w:rPr>
          <w:sz w:val="26"/>
          <w:szCs w:val="26"/>
        </w:rPr>
        <w:t xml:space="preserve">a </w:t>
      </w:r>
      <w:r w:rsidR="00463D29">
        <w:rPr>
          <w:sz w:val="26"/>
          <w:szCs w:val="26"/>
        </w:rPr>
        <w:t>reasonable rate.</w:t>
      </w:r>
      <w:r w:rsidR="002B7EF2">
        <w:rPr>
          <w:sz w:val="26"/>
          <w:szCs w:val="26"/>
        </w:rPr>
        <w:t xml:space="preserve">  Notably</w:t>
      </w:r>
      <w:r w:rsidRPr="0069151A" w:rsidR="002B7EF2">
        <w:rPr>
          <w:sz w:val="26"/>
          <w:szCs w:val="26"/>
        </w:rPr>
        <w:t xml:space="preserve">, </w:t>
      </w:r>
      <w:r w:rsidRPr="0069151A" w:rsidR="00FC5F3A">
        <w:rPr>
          <w:sz w:val="26"/>
          <w:szCs w:val="26"/>
        </w:rPr>
        <w:t>SB 81</w:t>
      </w:r>
      <w:r w:rsidRPr="0069151A" w:rsidR="006C52A4">
        <w:rPr>
          <w:sz w:val="26"/>
          <w:szCs w:val="26"/>
        </w:rPr>
        <w:t xml:space="preserve"> (2007</w:t>
      </w:r>
      <w:r w:rsidR="006C52A4">
        <w:rPr>
          <w:sz w:val="26"/>
          <w:szCs w:val="26"/>
        </w:rPr>
        <w:t>)</w:t>
      </w:r>
      <w:r w:rsidR="00CF7786">
        <w:rPr>
          <w:sz w:val="26"/>
          <w:szCs w:val="26"/>
        </w:rPr>
        <w:t xml:space="preserve"> </w:t>
      </w:r>
      <w:r w:rsidR="0069151A">
        <w:rPr>
          <w:sz w:val="26"/>
          <w:szCs w:val="26"/>
        </w:rPr>
        <w:t xml:space="preserve">phased out the collection of site commissions by </w:t>
      </w:r>
      <w:r w:rsidRPr="00C8188C" w:rsidR="00463D29">
        <w:rPr>
          <w:sz w:val="26"/>
          <w:szCs w:val="26"/>
        </w:rPr>
        <w:t>California prisons</w:t>
      </w:r>
      <w:r w:rsidRPr="00C8188C" w:rsidR="002B7EF2">
        <w:rPr>
          <w:sz w:val="26"/>
          <w:szCs w:val="26"/>
        </w:rPr>
        <w:t xml:space="preserve"> </w:t>
      </w:r>
      <w:r w:rsidR="0069151A">
        <w:rPr>
          <w:sz w:val="26"/>
          <w:szCs w:val="26"/>
        </w:rPr>
        <w:t>over four years</w:t>
      </w:r>
      <w:r w:rsidR="00FC6E83">
        <w:rPr>
          <w:sz w:val="26"/>
          <w:szCs w:val="26"/>
        </w:rPr>
        <w:t xml:space="preserve">.  The </w:t>
      </w:r>
      <w:r w:rsidR="002B7EF2">
        <w:rPr>
          <w:sz w:val="26"/>
          <w:szCs w:val="26"/>
        </w:rPr>
        <w:t>CDCR and GTL</w:t>
      </w:r>
      <w:r w:rsidR="00FD4016">
        <w:rPr>
          <w:sz w:val="26"/>
          <w:szCs w:val="26"/>
        </w:rPr>
        <w:t xml:space="preserve"> intrastate IPCS contract</w:t>
      </w:r>
      <w:r w:rsidR="002B7EF2">
        <w:rPr>
          <w:sz w:val="26"/>
          <w:szCs w:val="26"/>
        </w:rPr>
        <w:t xml:space="preserve"> rate of $0.025 per minute</w:t>
      </w:r>
      <w:r w:rsidR="005D0C89">
        <w:rPr>
          <w:sz w:val="26"/>
          <w:szCs w:val="26"/>
        </w:rPr>
        <w:t xml:space="preserve"> </w:t>
      </w:r>
      <w:r w:rsidR="00797031">
        <w:rPr>
          <w:sz w:val="26"/>
          <w:szCs w:val="26"/>
        </w:rPr>
        <w:t>thus</w:t>
      </w:r>
      <w:r w:rsidR="00CB7D21">
        <w:rPr>
          <w:sz w:val="26"/>
          <w:szCs w:val="26"/>
        </w:rPr>
        <w:t xml:space="preserve"> </w:t>
      </w:r>
      <w:r w:rsidR="005D0C89">
        <w:rPr>
          <w:sz w:val="26"/>
          <w:szCs w:val="26"/>
        </w:rPr>
        <w:t>excludes site commission costs</w:t>
      </w:r>
      <w:r w:rsidR="004A3FF1">
        <w:rPr>
          <w:sz w:val="26"/>
          <w:szCs w:val="26"/>
        </w:rPr>
        <w:t>.</w:t>
      </w:r>
    </w:p>
    <w:p w:rsidRPr="0038329A" w:rsidR="0038329A" w:rsidP="007B5239" w:rsidRDefault="00486930" w14:paraId="2A10BADA" w14:textId="06904F56">
      <w:pPr>
        <w:pStyle w:val="Standard"/>
        <w:ind w:firstLine="720"/>
        <w:rPr>
          <w:sz w:val="26"/>
          <w:szCs w:val="26"/>
        </w:rPr>
      </w:pPr>
      <w:r>
        <w:rPr>
          <w:sz w:val="26"/>
          <w:szCs w:val="26"/>
        </w:rPr>
        <w:lastRenderedPageBreak/>
        <w:t>Building on this fact, and using the best information before us, we reason that it is unlikely that it costs IPCS providers more than double the cost of providing call services to the California state prison system to provide IPCS to jails of all sizes.</w:t>
      </w:r>
      <w:r w:rsidRPr="00A87723">
        <w:rPr>
          <w:rStyle w:val="FootnoteReference"/>
          <w:sz w:val="26"/>
          <w:szCs w:val="26"/>
        </w:rPr>
        <w:t xml:space="preserve"> </w:t>
      </w:r>
      <w:r>
        <w:rPr>
          <w:rStyle w:val="FootnoteReference"/>
          <w:sz w:val="26"/>
          <w:szCs w:val="26"/>
        </w:rPr>
        <w:footnoteReference w:id="175"/>
      </w:r>
      <w:r>
        <w:rPr>
          <w:sz w:val="26"/>
          <w:szCs w:val="26"/>
        </w:rPr>
        <w:t xml:space="preserve">  </w:t>
      </w:r>
      <w:r w:rsidR="002534D1">
        <w:rPr>
          <w:sz w:val="26"/>
          <w:szCs w:val="26"/>
        </w:rPr>
        <w:t>The FCC’s Third Order</w:t>
      </w:r>
      <w:r w:rsidR="001A7459">
        <w:rPr>
          <w:sz w:val="26"/>
          <w:szCs w:val="26"/>
        </w:rPr>
        <w:t xml:space="preserve"> </w:t>
      </w:r>
      <w:r w:rsidR="002534D1">
        <w:rPr>
          <w:sz w:val="26"/>
          <w:szCs w:val="26"/>
        </w:rPr>
        <w:t xml:space="preserve">finds that it costs service providers </w:t>
      </w:r>
      <w:r w:rsidRPr="00E208BE" w:rsidR="002534D1">
        <w:rPr>
          <w:sz w:val="26"/>
          <w:szCs w:val="26"/>
        </w:rPr>
        <w:t>approximately 22</w:t>
      </w:r>
      <w:r w:rsidR="007B5239">
        <w:rPr>
          <w:sz w:val="26"/>
          <w:szCs w:val="26"/>
        </w:rPr>
        <w:t xml:space="preserve"> </w:t>
      </w:r>
      <w:r w:rsidRPr="00E208BE" w:rsidR="002534D1">
        <w:rPr>
          <w:sz w:val="26"/>
          <w:szCs w:val="26"/>
        </w:rPr>
        <w:t>-</w:t>
      </w:r>
      <w:r w:rsidR="007B5239">
        <w:rPr>
          <w:sz w:val="26"/>
          <w:szCs w:val="26"/>
        </w:rPr>
        <w:t xml:space="preserve"> </w:t>
      </w:r>
      <w:r w:rsidRPr="00E208BE" w:rsidR="002534D1">
        <w:rPr>
          <w:sz w:val="26"/>
          <w:szCs w:val="26"/>
        </w:rPr>
        <w:t>25 percent</w:t>
      </w:r>
      <w:r w:rsidR="002534D1">
        <w:rPr>
          <w:sz w:val="26"/>
          <w:szCs w:val="26"/>
        </w:rPr>
        <w:t xml:space="preserve"> more to provide IPCS </w:t>
      </w:r>
      <w:r w:rsidR="007E4C28">
        <w:rPr>
          <w:sz w:val="26"/>
          <w:szCs w:val="26"/>
        </w:rPr>
        <w:t>to</w:t>
      </w:r>
      <w:r w:rsidR="002534D1">
        <w:rPr>
          <w:sz w:val="26"/>
          <w:szCs w:val="26"/>
        </w:rPr>
        <w:t xml:space="preserve"> jails with a population greater than 1,000 </w:t>
      </w:r>
      <w:r w:rsidR="007E4C28">
        <w:rPr>
          <w:sz w:val="26"/>
          <w:szCs w:val="26"/>
        </w:rPr>
        <w:t xml:space="preserve">as compared to </w:t>
      </w:r>
      <w:r w:rsidR="002534D1">
        <w:rPr>
          <w:sz w:val="26"/>
          <w:szCs w:val="26"/>
        </w:rPr>
        <w:t>prisons.</w:t>
      </w:r>
      <w:r w:rsidR="002534D1">
        <w:rPr>
          <w:rStyle w:val="FootnoteReference"/>
          <w:sz w:val="26"/>
          <w:szCs w:val="26"/>
        </w:rPr>
        <w:footnoteReference w:id="176"/>
      </w:r>
      <w:r w:rsidR="002534D1">
        <w:rPr>
          <w:sz w:val="26"/>
          <w:szCs w:val="26"/>
        </w:rPr>
        <w:t xml:space="preserve"> </w:t>
      </w:r>
      <w:r w:rsidR="001A7459">
        <w:rPr>
          <w:sz w:val="26"/>
          <w:szCs w:val="26"/>
        </w:rPr>
        <w:t xml:space="preserve"> In</w:t>
      </w:r>
      <w:r w:rsidR="00E404E8">
        <w:rPr>
          <w:sz w:val="26"/>
          <w:szCs w:val="26"/>
        </w:rPr>
        <w:t xml:space="preserve">creasing the </w:t>
      </w:r>
      <w:r w:rsidR="007D3C69">
        <w:rPr>
          <w:sz w:val="26"/>
          <w:szCs w:val="26"/>
        </w:rPr>
        <w:t xml:space="preserve">$0.025 </w:t>
      </w:r>
      <w:r w:rsidR="00E404E8">
        <w:rPr>
          <w:sz w:val="26"/>
          <w:szCs w:val="26"/>
        </w:rPr>
        <w:t xml:space="preserve">rate achieved between CDCR and GTL by </w:t>
      </w:r>
      <w:r w:rsidRPr="003562F0" w:rsidR="00E404E8">
        <w:rPr>
          <w:sz w:val="26"/>
          <w:szCs w:val="26"/>
        </w:rPr>
        <w:t xml:space="preserve">the </w:t>
      </w:r>
      <w:r w:rsidRPr="00472730" w:rsidR="00E404E8">
        <w:rPr>
          <w:sz w:val="26"/>
          <w:szCs w:val="26"/>
        </w:rPr>
        <w:t>22</w:t>
      </w:r>
      <w:r w:rsidR="007B5239">
        <w:rPr>
          <w:sz w:val="26"/>
          <w:szCs w:val="26"/>
        </w:rPr>
        <w:t xml:space="preserve"> </w:t>
      </w:r>
      <w:r w:rsidRPr="003562F0" w:rsidR="003562F0">
        <w:rPr>
          <w:sz w:val="26"/>
          <w:szCs w:val="26"/>
        </w:rPr>
        <w:t>- 25</w:t>
      </w:r>
      <w:r w:rsidRPr="003562F0" w:rsidR="00E404E8">
        <w:rPr>
          <w:sz w:val="26"/>
          <w:szCs w:val="26"/>
        </w:rPr>
        <w:t xml:space="preserve"> percent</w:t>
      </w:r>
      <w:r w:rsidR="00E404E8">
        <w:rPr>
          <w:sz w:val="26"/>
          <w:szCs w:val="26"/>
        </w:rPr>
        <w:t xml:space="preserve"> potential cost difference level identified by the FCC results in </w:t>
      </w:r>
      <w:r w:rsidR="002E6828">
        <w:rPr>
          <w:sz w:val="26"/>
          <w:szCs w:val="26"/>
        </w:rPr>
        <w:t xml:space="preserve">a rate of </w:t>
      </w:r>
      <w:r w:rsidR="00844B6A">
        <w:rPr>
          <w:sz w:val="26"/>
          <w:szCs w:val="26"/>
        </w:rPr>
        <w:t>$0.0</w:t>
      </w:r>
      <w:r w:rsidR="008374B9">
        <w:rPr>
          <w:sz w:val="26"/>
          <w:szCs w:val="26"/>
        </w:rPr>
        <w:t>31</w:t>
      </w:r>
      <w:r w:rsidR="007D3C69">
        <w:rPr>
          <w:sz w:val="26"/>
          <w:szCs w:val="26"/>
        </w:rPr>
        <w:t>, potentially, for larger jails</w:t>
      </w:r>
      <w:r w:rsidR="00795655">
        <w:rPr>
          <w:sz w:val="26"/>
          <w:szCs w:val="26"/>
        </w:rPr>
        <w:t>.</w:t>
      </w:r>
      <w:r w:rsidR="00DA055E">
        <w:rPr>
          <w:sz w:val="26"/>
          <w:szCs w:val="26"/>
        </w:rPr>
        <w:t xml:space="preserve">  </w:t>
      </w:r>
      <w:r w:rsidR="00DC018D">
        <w:rPr>
          <w:sz w:val="26"/>
          <w:szCs w:val="26"/>
        </w:rPr>
        <w:t xml:space="preserve">Doubling the $0.025 per minute rate achieved in </w:t>
      </w:r>
      <w:r w:rsidR="000E4AB9">
        <w:rPr>
          <w:sz w:val="26"/>
          <w:szCs w:val="26"/>
        </w:rPr>
        <w:t xml:space="preserve">the California state prison system results in a </w:t>
      </w:r>
      <w:r w:rsidR="0048448C">
        <w:rPr>
          <w:sz w:val="26"/>
          <w:szCs w:val="26"/>
        </w:rPr>
        <w:t xml:space="preserve">potential rate of </w:t>
      </w:r>
      <w:r w:rsidR="005B6A3E">
        <w:rPr>
          <w:sz w:val="26"/>
          <w:szCs w:val="26"/>
        </w:rPr>
        <w:t xml:space="preserve">$0.05 </w:t>
      </w:r>
      <w:r w:rsidR="003F66ED">
        <w:rPr>
          <w:sz w:val="26"/>
          <w:szCs w:val="26"/>
        </w:rPr>
        <w:t>per minute</w:t>
      </w:r>
      <w:r w:rsidR="007E4C28">
        <w:rPr>
          <w:sz w:val="26"/>
          <w:szCs w:val="26"/>
        </w:rPr>
        <w:t xml:space="preserve"> for all jails</w:t>
      </w:r>
      <w:r w:rsidR="0048448C">
        <w:rPr>
          <w:sz w:val="26"/>
          <w:szCs w:val="26"/>
        </w:rPr>
        <w:t xml:space="preserve">.  </w:t>
      </w:r>
      <w:r w:rsidRPr="00DA055E" w:rsidR="00DA055E">
        <w:rPr>
          <w:sz w:val="26"/>
          <w:szCs w:val="26"/>
        </w:rPr>
        <w:t xml:space="preserve">Notwithstanding </w:t>
      </w:r>
      <w:r w:rsidR="00971E48">
        <w:rPr>
          <w:sz w:val="26"/>
          <w:szCs w:val="26"/>
        </w:rPr>
        <w:t xml:space="preserve">the </w:t>
      </w:r>
      <w:r w:rsidRPr="00DA055E" w:rsidR="00DA055E">
        <w:rPr>
          <w:sz w:val="26"/>
          <w:szCs w:val="26"/>
        </w:rPr>
        <w:t xml:space="preserve">current </w:t>
      </w:r>
      <w:r w:rsidR="00E0328B">
        <w:rPr>
          <w:sz w:val="26"/>
          <w:szCs w:val="26"/>
        </w:rPr>
        <w:t xml:space="preserve">exorbitant </w:t>
      </w:r>
      <w:r w:rsidRPr="00DA055E" w:rsidR="00DA055E">
        <w:rPr>
          <w:sz w:val="26"/>
          <w:szCs w:val="26"/>
        </w:rPr>
        <w:t xml:space="preserve">rates charged by </w:t>
      </w:r>
      <w:r w:rsidR="00E0328B">
        <w:rPr>
          <w:sz w:val="26"/>
          <w:szCs w:val="26"/>
        </w:rPr>
        <w:t xml:space="preserve">some </w:t>
      </w:r>
      <w:r w:rsidRPr="00DA055E" w:rsidR="00DA055E">
        <w:rPr>
          <w:sz w:val="26"/>
          <w:szCs w:val="26"/>
        </w:rPr>
        <w:t xml:space="preserve">IPCS providers, </w:t>
      </w:r>
      <w:r w:rsidR="00E0328B">
        <w:rPr>
          <w:sz w:val="26"/>
          <w:szCs w:val="26"/>
        </w:rPr>
        <w:t xml:space="preserve">a doubling of costs between relatively similar </w:t>
      </w:r>
      <w:r w:rsidR="00C15135">
        <w:rPr>
          <w:sz w:val="26"/>
          <w:szCs w:val="26"/>
        </w:rPr>
        <w:t xml:space="preserve">incarceration facility </w:t>
      </w:r>
      <w:r w:rsidR="00E0328B">
        <w:rPr>
          <w:sz w:val="26"/>
          <w:szCs w:val="26"/>
        </w:rPr>
        <w:t>locations</w:t>
      </w:r>
      <w:r w:rsidR="009774E5">
        <w:rPr>
          <w:sz w:val="26"/>
          <w:szCs w:val="26"/>
        </w:rPr>
        <w:t xml:space="preserve"> </w:t>
      </w:r>
      <w:r w:rsidR="008A7EF5">
        <w:rPr>
          <w:sz w:val="26"/>
          <w:szCs w:val="26"/>
        </w:rPr>
        <w:t>is a significant difference</w:t>
      </w:r>
      <w:r w:rsidR="00733ACC">
        <w:rPr>
          <w:sz w:val="26"/>
          <w:szCs w:val="26"/>
        </w:rPr>
        <w:t xml:space="preserve"> that a freely operating market could</w:t>
      </w:r>
      <w:r w:rsidR="009774E5">
        <w:rPr>
          <w:sz w:val="26"/>
          <w:szCs w:val="26"/>
        </w:rPr>
        <w:t xml:space="preserve"> be expected to </w:t>
      </w:r>
      <w:r w:rsidR="00B523FF">
        <w:rPr>
          <w:sz w:val="26"/>
          <w:szCs w:val="26"/>
        </w:rPr>
        <w:t>eliminate</w:t>
      </w:r>
      <w:r w:rsidR="009774E5">
        <w:rPr>
          <w:sz w:val="26"/>
          <w:szCs w:val="26"/>
        </w:rPr>
        <w:t xml:space="preserve">, </w:t>
      </w:r>
      <w:r w:rsidR="00B523FF">
        <w:rPr>
          <w:sz w:val="26"/>
          <w:szCs w:val="26"/>
        </w:rPr>
        <w:t xml:space="preserve">or </w:t>
      </w:r>
      <w:r w:rsidR="009774E5">
        <w:rPr>
          <w:sz w:val="26"/>
          <w:szCs w:val="26"/>
        </w:rPr>
        <w:t xml:space="preserve">at least to </w:t>
      </w:r>
      <w:r w:rsidR="00971E48">
        <w:rPr>
          <w:sz w:val="26"/>
          <w:szCs w:val="26"/>
        </w:rPr>
        <w:t xml:space="preserve">significantly </w:t>
      </w:r>
      <w:r w:rsidR="00B523FF">
        <w:rPr>
          <w:sz w:val="26"/>
          <w:szCs w:val="26"/>
        </w:rPr>
        <w:t>reduce.</w:t>
      </w:r>
      <w:r w:rsidR="0038329A">
        <w:rPr>
          <w:sz w:val="26"/>
          <w:szCs w:val="26"/>
        </w:rPr>
        <w:t xml:space="preserve">  </w:t>
      </w:r>
    </w:p>
    <w:p w:rsidRPr="00530470" w:rsidR="00D433EA" w:rsidP="00472730" w:rsidRDefault="00F11765" w14:paraId="0AF8306E" w14:textId="00E8762C">
      <w:pPr>
        <w:pStyle w:val="Standard"/>
        <w:ind w:firstLine="720"/>
        <w:rPr>
          <w:sz w:val="26"/>
          <w:szCs w:val="26"/>
        </w:rPr>
      </w:pPr>
      <w:r>
        <w:rPr>
          <w:sz w:val="26"/>
          <w:szCs w:val="26"/>
        </w:rPr>
        <w:t>Second</w:t>
      </w:r>
      <w:r w:rsidRPr="003664DD" w:rsidR="00463D29">
        <w:rPr>
          <w:sz w:val="26"/>
          <w:szCs w:val="26"/>
        </w:rPr>
        <w:t xml:space="preserve">, </w:t>
      </w:r>
      <w:r w:rsidRPr="003664DD" w:rsidR="00D97162">
        <w:rPr>
          <w:sz w:val="26"/>
          <w:szCs w:val="26"/>
        </w:rPr>
        <w:t xml:space="preserve">we concur with Cal Advocates and </w:t>
      </w:r>
      <w:proofErr w:type="spellStart"/>
      <w:r w:rsidRPr="003664DD" w:rsidR="00D97162">
        <w:rPr>
          <w:sz w:val="26"/>
          <w:szCs w:val="26"/>
        </w:rPr>
        <w:t>CforAT</w:t>
      </w:r>
      <w:proofErr w:type="spellEnd"/>
      <w:r w:rsidRPr="003664DD" w:rsidR="00D97162">
        <w:rPr>
          <w:sz w:val="26"/>
          <w:szCs w:val="26"/>
        </w:rPr>
        <w:t xml:space="preserve"> that </w:t>
      </w:r>
      <w:r w:rsidRPr="00591852" w:rsidR="00042E66">
        <w:rPr>
          <w:sz w:val="26"/>
          <w:szCs w:val="26"/>
        </w:rPr>
        <w:t>California IPCS providers</w:t>
      </w:r>
      <w:r w:rsidRPr="00B86D3B" w:rsidR="005E55BB">
        <w:rPr>
          <w:sz w:val="26"/>
          <w:szCs w:val="26"/>
        </w:rPr>
        <w:t xml:space="preserve"> </w:t>
      </w:r>
      <w:r w:rsidRPr="00F64BE3" w:rsidR="00042E66">
        <w:rPr>
          <w:sz w:val="26"/>
          <w:szCs w:val="26"/>
        </w:rPr>
        <w:t xml:space="preserve">should be </w:t>
      </w:r>
      <w:r w:rsidRPr="00F64BE3" w:rsidR="008F41F9">
        <w:rPr>
          <w:sz w:val="26"/>
          <w:szCs w:val="26"/>
        </w:rPr>
        <w:t xml:space="preserve">up to the challenge of </w:t>
      </w:r>
      <w:r w:rsidRPr="00F64BE3" w:rsidR="00042E66">
        <w:rPr>
          <w:sz w:val="26"/>
          <w:szCs w:val="26"/>
        </w:rPr>
        <w:t>match</w:t>
      </w:r>
      <w:r w:rsidRPr="00F64BE3" w:rsidR="008F41F9">
        <w:rPr>
          <w:sz w:val="26"/>
          <w:szCs w:val="26"/>
        </w:rPr>
        <w:t>ing</w:t>
      </w:r>
      <w:r w:rsidRPr="00F64BE3" w:rsidR="00042E66">
        <w:rPr>
          <w:sz w:val="26"/>
          <w:szCs w:val="26"/>
        </w:rPr>
        <w:t xml:space="preserve"> or beat</w:t>
      </w:r>
      <w:r w:rsidRPr="00F64BE3" w:rsidR="008F41F9">
        <w:rPr>
          <w:sz w:val="26"/>
          <w:szCs w:val="26"/>
        </w:rPr>
        <w:t xml:space="preserve">ing </w:t>
      </w:r>
      <w:r w:rsidRPr="00F64BE3" w:rsidR="00DB52F9">
        <w:rPr>
          <w:sz w:val="26"/>
          <w:szCs w:val="26"/>
        </w:rPr>
        <w:t xml:space="preserve">the $0.05 average </w:t>
      </w:r>
      <w:r w:rsidRPr="00F64BE3" w:rsidR="008B731F">
        <w:rPr>
          <w:sz w:val="26"/>
          <w:szCs w:val="26"/>
        </w:rPr>
        <w:t xml:space="preserve">per minute </w:t>
      </w:r>
      <w:r w:rsidRPr="00F64BE3" w:rsidR="00DB52F9">
        <w:rPr>
          <w:sz w:val="26"/>
          <w:szCs w:val="26"/>
        </w:rPr>
        <w:t xml:space="preserve">rate </w:t>
      </w:r>
      <w:r w:rsidR="0048448C">
        <w:rPr>
          <w:sz w:val="26"/>
          <w:szCs w:val="26"/>
        </w:rPr>
        <w:t xml:space="preserve">achieved in other states’ </w:t>
      </w:r>
      <w:r w:rsidRPr="00F64BE3" w:rsidR="00DB52F9">
        <w:rPr>
          <w:sz w:val="26"/>
          <w:szCs w:val="26"/>
        </w:rPr>
        <w:t>prison</w:t>
      </w:r>
      <w:r w:rsidR="0060042F">
        <w:rPr>
          <w:sz w:val="26"/>
          <w:szCs w:val="26"/>
        </w:rPr>
        <w:t xml:space="preserve"> systems</w:t>
      </w:r>
      <w:r w:rsidR="00630346">
        <w:rPr>
          <w:sz w:val="26"/>
          <w:szCs w:val="26"/>
        </w:rPr>
        <w:t xml:space="preserve"> for incarceration facilities of all sizes.</w:t>
      </w:r>
      <w:r w:rsidR="0048448C">
        <w:rPr>
          <w:sz w:val="26"/>
          <w:szCs w:val="26"/>
        </w:rPr>
        <w:t xml:space="preserve">  </w:t>
      </w:r>
      <w:r w:rsidR="00D5112F">
        <w:rPr>
          <w:sz w:val="26"/>
          <w:szCs w:val="26"/>
        </w:rPr>
        <w:t>Other states are offering rates lower than their adopted caps: for instance</w:t>
      </w:r>
      <w:r w:rsidRPr="00F64BE3" w:rsidR="00F64BE3">
        <w:rPr>
          <w:sz w:val="26"/>
          <w:szCs w:val="26"/>
        </w:rPr>
        <w:t>, a</w:t>
      </w:r>
      <w:r w:rsidRPr="00F64BE3" w:rsidR="0084528A">
        <w:rPr>
          <w:sz w:val="26"/>
          <w:szCs w:val="26"/>
        </w:rPr>
        <w:t xml:space="preserve"> 2016 New Jersey bill capped in-state call rates at </w:t>
      </w:r>
      <w:r w:rsidR="00F01372">
        <w:rPr>
          <w:sz w:val="26"/>
          <w:szCs w:val="26"/>
        </w:rPr>
        <w:t xml:space="preserve">$0.11 </w:t>
      </w:r>
      <w:r w:rsidRPr="00F64BE3" w:rsidR="0084528A">
        <w:rPr>
          <w:sz w:val="26"/>
          <w:szCs w:val="26"/>
        </w:rPr>
        <w:t>per minute</w:t>
      </w:r>
      <w:r w:rsidR="00F64BE3">
        <w:rPr>
          <w:sz w:val="26"/>
          <w:szCs w:val="26"/>
        </w:rPr>
        <w:t xml:space="preserve"> but </w:t>
      </w:r>
      <w:r w:rsidRPr="00F64BE3" w:rsidR="0084528A">
        <w:rPr>
          <w:sz w:val="26"/>
          <w:szCs w:val="26"/>
        </w:rPr>
        <w:t xml:space="preserve">the rate </w:t>
      </w:r>
      <w:r w:rsidR="00DC5158">
        <w:rPr>
          <w:sz w:val="26"/>
          <w:szCs w:val="26"/>
        </w:rPr>
        <w:t xml:space="preserve">posted for </w:t>
      </w:r>
      <w:r w:rsidRPr="00F64BE3" w:rsidR="0084528A">
        <w:rPr>
          <w:sz w:val="26"/>
          <w:szCs w:val="26"/>
        </w:rPr>
        <w:t xml:space="preserve">calls </w:t>
      </w:r>
      <w:r w:rsidR="00DC5158">
        <w:rPr>
          <w:sz w:val="26"/>
          <w:szCs w:val="26"/>
        </w:rPr>
        <w:t xml:space="preserve">by </w:t>
      </w:r>
      <w:r w:rsidRPr="00F64BE3" w:rsidR="0084528A">
        <w:rPr>
          <w:sz w:val="26"/>
          <w:szCs w:val="26"/>
        </w:rPr>
        <w:t xml:space="preserve">New Jersey Department of Corrections </w:t>
      </w:r>
      <w:r w:rsidR="00F64BE3">
        <w:rPr>
          <w:sz w:val="26"/>
          <w:szCs w:val="26"/>
        </w:rPr>
        <w:t xml:space="preserve">as of </w:t>
      </w:r>
      <w:r w:rsidR="00DC5158">
        <w:rPr>
          <w:sz w:val="26"/>
          <w:szCs w:val="26"/>
        </w:rPr>
        <w:t xml:space="preserve">May 2021 </w:t>
      </w:r>
      <w:r w:rsidR="00F64BE3">
        <w:rPr>
          <w:sz w:val="26"/>
          <w:szCs w:val="26"/>
        </w:rPr>
        <w:t xml:space="preserve">is </w:t>
      </w:r>
      <w:r w:rsidR="00873ADA">
        <w:rPr>
          <w:sz w:val="26"/>
          <w:szCs w:val="26"/>
        </w:rPr>
        <w:t>just</w:t>
      </w:r>
      <w:r w:rsidRPr="00F64BE3" w:rsidR="0084528A">
        <w:rPr>
          <w:sz w:val="26"/>
          <w:szCs w:val="26"/>
        </w:rPr>
        <w:t xml:space="preserve"> $0.04</w:t>
      </w:r>
      <w:r w:rsidRPr="00F64BE3" w:rsidR="00EE4327">
        <w:rPr>
          <w:sz w:val="26"/>
          <w:szCs w:val="26"/>
        </w:rPr>
        <w:t>4</w:t>
      </w:r>
      <w:r w:rsidRPr="00F64BE3" w:rsidR="0084528A">
        <w:rPr>
          <w:sz w:val="26"/>
          <w:szCs w:val="26"/>
        </w:rPr>
        <w:t xml:space="preserve"> per minute.</w:t>
      </w:r>
      <w:r w:rsidRPr="00520E4E" w:rsidR="0084528A">
        <w:rPr>
          <w:rStyle w:val="FootnoteReference"/>
          <w:sz w:val="26"/>
          <w:szCs w:val="26"/>
        </w:rPr>
        <w:footnoteReference w:id="177"/>
      </w:r>
      <w:r w:rsidRPr="00F64BE3" w:rsidR="0084528A">
        <w:rPr>
          <w:sz w:val="26"/>
          <w:szCs w:val="26"/>
        </w:rPr>
        <w:t xml:space="preserve">  In Illinois, House Bill 6200 </w:t>
      </w:r>
      <w:r w:rsidR="00452F9D">
        <w:rPr>
          <w:sz w:val="26"/>
          <w:szCs w:val="26"/>
        </w:rPr>
        <w:t xml:space="preserve">(effective </w:t>
      </w:r>
      <w:r w:rsidR="00452F9D">
        <w:rPr>
          <w:sz w:val="26"/>
          <w:szCs w:val="26"/>
        </w:rPr>
        <w:lastRenderedPageBreak/>
        <w:t xml:space="preserve">January 1, 2018) </w:t>
      </w:r>
      <w:r w:rsidRPr="00F64BE3" w:rsidR="0084528A">
        <w:rPr>
          <w:sz w:val="26"/>
          <w:szCs w:val="26"/>
        </w:rPr>
        <w:t>prohibited the state’s corrections department from charging more than $0.07 cents per minute for calls</w:t>
      </w:r>
      <w:r w:rsidR="00452F9D">
        <w:rPr>
          <w:sz w:val="26"/>
          <w:szCs w:val="26"/>
        </w:rPr>
        <w:t xml:space="preserve"> but </w:t>
      </w:r>
      <w:r w:rsidR="00E96388">
        <w:rPr>
          <w:sz w:val="26"/>
          <w:szCs w:val="26"/>
        </w:rPr>
        <w:t xml:space="preserve">as of </w:t>
      </w:r>
      <w:r w:rsidR="00873ADA">
        <w:rPr>
          <w:sz w:val="26"/>
          <w:szCs w:val="26"/>
        </w:rPr>
        <w:t xml:space="preserve">May 2021, </w:t>
      </w:r>
      <w:r w:rsidRPr="00F64BE3" w:rsidR="0084528A">
        <w:rPr>
          <w:sz w:val="26"/>
          <w:szCs w:val="26"/>
        </w:rPr>
        <w:t>the Illinois Department of Corrections</w:t>
      </w:r>
      <w:r w:rsidR="00E96388">
        <w:rPr>
          <w:sz w:val="26"/>
          <w:szCs w:val="26"/>
        </w:rPr>
        <w:t xml:space="preserve"> </w:t>
      </w:r>
      <w:r w:rsidR="0036279B">
        <w:rPr>
          <w:sz w:val="26"/>
          <w:szCs w:val="26"/>
        </w:rPr>
        <w:t>posted rates of</w:t>
      </w:r>
      <w:r w:rsidRPr="00F64BE3" w:rsidR="0084528A">
        <w:rPr>
          <w:sz w:val="26"/>
          <w:szCs w:val="26"/>
        </w:rPr>
        <w:t xml:space="preserve"> $0.009 per minute </w:t>
      </w:r>
      <w:r w:rsidR="00452F9D">
        <w:rPr>
          <w:sz w:val="26"/>
          <w:szCs w:val="26"/>
        </w:rPr>
        <w:t>(</w:t>
      </w:r>
      <w:r w:rsidRPr="00F64BE3" w:rsidR="0084528A">
        <w:rPr>
          <w:sz w:val="26"/>
          <w:szCs w:val="26"/>
        </w:rPr>
        <w:t>effect</w:t>
      </w:r>
      <w:r w:rsidR="00452F9D">
        <w:rPr>
          <w:sz w:val="26"/>
          <w:szCs w:val="26"/>
        </w:rPr>
        <w:t>ive</w:t>
      </w:r>
      <w:r w:rsidRPr="00F64BE3" w:rsidR="0084528A">
        <w:rPr>
          <w:sz w:val="26"/>
          <w:szCs w:val="26"/>
        </w:rPr>
        <w:t xml:space="preserve"> July</w:t>
      </w:r>
      <w:r w:rsidR="00655016">
        <w:rPr>
          <w:sz w:val="26"/>
          <w:szCs w:val="26"/>
        </w:rPr>
        <w:t> </w:t>
      </w:r>
      <w:r w:rsidRPr="00F64BE3" w:rsidR="0084528A">
        <w:rPr>
          <w:sz w:val="26"/>
          <w:szCs w:val="26"/>
        </w:rPr>
        <w:t>1,</w:t>
      </w:r>
      <w:r w:rsidR="00655016">
        <w:rPr>
          <w:sz w:val="26"/>
          <w:szCs w:val="26"/>
        </w:rPr>
        <w:t> </w:t>
      </w:r>
      <w:r w:rsidRPr="00F64BE3" w:rsidR="0084528A">
        <w:rPr>
          <w:sz w:val="26"/>
          <w:szCs w:val="26"/>
        </w:rPr>
        <w:t>2018</w:t>
      </w:r>
      <w:r w:rsidR="00452F9D">
        <w:rPr>
          <w:sz w:val="26"/>
          <w:szCs w:val="26"/>
        </w:rPr>
        <w:t>)</w:t>
      </w:r>
      <w:r w:rsidRPr="00F64BE3" w:rsidR="0084528A">
        <w:rPr>
          <w:sz w:val="26"/>
          <w:szCs w:val="26"/>
        </w:rPr>
        <w:t>.</w:t>
      </w:r>
      <w:r w:rsidRPr="00520E4E" w:rsidR="0084528A">
        <w:rPr>
          <w:rStyle w:val="FootnoteReference"/>
          <w:sz w:val="26"/>
          <w:szCs w:val="26"/>
        </w:rPr>
        <w:footnoteReference w:id="178"/>
      </w:r>
      <w:r w:rsidR="00530470">
        <w:rPr>
          <w:sz w:val="26"/>
          <w:szCs w:val="26"/>
        </w:rPr>
        <w:t xml:space="preserve">  Further, as discussed by the Justice Coalition, a</w:t>
      </w:r>
      <w:r w:rsidRPr="00530470" w:rsidR="00530470">
        <w:rPr>
          <w:sz w:val="26"/>
          <w:szCs w:val="26"/>
        </w:rPr>
        <w:t xml:space="preserve">s of April 2021, the rate </w:t>
      </w:r>
      <w:r w:rsidR="00BE37F3">
        <w:rPr>
          <w:sz w:val="26"/>
          <w:szCs w:val="26"/>
        </w:rPr>
        <w:t xml:space="preserve">for phone calls from jails in </w:t>
      </w:r>
      <w:r w:rsidRPr="00530470" w:rsidR="00530470">
        <w:rPr>
          <w:sz w:val="26"/>
          <w:szCs w:val="26"/>
        </w:rPr>
        <w:t>Dallas County</w:t>
      </w:r>
      <w:r w:rsidR="00A16FF4">
        <w:rPr>
          <w:sz w:val="26"/>
          <w:szCs w:val="26"/>
        </w:rPr>
        <w:t xml:space="preserve">, Texas </w:t>
      </w:r>
      <w:r w:rsidRPr="00530470" w:rsidR="00530470">
        <w:rPr>
          <w:sz w:val="26"/>
          <w:szCs w:val="26"/>
        </w:rPr>
        <w:t>is $0.0119 per minute, and in New York City, where jail phone calls are free to families, the rate paid by the city is $0.03 per minute.</w:t>
      </w:r>
      <w:r w:rsidR="00530470">
        <w:rPr>
          <w:rStyle w:val="FootnoteReference"/>
          <w:sz w:val="26"/>
          <w:szCs w:val="26"/>
        </w:rPr>
        <w:footnoteReference w:id="179"/>
      </w:r>
      <w:r w:rsidRPr="00530470" w:rsidR="00530470">
        <w:rPr>
          <w:sz w:val="26"/>
          <w:szCs w:val="26"/>
        </w:rPr>
        <w:t xml:space="preserve"> </w:t>
      </w:r>
    </w:p>
    <w:p w:rsidR="00E057B9" w:rsidP="003664DD" w:rsidRDefault="00DF0901" w14:paraId="7F63E052" w14:textId="0697C458">
      <w:pPr>
        <w:pStyle w:val="Standard"/>
        <w:ind w:firstLine="720"/>
        <w:rPr>
          <w:sz w:val="26"/>
          <w:szCs w:val="26"/>
        </w:rPr>
      </w:pPr>
      <w:r>
        <w:rPr>
          <w:sz w:val="26"/>
          <w:szCs w:val="26"/>
        </w:rPr>
        <w:t xml:space="preserve">Thus, we </w:t>
      </w:r>
      <w:r w:rsidR="00D6438E">
        <w:rPr>
          <w:sz w:val="26"/>
          <w:szCs w:val="26"/>
        </w:rPr>
        <w:t xml:space="preserve">conclude </w:t>
      </w:r>
      <w:r w:rsidR="00AF6A75">
        <w:rPr>
          <w:sz w:val="26"/>
          <w:szCs w:val="26"/>
        </w:rPr>
        <w:t xml:space="preserve">that $0.05 is a reasonable “base rate” to use </w:t>
      </w:r>
      <w:r w:rsidR="00E057B9">
        <w:rPr>
          <w:sz w:val="26"/>
          <w:szCs w:val="26"/>
        </w:rPr>
        <w:t xml:space="preserve">to </w:t>
      </w:r>
      <w:r w:rsidR="00AF6A75">
        <w:rPr>
          <w:sz w:val="26"/>
          <w:szCs w:val="26"/>
        </w:rPr>
        <w:t>identify</w:t>
      </w:r>
      <w:r w:rsidR="00E057B9">
        <w:rPr>
          <w:sz w:val="26"/>
          <w:szCs w:val="26"/>
        </w:rPr>
        <w:t xml:space="preserve"> </w:t>
      </w:r>
      <w:r w:rsidR="00AF6A75">
        <w:rPr>
          <w:sz w:val="26"/>
          <w:szCs w:val="26"/>
        </w:rPr>
        <w:t xml:space="preserve">an appropriate interim per-minute rate.  </w:t>
      </w:r>
    </w:p>
    <w:p w:rsidR="00E678EC" w:rsidP="009051EE" w:rsidRDefault="00D5112F" w14:paraId="4CA5D9C3" w14:textId="29F788EE">
      <w:pPr>
        <w:pStyle w:val="Standard"/>
        <w:ind w:firstLine="720"/>
        <w:rPr>
          <w:sz w:val="26"/>
          <w:szCs w:val="26"/>
        </w:rPr>
      </w:pPr>
      <w:r>
        <w:rPr>
          <w:sz w:val="26"/>
          <w:szCs w:val="26"/>
        </w:rPr>
        <w:t>We are aware that s</w:t>
      </w:r>
      <w:r w:rsidR="00663C89">
        <w:rPr>
          <w:sz w:val="26"/>
          <w:szCs w:val="26"/>
        </w:rPr>
        <w:t xml:space="preserve">ome California </w:t>
      </w:r>
      <w:r w:rsidRPr="0038736F" w:rsidR="00F42C61">
        <w:rPr>
          <w:sz w:val="26"/>
          <w:szCs w:val="26"/>
        </w:rPr>
        <w:t>c</w:t>
      </w:r>
      <w:r w:rsidRPr="0038736F" w:rsidR="00C47FC7">
        <w:rPr>
          <w:sz w:val="26"/>
          <w:szCs w:val="26"/>
        </w:rPr>
        <w:t>ounties currently rely on</w:t>
      </w:r>
      <w:r w:rsidRPr="0038736F" w:rsidR="00A00782">
        <w:rPr>
          <w:sz w:val="26"/>
          <w:szCs w:val="26"/>
        </w:rPr>
        <w:t xml:space="preserve"> site commission funds</w:t>
      </w:r>
      <w:r w:rsidRPr="0038736F" w:rsidR="005F0D7F">
        <w:rPr>
          <w:sz w:val="26"/>
          <w:szCs w:val="26"/>
        </w:rPr>
        <w:t xml:space="preserve"> </w:t>
      </w:r>
      <w:r w:rsidRPr="0038736F" w:rsidR="00315023">
        <w:rPr>
          <w:sz w:val="26"/>
          <w:szCs w:val="26"/>
        </w:rPr>
        <w:t xml:space="preserve">for </w:t>
      </w:r>
      <w:r w:rsidRPr="0038736F" w:rsidR="00B955F9">
        <w:rPr>
          <w:sz w:val="26"/>
          <w:szCs w:val="26"/>
        </w:rPr>
        <w:t>rehabilitative/educational and other purposes</w:t>
      </w:r>
      <w:r w:rsidR="00663C89">
        <w:rPr>
          <w:sz w:val="26"/>
          <w:szCs w:val="26"/>
        </w:rPr>
        <w:t xml:space="preserve"> p</w:t>
      </w:r>
      <w:r w:rsidRPr="00E208BE" w:rsidR="00663C89">
        <w:rPr>
          <w:sz w:val="26"/>
          <w:szCs w:val="26"/>
        </w:rPr>
        <w:t xml:space="preserve">ursuant to Penal Code </w:t>
      </w:r>
      <w:r w:rsidRPr="00E208BE" w:rsidR="1D3A1AC9">
        <w:rPr>
          <w:sz w:val="26"/>
          <w:szCs w:val="26"/>
        </w:rPr>
        <w:t xml:space="preserve">Section </w:t>
      </w:r>
      <w:r w:rsidRPr="00E208BE" w:rsidR="00663C89">
        <w:rPr>
          <w:sz w:val="26"/>
          <w:szCs w:val="26"/>
        </w:rPr>
        <w:t>4025</w:t>
      </w:r>
      <w:r w:rsidRPr="0038736F" w:rsidR="004A3BC0">
        <w:rPr>
          <w:sz w:val="26"/>
          <w:szCs w:val="26"/>
        </w:rPr>
        <w:t>.</w:t>
      </w:r>
      <w:r w:rsidRPr="0038736F" w:rsidR="00957E5F">
        <w:rPr>
          <w:rStyle w:val="FootnoteReference"/>
          <w:sz w:val="26"/>
          <w:szCs w:val="26"/>
        </w:rPr>
        <w:footnoteReference w:id="180"/>
      </w:r>
      <w:r w:rsidR="004A3BC0">
        <w:rPr>
          <w:sz w:val="26"/>
          <w:szCs w:val="26"/>
        </w:rPr>
        <w:t xml:space="preserve">  We </w:t>
      </w:r>
      <w:r w:rsidR="008D49EB">
        <w:rPr>
          <w:sz w:val="26"/>
          <w:szCs w:val="26"/>
        </w:rPr>
        <w:t xml:space="preserve">therefore arrive at our proposed $0.07 </w:t>
      </w:r>
      <w:r w:rsidR="00E71E2F">
        <w:rPr>
          <w:sz w:val="26"/>
          <w:szCs w:val="26"/>
        </w:rPr>
        <w:t xml:space="preserve">per </w:t>
      </w:r>
      <w:r w:rsidR="00E71E2F">
        <w:rPr>
          <w:sz w:val="26"/>
          <w:szCs w:val="26"/>
        </w:rPr>
        <w:lastRenderedPageBreak/>
        <w:t xml:space="preserve">minute cap by adding </w:t>
      </w:r>
      <w:r w:rsidR="00AF6A75">
        <w:rPr>
          <w:sz w:val="26"/>
          <w:szCs w:val="26"/>
        </w:rPr>
        <w:t xml:space="preserve">$0.02 per minute to account for </w:t>
      </w:r>
      <w:r w:rsidR="00663C89">
        <w:rPr>
          <w:sz w:val="26"/>
          <w:szCs w:val="26"/>
        </w:rPr>
        <w:t xml:space="preserve">potential </w:t>
      </w:r>
      <w:r w:rsidR="00AF6A75">
        <w:rPr>
          <w:sz w:val="26"/>
          <w:szCs w:val="26"/>
        </w:rPr>
        <w:t>site commission payments</w:t>
      </w:r>
      <w:r w:rsidR="00E71E2F">
        <w:rPr>
          <w:sz w:val="26"/>
          <w:szCs w:val="26"/>
        </w:rPr>
        <w:t xml:space="preserve">.  This mirrors </w:t>
      </w:r>
      <w:r w:rsidR="5635C23C">
        <w:rPr>
          <w:sz w:val="26"/>
          <w:szCs w:val="26"/>
        </w:rPr>
        <w:t xml:space="preserve">the </w:t>
      </w:r>
      <w:r w:rsidR="00E71E2F">
        <w:rPr>
          <w:sz w:val="26"/>
          <w:szCs w:val="26"/>
        </w:rPr>
        <w:t>FCC</w:t>
      </w:r>
      <w:r w:rsidR="71DAAE02">
        <w:rPr>
          <w:sz w:val="26"/>
          <w:szCs w:val="26"/>
        </w:rPr>
        <w:t>’s</w:t>
      </w:r>
      <w:r w:rsidR="00663C89">
        <w:rPr>
          <w:sz w:val="26"/>
          <w:szCs w:val="26"/>
        </w:rPr>
        <w:t xml:space="preserve"> action i</w:t>
      </w:r>
      <w:r w:rsidR="00E71E2F">
        <w:rPr>
          <w:sz w:val="26"/>
          <w:szCs w:val="26"/>
        </w:rPr>
        <w:t>n its Third Order</w:t>
      </w:r>
      <w:r>
        <w:rPr>
          <w:sz w:val="26"/>
          <w:szCs w:val="26"/>
        </w:rPr>
        <w:t>, for</w:t>
      </w:r>
      <w:r w:rsidR="009E765C">
        <w:rPr>
          <w:sz w:val="26"/>
          <w:szCs w:val="26"/>
        </w:rPr>
        <w:t xml:space="preserve"> jails with populations larger than 1,000</w:t>
      </w:r>
      <w:r w:rsidR="00C15135">
        <w:rPr>
          <w:sz w:val="26"/>
          <w:szCs w:val="26"/>
        </w:rPr>
        <w:t>.</w:t>
      </w:r>
      <w:r w:rsidR="009D1A03">
        <w:rPr>
          <w:rStyle w:val="FootnoteReference"/>
          <w:sz w:val="26"/>
          <w:szCs w:val="26"/>
        </w:rPr>
        <w:footnoteReference w:id="181"/>
      </w:r>
      <w:r w:rsidR="00632F18">
        <w:rPr>
          <w:sz w:val="26"/>
          <w:szCs w:val="26"/>
        </w:rPr>
        <w:t xml:space="preserve"> </w:t>
      </w:r>
    </w:p>
    <w:p w:rsidR="009051EE" w:rsidP="009051EE" w:rsidRDefault="00632F18" w14:paraId="5CE999B1" w14:textId="27206F1F">
      <w:pPr>
        <w:pStyle w:val="Standard"/>
        <w:ind w:firstLine="720"/>
        <w:rPr>
          <w:sz w:val="26"/>
          <w:szCs w:val="26"/>
        </w:rPr>
      </w:pPr>
      <w:r>
        <w:rPr>
          <w:sz w:val="26"/>
          <w:szCs w:val="26"/>
        </w:rPr>
        <w:t>The FCC’s Third Order retained a rate cap of $0.21 per minute for facilities smaller than 1,000, based in part on its conclusion that it lacked sufficient data to conclude that the $0.02 site commission level for facility IPCS costs was sufficient to address higher costs for smaller facilities.</w:t>
      </w:r>
      <w:r>
        <w:rPr>
          <w:rStyle w:val="FootnoteReference"/>
          <w:sz w:val="26"/>
          <w:szCs w:val="26"/>
        </w:rPr>
        <w:footnoteReference w:id="182"/>
      </w:r>
      <w:r>
        <w:rPr>
          <w:sz w:val="26"/>
          <w:szCs w:val="26"/>
        </w:rPr>
        <w:t xml:space="preserve">  However, we take a different approach</w:t>
      </w:r>
      <w:r w:rsidR="009051EE">
        <w:rPr>
          <w:sz w:val="26"/>
          <w:szCs w:val="26"/>
        </w:rPr>
        <w:t xml:space="preserve"> here</w:t>
      </w:r>
      <w:r>
        <w:rPr>
          <w:sz w:val="26"/>
          <w:szCs w:val="26"/>
        </w:rPr>
        <w:t xml:space="preserve">.  </w:t>
      </w:r>
      <w:r w:rsidR="009051EE">
        <w:rPr>
          <w:sz w:val="26"/>
          <w:szCs w:val="26"/>
        </w:rPr>
        <w:t xml:space="preserve">The $0.07 per minute interim rate provides </w:t>
      </w:r>
      <w:r w:rsidR="00E678EC">
        <w:rPr>
          <w:sz w:val="26"/>
          <w:szCs w:val="26"/>
        </w:rPr>
        <w:t xml:space="preserve">a </w:t>
      </w:r>
      <w:r w:rsidR="009051EE">
        <w:rPr>
          <w:sz w:val="26"/>
          <w:szCs w:val="26"/>
        </w:rPr>
        <w:t xml:space="preserve">cushion beyond the $0.05 per minute </w:t>
      </w:r>
      <w:r w:rsidR="00E678EC">
        <w:rPr>
          <w:sz w:val="26"/>
          <w:szCs w:val="26"/>
        </w:rPr>
        <w:t xml:space="preserve">and lower </w:t>
      </w:r>
      <w:r w:rsidR="009051EE">
        <w:rPr>
          <w:sz w:val="26"/>
          <w:szCs w:val="26"/>
        </w:rPr>
        <w:t>rate</w:t>
      </w:r>
      <w:r w:rsidR="00E678EC">
        <w:rPr>
          <w:sz w:val="26"/>
          <w:szCs w:val="26"/>
        </w:rPr>
        <w:t>s</w:t>
      </w:r>
      <w:r w:rsidR="009051EE">
        <w:rPr>
          <w:sz w:val="26"/>
          <w:szCs w:val="26"/>
        </w:rPr>
        <w:t xml:space="preserve"> achieved elsewhere, which reasonably provides an opportunity for IPCS providers and </w:t>
      </w:r>
      <w:r w:rsidR="007E4C28">
        <w:rPr>
          <w:sz w:val="26"/>
          <w:szCs w:val="26"/>
        </w:rPr>
        <w:t xml:space="preserve">incarceration </w:t>
      </w:r>
      <w:r w:rsidR="009051EE">
        <w:rPr>
          <w:sz w:val="26"/>
          <w:szCs w:val="26"/>
        </w:rPr>
        <w:t xml:space="preserve">facilities to transition to our adopted rate cap.  An interim intrastate IPCS rate cap of $0.07 per minute imposes a cap nearly three times that recently instated by the CDCR.  </w:t>
      </w:r>
      <w:r w:rsidR="00D5112F">
        <w:rPr>
          <w:sz w:val="26"/>
          <w:szCs w:val="26"/>
        </w:rPr>
        <w:t xml:space="preserve">Adopting an interim </w:t>
      </w:r>
      <w:r w:rsidR="009051EE">
        <w:rPr>
          <w:sz w:val="26"/>
          <w:szCs w:val="26"/>
        </w:rPr>
        <w:t xml:space="preserve">statewide </w:t>
      </w:r>
      <w:r w:rsidR="00D5112F">
        <w:rPr>
          <w:sz w:val="26"/>
          <w:szCs w:val="26"/>
        </w:rPr>
        <w:t xml:space="preserve">cap at this </w:t>
      </w:r>
      <w:r w:rsidR="009051EE">
        <w:rPr>
          <w:sz w:val="26"/>
          <w:szCs w:val="26"/>
        </w:rPr>
        <w:t xml:space="preserve">level results less wildly divergent rates for the incarcerated and their families in California </w:t>
      </w:r>
      <w:r w:rsidR="00D5112F">
        <w:rPr>
          <w:sz w:val="26"/>
          <w:szCs w:val="26"/>
        </w:rPr>
        <w:t xml:space="preserve">and is reasonable. </w:t>
      </w:r>
    </w:p>
    <w:p w:rsidR="006102F2" w:rsidP="006A1334" w:rsidRDefault="00D5112F" w14:paraId="69743207" w14:textId="52AE0FDC">
      <w:pPr>
        <w:pStyle w:val="Standard"/>
        <w:ind w:firstLine="720"/>
        <w:rPr>
          <w:sz w:val="26"/>
          <w:szCs w:val="26"/>
        </w:rPr>
      </w:pPr>
      <w:r>
        <w:rPr>
          <w:sz w:val="26"/>
          <w:szCs w:val="26"/>
        </w:rPr>
        <w:t>We also do not follow Pay Tel’s recommendation to consider</w:t>
      </w:r>
      <w:r w:rsidR="006102F2">
        <w:rPr>
          <w:sz w:val="26"/>
          <w:szCs w:val="26"/>
        </w:rPr>
        <w:t xml:space="preserve"> a higher </w:t>
      </w:r>
      <w:r w:rsidR="00010408">
        <w:rPr>
          <w:sz w:val="26"/>
          <w:szCs w:val="26"/>
        </w:rPr>
        <w:t xml:space="preserve">site commission </w:t>
      </w:r>
      <w:r w:rsidR="00AE00D6">
        <w:rPr>
          <w:sz w:val="26"/>
          <w:szCs w:val="26"/>
        </w:rPr>
        <w:t xml:space="preserve">adder </w:t>
      </w:r>
      <w:r w:rsidR="00D322E7">
        <w:rPr>
          <w:sz w:val="26"/>
          <w:szCs w:val="26"/>
        </w:rPr>
        <w:t xml:space="preserve">for </w:t>
      </w:r>
      <w:r w:rsidR="00010408">
        <w:rPr>
          <w:sz w:val="26"/>
          <w:szCs w:val="26"/>
        </w:rPr>
        <w:t>smaller facilities</w:t>
      </w:r>
      <w:r>
        <w:rPr>
          <w:sz w:val="26"/>
          <w:szCs w:val="26"/>
        </w:rPr>
        <w:t xml:space="preserve">. </w:t>
      </w:r>
      <w:r w:rsidR="00010408">
        <w:rPr>
          <w:sz w:val="26"/>
          <w:szCs w:val="26"/>
        </w:rPr>
        <w:t xml:space="preserve"> </w:t>
      </w:r>
      <w:r w:rsidR="002247F9">
        <w:rPr>
          <w:sz w:val="26"/>
          <w:szCs w:val="26"/>
        </w:rPr>
        <w:t xml:space="preserve">Pay Tel serves the Siskiyou County </w:t>
      </w:r>
      <w:r w:rsidR="00DA314E">
        <w:rPr>
          <w:sz w:val="26"/>
          <w:szCs w:val="26"/>
        </w:rPr>
        <w:t>Jail in California, which has an</w:t>
      </w:r>
      <w:r w:rsidR="00AE32C2">
        <w:rPr>
          <w:sz w:val="26"/>
          <w:szCs w:val="26"/>
        </w:rPr>
        <w:t xml:space="preserve"> average daily population </w:t>
      </w:r>
      <w:r w:rsidR="00DA314E">
        <w:rPr>
          <w:sz w:val="26"/>
          <w:szCs w:val="26"/>
        </w:rPr>
        <w:t>of approximately 68 persons in 2020</w:t>
      </w:r>
      <w:r w:rsidR="00CF36ED">
        <w:rPr>
          <w:sz w:val="26"/>
          <w:szCs w:val="26"/>
        </w:rPr>
        <w:t xml:space="preserve"> and did not provide data specific to this facility</w:t>
      </w:r>
      <w:r w:rsidR="00DA314E">
        <w:rPr>
          <w:sz w:val="26"/>
          <w:szCs w:val="26"/>
        </w:rPr>
        <w:t>.</w:t>
      </w:r>
      <w:r w:rsidR="00DA314E">
        <w:rPr>
          <w:rStyle w:val="FootnoteReference"/>
          <w:sz w:val="26"/>
          <w:szCs w:val="26"/>
        </w:rPr>
        <w:footnoteReference w:id="183"/>
      </w:r>
      <w:r w:rsidR="00DA314E">
        <w:rPr>
          <w:sz w:val="26"/>
          <w:szCs w:val="26"/>
        </w:rPr>
        <w:t xml:space="preserve">  </w:t>
      </w:r>
      <w:r w:rsidR="00CF36ED">
        <w:rPr>
          <w:sz w:val="26"/>
          <w:szCs w:val="26"/>
        </w:rPr>
        <w:t>A</w:t>
      </w:r>
      <w:r w:rsidR="00921BF2">
        <w:rPr>
          <w:sz w:val="26"/>
          <w:szCs w:val="26"/>
        </w:rPr>
        <w:t xml:space="preserve">lthough </w:t>
      </w:r>
      <w:r w:rsidRPr="76E3947D" w:rsidR="1C27D999">
        <w:rPr>
          <w:sz w:val="26"/>
          <w:szCs w:val="26"/>
        </w:rPr>
        <w:t xml:space="preserve"> Pay Tel claims that </w:t>
      </w:r>
      <w:r w:rsidRPr="71C0A592" w:rsidR="27F55FA1">
        <w:rPr>
          <w:sz w:val="26"/>
          <w:szCs w:val="26"/>
        </w:rPr>
        <w:t>facilit</w:t>
      </w:r>
      <w:r w:rsidR="003E28A1">
        <w:rPr>
          <w:sz w:val="26"/>
          <w:szCs w:val="26"/>
        </w:rPr>
        <w:t>y costs to provide IPCS</w:t>
      </w:r>
      <w:r w:rsidR="00B90905">
        <w:rPr>
          <w:sz w:val="26"/>
          <w:szCs w:val="26"/>
        </w:rPr>
        <w:t xml:space="preserve"> are higher </w:t>
      </w:r>
      <w:r w:rsidRPr="76E3947D" w:rsidR="1C27D999">
        <w:rPr>
          <w:sz w:val="26"/>
          <w:szCs w:val="26"/>
        </w:rPr>
        <w:t>with</w:t>
      </w:r>
      <w:r w:rsidRPr="75F98578" w:rsidR="1C27D999">
        <w:rPr>
          <w:sz w:val="26"/>
          <w:szCs w:val="26"/>
        </w:rPr>
        <w:t xml:space="preserve"> populations of less</w:t>
      </w:r>
      <w:r w:rsidR="00F608D7">
        <w:rPr>
          <w:sz w:val="26"/>
          <w:szCs w:val="26"/>
        </w:rPr>
        <w:t xml:space="preserve"> </w:t>
      </w:r>
      <w:r w:rsidRPr="45E2DE14" w:rsidR="7A692396">
        <w:rPr>
          <w:sz w:val="26"/>
          <w:szCs w:val="26"/>
        </w:rPr>
        <w:t>than</w:t>
      </w:r>
      <w:r w:rsidRPr="45E2DE14" w:rsidR="1C27D999">
        <w:rPr>
          <w:sz w:val="26"/>
          <w:szCs w:val="26"/>
        </w:rPr>
        <w:t xml:space="preserve"> </w:t>
      </w:r>
      <w:r w:rsidRPr="4A70F3A1" w:rsidR="39FB38BA">
        <w:rPr>
          <w:sz w:val="26"/>
          <w:szCs w:val="26"/>
        </w:rPr>
        <w:t xml:space="preserve">1000 </w:t>
      </w:r>
      <w:r w:rsidRPr="3B75CDD5" w:rsidR="58279282">
        <w:rPr>
          <w:sz w:val="26"/>
          <w:szCs w:val="26"/>
        </w:rPr>
        <w:t>incarcerated persons</w:t>
      </w:r>
      <w:r w:rsidRPr="4A70F3A1" w:rsidR="39FB38BA">
        <w:rPr>
          <w:sz w:val="26"/>
          <w:szCs w:val="26"/>
        </w:rPr>
        <w:t xml:space="preserve">, Pay Tel appears to have relied on data from the </w:t>
      </w:r>
      <w:r w:rsidRPr="3EA4204B" w:rsidR="39FB38BA">
        <w:rPr>
          <w:sz w:val="26"/>
          <w:szCs w:val="26"/>
        </w:rPr>
        <w:t>FCC’s 2016 Order</w:t>
      </w:r>
      <w:r w:rsidR="00CF36ED">
        <w:rPr>
          <w:sz w:val="26"/>
          <w:szCs w:val="26"/>
        </w:rPr>
        <w:t xml:space="preserve">, </w:t>
      </w:r>
      <w:r w:rsidRPr="3EA4204B" w:rsidR="39FB38BA">
        <w:rPr>
          <w:sz w:val="26"/>
          <w:szCs w:val="26"/>
        </w:rPr>
        <w:t xml:space="preserve">which was vacated.  </w:t>
      </w:r>
      <w:r w:rsidRPr="3EA4204B" w:rsidR="65983D1C">
        <w:rPr>
          <w:sz w:val="26"/>
          <w:szCs w:val="26"/>
        </w:rPr>
        <w:t xml:space="preserve">Pay Tel did not provide the source </w:t>
      </w:r>
      <w:r w:rsidRPr="3EA4204B" w:rsidR="65983D1C">
        <w:rPr>
          <w:sz w:val="26"/>
          <w:szCs w:val="26"/>
        </w:rPr>
        <w:lastRenderedPageBreak/>
        <w:t xml:space="preserve">data to support </w:t>
      </w:r>
      <w:r w:rsidR="00CF36ED">
        <w:rPr>
          <w:sz w:val="26"/>
          <w:szCs w:val="26"/>
        </w:rPr>
        <w:t>its</w:t>
      </w:r>
      <w:r w:rsidRPr="3EA4204B" w:rsidR="65983D1C">
        <w:rPr>
          <w:sz w:val="26"/>
          <w:szCs w:val="26"/>
        </w:rPr>
        <w:t xml:space="preserve"> claim </w:t>
      </w:r>
      <w:r w:rsidRPr="51D32DCF" w:rsidR="65983D1C">
        <w:rPr>
          <w:sz w:val="26"/>
          <w:szCs w:val="26"/>
        </w:rPr>
        <w:t xml:space="preserve">and the record before us in this proceeding does not </w:t>
      </w:r>
      <w:r w:rsidRPr="5150305D" w:rsidR="65983D1C">
        <w:rPr>
          <w:sz w:val="26"/>
          <w:szCs w:val="26"/>
        </w:rPr>
        <w:t xml:space="preserve">persuade us that </w:t>
      </w:r>
      <w:r w:rsidRPr="65CF26E7" w:rsidR="60936A2E">
        <w:rPr>
          <w:sz w:val="26"/>
          <w:szCs w:val="26"/>
        </w:rPr>
        <w:t xml:space="preserve">the cost to </w:t>
      </w:r>
      <w:r w:rsidR="00CA3178">
        <w:rPr>
          <w:sz w:val="26"/>
          <w:szCs w:val="26"/>
        </w:rPr>
        <w:t xml:space="preserve">facilities to </w:t>
      </w:r>
      <w:r w:rsidRPr="65CF26E7" w:rsidR="60936A2E">
        <w:rPr>
          <w:sz w:val="26"/>
          <w:szCs w:val="26"/>
        </w:rPr>
        <w:t xml:space="preserve">provide intrastate IPCS </w:t>
      </w:r>
      <w:r w:rsidRPr="080D6133" w:rsidR="60936A2E">
        <w:rPr>
          <w:sz w:val="26"/>
          <w:szCs w:val="26"/>
        </w:rPr>
        <w:t>either increases or decreases based on the size of the facility.</w:t>
      </w:r>
      <w:r w:rsidRPr="5150305D" w:rsidR="3BF9717A">
        <w:rPr>
          <w:sz w:val="26"/>
          <w:szCs w:val="26"/>
        </w:rPr>
        <w:t xml:space="preserve"> </w:t>
      </w:r>
      <w:r w:rsidR="00DC34CD">
        <w:rPr>
          <w:sz w:val="26"/>
          <w:szCs w:val="26"/>
        </w:rPr>
        <w:t xml:space="preserve"> </w:t>
      </w:r>
    </w:p>
    <w:p w:rsidR="009D5EEB" w:rsidP="009D5EEB" w:rsidRDefault="009D5EEB" w14:paraId="1A6C7DD4" w14:textId="3728F1CC">
      <w:pPr>
        <w:pStyle w:val="Standard"/>
        <w:ind w:firstLine="720"/>
        <w:rPr>
          <w:sz w:val="26"/>
          <w:szCs w:val="26"/>
        </w:rPr>
      </w:pPr>
      <w:r>
        <w:rPr>
          <w:sz w:val="26"/>
          <w:szCs w:val="26"/>
        </w:rPr>
        <w:t xml:space="preserve">Although the FCC strictly limited eligible site commission payments to those reasonably related to the facility’s cost of enabling IPCS and </w:t>
      </w:r>
      <w:r w:rsidRPr="00681457">
        <w:rPr>
          <w:sz w:val="26"/>
          <w:szCs w:val="26"/>
        </w:rPr>
        <w:t>where these result from contractual obligations or negotiations</w:t>
      </w:r>
      <w:r w:rsidR="00C7035C">
        <w:rPr>
          <w:sz w:val="26"/>
          <w:szCs w:val="26"/>
        </w:rPr>
        <w:t>, w</w:t>
      </w:r>
      <w:r>
        <w:rPr>
          <w:sz w:val="26"/>
          <w:szCs w:val="26"/>
        </w:rPr>
        <w:t>e do not so limit eligible site commission costs today.</w:t>
      </w:r>
      <w:r w:rsidRPr="00C7035C" w:rsidR="00C7035C">
        <w:rPr>
          <w:rStyle w:val="FootnoteReference"/>
          <w:sz w:val="26"/>
          <w:szCs w:val="26"/>
        </w:rPr>
        <w:t xml:space="preserve"> </w:t>
      </w:r>
      <w:r w:rsidR="00C7035C">
        <w:rPr>
          <w:rStyle w:val="FootnoteReference"/>
          <w:sz w:val="26"/>
          <w:szCs w:val="26"/>
        </w:rPr>
        <w:footnoteReference w:id="184"/>
      </w:r>
      <w:r>
        <w:rPr>
          <w:sz w:val="26"/>
          <w:szCs w:val="26"/>
        </w:rPr>
        <w:t xml:space="preserve">  We do not limit revenue collection within our per-minute cap of $0.07 to only those costs related to a facility’s costs to provide IPCS because we wish to allow a reasonable transition period or cushion for counties to identify other funding sources for cost centers currently funded through inmate welfare funds.</w:t>
      </w:r>
      <w:r w:rsidR="00C7035C">
        <w:rPr>
          <w:sz w:val="26"/>
          <w:szCs w:val="26"/>
        </w:rPr>
        <w:t xml:space="preserve"> </w:t>
      </w:r>
      <w:r w:rsidR="38BBE9EF">
        <w:rPr>
          <w:sz w:val="26"/>
          <w:szCs w:val="26"/>
        </w:rPr>
        <w:t xml:space="preserve"> </w:t>
      </w:r>
      <w:r>
        <w:rPr>
          <w:sz w:val="26"/>
          <w:szCs w:val="26"/>
        </w:rPr>
        <w:t xml:space="preserve">Adopting a $0.07 per minute interim intrastate IPCS rate balances this Commission’s obligation to ensure just and reasonable rates with counties’ authority pursuant to Penal Code </w:t>
      </w:r>
      <w:r w:rsidR="00D04E2D">
        <w:rPr>
          <w:sz w:val="26"/>
          <w:szCs w:val="26"/>
        </w:rPr>
        <w:t xml:space="preserve">Section </w:t>
      </w:r>
      <w:r>
        <w:rPr>
          <w:sz w:val="26"/>
          <w:szCs w:val="26"/>
        </w:rPr>
        <w:t xml:space="preserve">4025 to collect commission fees from IPCS providers and place them in an </w:t>
      </w:r>
      <w:r w:rsidR="00E811E0">
        <w:rPr>
          <w:sz w:val="26"/>
          <w:szCs w:val="26"/>
        </w:rPr>
        <w:t>i</w:t>
      </w:r>
      <w:r>
        <w:rPr>
          <w:sz w:val="26"/>
          <w:szCs w:val="26"/>
        </w:rPr>
        <w:t xml:space="preserve">nmate </w:t>
      </w:r>
      <w:r w:rsidR="00E811E0">
        <w:rPr>
          <w:sz w:val="26"/>
          <w:szCs w:val="26"/>
        </w:rPr>
        <w:t>w</w:t>
      </w:r>
      <w:r>
        <w:rPr>
          <w:sz w:val="26"/>
          <w:szCs w:val="26"/>
        </w:rPr>
        <w:t xml:space="preserve">elfare </w:t>
      </w:r>
      <w:r w:rsidR="00E811E0">
        <w:rPr>
          <w:sz w:val="26"/>
          <w:szCs w:val="26"/>
        </w:rPr>
        <w:t>f</w:t>
      </w:r>
      <w:r>
        <w:rPr>
          <w:sz w:val="26"/>
          <w:szCs w:val="26"/>
        </w:rPr>
        <w:t xml:space="preserve">und. </w:t>
      </w:r>
    </w:p>
    <w:p w:rsidR="00FF2377" w:rsidP="00FF2377" w:rsidRDefault="00C7035C" w14:paraId="7E832811" w14:textId="1A29F98E">
      <w:pPr>
        <w:pStyle w:val="Standard"/>
        <w:ind w:firstLine="720"/>
        <w:rPr>
          <w:sz w:val="26"/>
          <w:szCs w:val="26"/>
        </w:rPr>
      </w:pPr>
      <w:r>
        <w:rPr>
          <w:sz w:val="26"/>
          <w:szCs w:val="26"/>
        </w:rPr>
        <w:lastRenderedPageBreak/>
        <w:t>However w</w:t>
      </w:r>
      <w:r w:rsidR="00F77B83">
        <w:rPr>
          <w:sz w:val="26"/>
          <w:szCs w:val="26"/>
        </w:rPr>
        <w:t>e clarify that, l</w:t>
      </w:r>
      <w:r w:rsidR="000E10A5">
        <w:rPr>
          <w:sz w:val="26"/>
          <w:szCs w:val="26"/>
        </w:rPr>
        <w:t xml:space="preserve">ike the FCC, we do </w:t>
      </w:r>
      <w:r w:rsidR="00CD434B">
        <w:rPr>
          <w:sz w:val="26"/>
          <w:szCs w:val="26"/>
        </w:rPr>
        <w:t xml:space="preserve">not </w:t>
      </w:r>
      <w:r w:rsidR="00E85637">
        <w:rPr>
          <w:sz w:val="26"/>
          <w:szCs w:val="26"/>
        </w:rPr>
        <w:t xml:space="preserve">view </w:t>
      </w:r>
      <w:r w:rsidR="00140ED7">
        <w:rPr>
          <w:sz w:val="26"/>
          <w:szCs w:val="26"/>
        </w:rPr>
        <w:t xml:space="preserve">all </w:t>
      </w:r>
      <w:r w:rsidR="000E10A5">
        <w:rPr>
          <w:sz w:val="26"/>
          <w:szCs w:val="26"/>
        </w:rPr>
        <w:t>site commission costs</w:t>
      </w:r>
      <w:r w:rsidR="00E85637">
        <w:rPr>
          <w:sz w:val="26"/>
          <w:szCs w:val="26"/>
        </w:rPr>
        <w:t xml:space="preserve"> as essential or necessary costs to provide intrastate IPCS.</w:t>
      </w:r>
      <w:r w:rsidR="00B00A69">
        <w:rPr>
          <w:rStyle w:val="FootnoteReference"/>
          <w:sz w:val="26"/>
          <w:szCs w:val="26"/>
        </w:rPr>
        <w:footnoteReference w:id="185"/>
      </w:r>
      <w:r w:rsidR="00B00A69">
        <w:rPr>
          <w:sz w:val="26"/>
          <w:szCs w:val="26"/>
        </w:rPr>
        <w:t xml:space="preserve">  </w:t>
      </w:r>
      <w:r w:rsidR="00327618">
        <w:rPr>
          <w:sz w:val="26"/>
          <w:szCs w:val="26"/>
        </w:rPr>
        <w:t xml:space="preserve">Like the FCC, we reason that, if </w:t>
      </w:r>
      <w:r w:rsidR="004E5CDF">
        <w:rPr>
          <w:sz w:val="26"/>
          <w:szCs w:val="26"/>
        </w:rPr>
        <w:t xml:space="preserve">collection of </w:t>
      </w:r>
      <w:r w:rsidR="00327618">
        <w:rPr>
          <w:sz w:val="26"/>
          <w:szCs w:val="26"/>
        </w:rPr>
        <w:t>site commissions</w:t>
      </w:r>
      <w:r w:rsidR="004E5CDF">
        <w:rPr>
          <w:sz w:val="26"/>
          <w:szCs w:val="26"/>
        </w:rPr>
        <w:t xml:space="preserve"> to support facility costs beyond</w:t>
      </w:r>
      <w:r w:rsidR="00370213">
        <w:rPr>
          <w:sz w:val="26"/>
          <w:szCs w:val="26"/>
        </w:rPr>
        <w:t xml:space="preserve"> those incurred to enable IPCS</w:t>
      </w:r>
      <w:r w:rsidR="00327618">
        <w:rPr>
          <w:sz w:val="26"/>
          <w:szCs w:val="26"/>
        </w:rPr>
        <w:t xml:space="preserve"> were prohibited</w:t>
      </w:r>
      <w:r w:rsidR="004F074F">
        <w:rPr>
          <w:sz w:val="26"/>
          <w:szCs w:val="26"/>
        </w:rPr>
        <w:t xml:space="preserve">, </w:t>
      </w:r>
      <w:r w:rsidR="007519B1">
        <w:rPr>
          <w:sz w:val="26"/>
          <w:szCs w:val="26"/>
        </w:rPr>
        <w:t xml:space="preserve">facilities would not </w:t>
      </w:r>
      <w:r w:rsidR="004F074F">
        <w:rPr>
          <w:sz w:val="26"/>
          <w:szCs w:val="26"/>
        </w:rPr>
        <w:t xml:space="preserve">stop providing </w:t>
      </w:r>
      <w:r w:rsidR="007519B1">
        <w:rPr>
          <w:sz w:val="26"/>
          <w:szCs w:val="26"/>
        </w:rPr>
        <w:t>IPCS to incarcerated people.</w:t>
      </w:r>
      <w:r w:rsidR="00E7006C">
        <w:rPr>
          <w:rStyle w:val="FootnoteReference"/>
          <w:sz w:val="26"/>
          <w:szCs w:val="26"/>
        </w:rPr>
        <w:footnoteReference w:id="186"/>
      </w:r>
      <w:r w:rsidR="007519B1">
        <w:rPr>
          <w:sz w:val="26"/>
          <w:szCs w:val="26"/>
        </w:rPr>
        <w:t xml:space="preserve">  </w:t>
      </w:r>
      <w:r w:rsidR="004F074F">
        <w:rPr>
          <w:sz w:val="26"/>
          <w:szCs w:val="26"/>
        </w:rPr>
        <w:t xml:space="preserve">Communication between incarcerated people </w:t>
      </w:r>
      <w:r w:rsidR="00251B9E">
        <w:rPr>
          <w:sz w:val="26"/>
          <w:szCs w:val="26"/>
        </w:rPr>
        <w:t xml:space="preserve">and their families, </w:t>
      </w:r>
      <w:r w:rsidR="00A94021">
        <w:rPr>
          <w:sz w:val="26"/>
          <w:szCs w:val="26"/>
        </w:rPr>
        <w:t xml:space="preserve">as well as with </w:t>
      </w:r>
      <w:r w:rsidR="00251B9E">
        <w:rPr>
          <w:sz w:val="26"/>
          <w:szCs w:val="26"/>
        </w:rPr>
        <w:t>legal services, and other functions</w:t>
      </w:r>
      <w:r w:rsidR="00A94021">
        <w:rPr>
          <w:sz w:val="26"/>
          <w:szCs w:val="26"/>
        </w:rPr>
        <w:t xml:space="preserve">, is simply too </w:t>
      </w:r>
      <w:r w:rsidR="00B03721">
        <w:rPr>
          <w:sz w:val="26"/>
          <w:szCs w:val="26"/>
        </w:rPr>
        <w:t xml:space="preserve">essential to reduce </w:t>
      </w:r>
      <w:r w:rsidR="00946272">
        <w:rPr>
          <w:sz w:val="26"/>
          <w:szCs w:val="26"/>
        </w:rPr>
        <w:t>recidivism</w:t>
      </w:r>
      <w:r w:rsidR="00A94021">
        <w:rPr>
          <w:sz w:val="26"/>
          <w:szCs w:val="26"/>
        </w:rPr>
        <w:t xml:space="preserve"> and prepare </w:t>
      </w:r>
      <w:r w:rsidR="00FF2377">
        <w:rPr>
          <w:sz w:val="26"/>
          <w:szCs w:val="26"/>
        </w:rPr>
        <w:t>th</w:t>
      </w:r>
      <w:r w:rsidR="00492EE6">
        <w:rPr>
          <w:sz w:val="26"/>
          <w:szCs w:val="26"/>
        </w:rPr>
        <w:t>e</w:t>
      </w:r>
      <w:r w:rsidR="00FF2377">
        <w:rPr>
          <w:sz w:val="26"/>
          <w:szCs w:val="26"/>
        </w:rPr>
        <w:t xml:space="preserve"> incarcerated for release. </w:t>
      </w:r>
      <w:r>
        <w:rPr>
          <w:sz w:val="26"/>
          <w:szCs w:val="26"/>
        </w:rPr>
        <w:t xml:space="preserve"> Thus, we will continue to review the question of site commissions as we adopt a permanent rate later in this proceeding. </w:t>
      </w:r>
    </w:p>
    <w:p w:rsidR="00FF2377" w:rsidP="00FF2377" w:rsidRDefault="00FF2377" w14:paraId="13ADF155" w14:textId="311859F5">
      <w:pPr>
        <w:pStyle w:val="Standard"/>
        <w:ind w:firstLine="720"/>
        <w:rPr>
          <w:sz w:val="26"/>
          <w:szCs w:val="26"/>
        </w:rPr>
      </w:pPr>
      <w:r w:rsidRPr="00D900AB">
        <w:rPr>
          <w:sz w:val="26"/>
          <w:szCs w:val="26"/>
        </w:rPr>
        <w:lastRenderedPageBreak/>
        <w:t>We decline to adopt the Staff Proposal today because the record supports a</w:t>
      </w:r>
      <w:r w:rsidR="004C64A5">
        <w:rPr>
          <w:sz w:val="26"/>
          <w:szCs w:val="26"/>
        </w:rPr>
        <w:t>dopti</w:t>
      </w:r>
      <w:r w:rsidR="001746E8">
        <w:rPr>
          <w:sz w:val="26"/>
          <w:szCs w:val="26"/>
        </w:rPr>
        <w:t xml:space="preserve">ng the $0.07 </w:t>
      </w:r>
      <w:r w:rsidRPr="122C58D0">
        <w:rPr>
          <w:sz w:val="26"/>
          <w:szCs w:val="26"/>
        </w:rPr>
        <w:t>per minute cap</w:t>
      </w:r>
      <w:r w:rsidR="004C64A5">
        <w:rPr>
          <w:sz w:val="26"/>
          <w:szCs w:val="26"/>
        </w:rPr>
        <w:t xml:space="preserve"> on an interim basis</w:t>
      </w:r>
      <w:r w:rsidR="001746E8">
        <w:rPr>
          <w:sz w:val="26"/>
          <w:szCs w:val="26"/>
        </w:rPr>
        <w:t xml:space="preserve"> and doing so provides immediate relief to </w:t>
      </w:r>
      <w:r w:rsidR="00824891">
        <w:rPr>
          <w:sz w:val="26"/>
          <w:szCs w:val="26"/>
        </w:rPr>
        <w:t xml:space="preserve">a greater number of </w:t>
      </w:r>
      <w:r w:rsidR="000845E8">
        <w:rPr>
          <w:sz w:val="26"/>
          <w:szCs w:val="26"/>
        </w:rPr>
        <w:t>the incarcerated and their families</w:t>
      </w:r>
      <w:r w:rsidRPr="122C58D0" w:rsidR="00FB3313">
        <w:rPr>
          <w:sz w:val="26"/>
          <w:szCs w:val="26"/>
        </w:rPr>
        <w:t>.</w:t>
      </w:r>
      <w:r w:rsidR="00FB3313">
        <w:rPr>
          <w:sz w:val="26"/>
          <w:szCs w:val="26"/>
        </w:rPr>
        <w:t xml:space="preserve">  </w:t>
      </w:r>
      <w:r w:rsidR="00D11B60">
        <w:rPr>
          <w:sz w:val="26"/>
          <w:szCs w:val="26"/>
        </w:rPr>
        <w:t>A $0.07 per minute cap yields a charge of $1.05 for a 15</w:t>
      </w:r>
      <w:r w:rsidR="00806249">
        <w:rPr>
          <w:sz w:val="26"/>
          <w:szCs w:val="26"/>
        </w:rPr>
        <w:t>-</w:t>
      </w:r>
      <w:r w:rsidR="00D11B60">
        <w:rPr>
          <w:sz w:val="26"/>
          <w:szCs w:val="26"/>
        </w:rPr>
        <w:t xml:space="preserve">minute call as compared to </w:t>
      </w:r>
      <w:r w:rsidR="00BA5E86">
        <w:rPr>
          <w:sz w:val="26"/>
          <w:szCs w:val="26"/>
        </w:rPr>
        <w:t xml:space="preserve">$2.10 and </w:t>
      </w:r>
      <w:r w:rsidR="00692077">
        <w:rPr>
          <w:sz w:val="26"/>
          <w:szCs w:val="26"/>
        </w:rPr>
        <w:t>$2.40 for the rates proposed by Staff.</w:t>
      </w:r>
      <w:r w:rsidR="00806249">
        <w:rPr>
          <w:sz w:val="26"/>
          <w:szCs w:val="26"/>
        </w:rPr>
        <w:t xml:space="preserve">  </w:t>
      </w:r>
      <w:r w:rsidR="00FB3313">
        <w:rPr>
          <w:sz w:val="26"/>
          <w:szCs w:val="26"/>
        </w:rPr>
        <w:t xml:space="preserve">We decline to adopt the FCC’s 2013 caps of $0.21 and $0.25 per minute for the same reasons. </w:t>
      </w:r>
    </w:p>
    <w:p w:rsidR="00121EFE" w:rsidP="00FF2377" w:rsidRDefault="00121EFE" w14:paraId="0257BED7" w14:textId="01755890">
      <w:pPr>
        <w:pStyle w:val="Standard"/>
        <w:ind w:firstLine="720"/>
        <w:rPr>
          <w:sz w:val="26"/>
          <w:szCs w:val="26"/>
        </w:rPr>
      </w:pPr>
      <w:r>
        <w:rPr>
          <w:sz w:val="26"/>
          <w:szCs w:val="26"/>
        </w:rPr>
        <w:t xml:space="preserve">In addition to providing immediate relief to the incarcerated and their families, </w:t>
      </w:r>
      <w:r w:rsidR="00DE2AE8">
        <w:rPr>
          <w:sz w:val="26"/>
          <w:szCs w:val="26"/>
        </w:rPr>
        <w:t>lower IPCS rates and fees may contribute to reduced reci</w:t>
      </w:r>
      <w:r w:rsidR="00AB7240">
        <w:rPr>
          <w:sz w:val="26"/>
          <w:szCs w:val="26"/>
        </w:rPr>
        <w:t>divism by the incarcerated by making calls more affordable</w:t>
      </w:r>
      <w:r w:rsidR="009C1C4D">
        <w:rPr>
          <w:sz w:val="26"/>
          <w:szCs w:val="26"/>
        </w:rPr>
        <w:t>.</w:t>
      </w:r>
      <w:r w:rsidR="006D73C0">
        <w:rPr>
          <w:sz w:val="26"/>
          <w:szCs w:val="26"/>
        </w:rPr>
        <w:t xml:space="preserve">  In turn, </w:t>
      </w:r>
      <w:r w:rsidR="00A577F1">
        <w:rPr>
          <w:sz w:val="26"/>
          <w:szCs w:val="26"/>
        </w:rPr>
        <w:t>re</w:t>
      </w:r>
      <w:r w:rsidR="001D5601">
        <w:rPr>
          <w:sz w:val="26"/>
          <w:szCs w:val="26"/>
        </w:rPr>
        <w:t>ductions in repeated incarcerations</w:t>
      </w:r>
      <w:r w:rsidR="00A577F1">
        <w:rPr>
          <w:sz w:val="26"/>
          <w:szCs w:val="26"/>
        </w:rPr>
        <w:t xml:space="preserve"> benefits society by saving millions of dollars in incarceration-related costs annually.</w:t>
      </w:r>
      <w:r w:rsidR="00A577F1">
        <w:rPr>
          <w:rStyle w:val="FootnoteReference"/>
          <w:sz w:val="26"/>
          <w:szCs w:val="26"/>
        </w:rPr>
        <w:footnoteReference w:id="187"/>
      </w:r>
      <w:r w:rsidR="00F402C8">
        <w:rPr>
          <w:sz w:val="26"/>
          <w:szCs w:val="26"/>
        </w:rPr>
        <w:t xml:space="preserve"> </w:t>
      </w:r>
      <w:r w:rsidR="006D73C0">
        <w:rPr>
          <w:sz w:val="26"/>
          <w:szCs w:val="26"/>
        </w:rPr>
        <w:t xml:space="preserve"> </w:t>
      </w:r>
      <w:r w:rsidR="00CF46D4">
        <w:rPr>
          <w:sz w:val="26"/>
          <w:szCs w:val="26"/>
        </w:rPr>
        <w:t xml:space="preserve">The ability to communicate with family </w:t>
      </w:r>
      <w:r w:rsidR="006D73C0">
        <w:rPr>
          <w:sz w:val="26"/>
          <w:szCs w:val="26"/>
        </w:rPr>
        <w:t xml:space="preserve">may also help </w:t>
      </w:r>
      <w:r w:rsidR="00CF46D4">
        <w:rPr>
          <w:sz w:val="26"/>
          <w:szCs w:val="26"/>
        </w:rPr>
        <w:t>reduce</w:t>
      </w:r>
      <w:r w:rsidR="009552C2">
        <w:rPr>
          <w:sz w:val="26"/>
          <w:szCs w:val="26"/>
        </w:rPr>
        <w:t xml:space="preserve"> foster placement of </w:t>
      </w:r>
      <w:r w:rsidR="006D73C0">
        <w:rPr>
          <w:sz w:val="26"/>
          <w:szCs w:val="26"/>
        </w:rPr>
        <w:t xml:space="preserve">the </w:t>
      </w:r>
      <w:r w:rsidR="00A60B64">
        <w:rPr>
          <w:sz w:val="26"/>
          <w:szCs w:val="26"/>
        </w:rPr>
        <w:t>children of incarcerated people</w:t>
      </w:r>
      <w:r w:rsidR="00250C7A">
        <w:rPr>
          <w:sz w:val="26"/>
          <w:szCs w:val="26"/>
        </w:rPr>
        <w:t>, benefit</w:t>
      </w:r>
      <w:r w:rsidR="006D73C0">
        <w:rPr>
          <w:sz w:val="26"/>
          <w:szCs w:val="26"/>
        </w:rPr>
        <w:t>ting families</w:t>
      </w:r>
      <w:r w:rsidR="24D85B09">
        <w:rPr>
          <w:sz w:val="26"/>
          <w:szCs w:val="26"/>
        </w:rPr>
        <w:t>,</w:t>
      </w:r>
      <w:r w:rsidR="006D73C0">
        <w:rPr>
          <w:sz w:val="26"/>
          <w:szCs w:val="26"/>
        </w:rPr>
        <w:t xml:space="preserve"> and providing </w:t>
      </w:r>
      <w:r w:rsidR="00D830B2">
        <w:rPr>
          <w:sz w:val="26"/>
          <w:szCs w:val="26"/>
        </w:rPr>
        <w:t>cost savings to society at large.</w:t>
      </w:r>
      <w:r w:rsidR="00D830B2">
        <w:rPr>
          <w:rStyle w:val="FootnoteReference"/>
          <w:sz w:val="26"/>
          <w:szCs w:val="26"/>
        </w:rPr>
        <w:footnoteReference w:id="188"/>
      </w:r>
    </w:p>
    <w:p w:rsidR="005A42D3" w:rsidRDefault="00FD3FF2" w14:paraId="70B99CF5" w14:textId="67261EA5">
      <w:pPr>
        <w:pStyle w:val="Standard"/>
        <w:ind w:firstLine="720"/>
        <w:rPr>
          <w:sz w:val="26"/>
          <w:szCs w:val="26"/>
        </w:rPr>
      </w:pPr>
      <w:r>
        <w:rPr>
          <w:sz w:val="26"/>
          <w:szCs w:val="26"/>
        </w:rPr>
        <w:t>Securus</w:t>
      </w:r>
      <w:r w:rsidR="005E55BB">
        <w:rPr>
          <w:sz w:val="26"/>
          <w:szCs w:val="26"/>
        </w:rPr>
        <w:t xml:space="preserve"> and others</w:t>
      </w:r>
      <w:r>
        <w:rPr>
          <w:sz w:val="26"/>
          <w:szCs w:val="26"/>
        </w:rPr>
        <w:t xml:space="preserve"> argue that </w:t>
      </w:r>
      <w:r w:rsidR="00713BC2">
        <w:rPr>
          <w:sz w:val="26"/>
          <w:szCs w:val="26"/>
        </w:rPr>
        <w:t xml:space="preserve">this Commission should wait to act to cap per minute rates beyond those adopted in the FCC’s </w:t>
      </w:r>
      <w:r w:rsidR="00286963">
        <w:rPr>
          <w:sz w:val="26"/>
          <w:szCs w:val="26"/>
        </w:rPr>
        <w:t>2013</w:t>
      </w:r>
      <w:r w:rsidR="00713BC2">
        <w:rPr>
          <w:sz w:val="26"/>
          <w:szCs w:val="26"/>
        </w:rPr>
        <w:t xml:space="preserve"> Order </w:t>
      </w:r>
      <w:r w:rsidR="005E55BB">
        <w:rPr>
          <w:sz w:val="26"/>
          <w:szCs w:val="26"/>
        </w:rPr>
        <w:t xml:space="preserve">until </w:t>
      </w:r>
      <w:r w:rsidR="00713BC2">
        <w:rPr>
          <w:sz w:val="26"/>
          <w:szCs w:val="26"/>
        </w:rPr>
        <w:t>w</w:t>
      </w:r>
      <w:r w:rsidR="009C0B9B">
        <w:rPr>
          <w:sz w:val="26"/>
          <w:szCs w:val="26"/>
        </w:rPr>
        <w:t>e</w:t>
      </w:r>
      <w:r w:rsidR="005E55BB">
        <w:rPr>
          <w:sz w:val="26"/>
          <w:szCs w:val="26"/>
        </w:rPr>
        <w:t xml:space="preserve"> </w:t>
      </w:r>
      <w:r w:rsidR="009C0B9B">
        <w:rPr>
          <w:sz w:val="26"/>
          <w:szCs w:val="26"/>
        </w:rPr>
        <w:t>receive detailed cost data from providers</w:t>
      </w:r>
      <w:r w:rsidR="008B73BB">
        <w:rPr>
          <w:sz w:val="26"/>
          <w:szCs w:val="26"/>
        </w:rPr>
        <w:t xml:space="preserve">. </w:t>
      </w:r>
      <w:r w:rsidR="24824498">
        <w:rPr>
          <w:sz w:val="26"/>
          <w:szCs w:val="26"/>
        </w:rPr>
        <w:t xml:space="preserve"> </w:t>
      </w:r>
      <w:r w:rsidR="008B73BB">
        <w:rPr>
          <w:sz w:val="26"/>
          <w:szCs w:val="26"/>
        </w:rPr>
        <w:t xml:space="preserve">We disagree.  </w:t>
      </w:r>
      <w:r w:rsidR="004041C3">
        <w:rPr>
          <w:sz w:val="26"/>
          <w:szCs w:val="26"/>
        </w:rPr>
        <w:t xml:space="preserve">First, </w:t>
      </w:r>
      <w:bookmarkStart w:name="_Hlk79156201" w:id="49"/>
      <w:r w:rsidR="004041C3">
        <w:rPr>
          <w:sz w:val="26"/>
          <w:szCs w:val="26"/>
        </w:rPr>
        <w:t xml:space="preserve">IPCS </w:t>
      </w:r>
      <w:r w:rsidR="009877EB">
        <w:rPr>
          <w:sz w:val="26"/>
          <w:szCs w:val="26"/>
        </w:rPr>
        <w:t xml:space="preserve">providers </w:t>
      </w:r>
      <w:r w:rsidR="004041C3">
        <w:rPr>
          <w:sz w:val="26"/>
          <w:szCs w:val="26"/>
        </w:rPr>
        <w:t xml:space="preserve">have had ample opportunity to </w:t>
      </w:r>
      <w:r w:rsidR="009C3F5B">
        <w:rPr>
          <w:sz w:val="26"/>
          <w:szCs w:val="26"/>
        </w:rPr>
        <w:t xml:space="preserve">file </w:t>
      </w:r>
      <w:r w:rsidR="00433DFB">
        <w:rPr>
          <w:sz w:val="26"/>
          <w:szCs w:val="26"/>
        </w:rPr>
        <w:t>i</w:t>
      </w:r>
      <w:r w:rsidR="009C3F5B">
        <w:rPr>
          <w:sz w:val="26"/>
          <w:szCs w:val="26"/>
        </w:rPr>
        <w:t>n the reco</w:t>
      </w:r>
      <w:r w:rsidR="00433DFB">
        <w:rPr>
          <w:sz w:val="26"/>
          <w:szCs w:val="26"/>
        </w:rPr>
        <w:t xml:space="preserve">rd of this proceeding </w:t>
      </w:r>
      <w:r w:rsidR="004041C3">
        <w:rPr>
          <w:sz w:val="26"/>
          <w:szCs w:val="26"/>
        </w:rPr>
        <w:t xml:space="preserve">detailed or summary cost data </w:t>
      </w:r>
      <w:r w:rsidR="009C3F5B">
        <w:rPr>
          <w:sz w:val="26"/>
          <w:szCs w:val="26"/>
        </w:rPr>
        <w:t xml:space="preserve">but have </w:t>
      </w:r>
      <w:r w:rsidR="00433DFB">
        <w:rPr>
          <w:sz w:val="26"/>
          <w:szCs w:val="26"/>
        </w:rPr>
        <w:t xml:space="preserve">declined </w:t>
      </w:r>
      <w:r w:rsidR="009C3F5B">
        <w:rPr>
          <w:sz w:val="26"/>
          <w:szCs w:val="26"/>
        </w:rPr>
        <w:t xml:space="preserve">to do so. </w:t>
      </w:r>
      <w:r w:rsidR="00564B75">
        <w:rPr>
          <w:sz w:val="26"/>
          <w:szCs w:val="26"/>
        </w:rPr>
        <w:t xml:space="preserve"> Provision of </w:t>
      </w:r>
      <w:r w:rsidR="005A42D3">
        <w:rPr>
          <w:sz w:val="26"/>
          <w:szCs w:val="26"/>
        </w:rPr>
        <w:t xml:space="preserve">cost information in response to </w:t>
      </w:r>
      <w:r w:rsidR="008539B7">
        <w:rPr>
          <w:sz w:val="26"/>
          <w:szCs w:val="26"/>
        </w:rPr>
        <w:t xml:space="preserve">discovery </w:t>
      </w:r>
      <w:r w:rsidR="005A42D3">
        <w:rPr>
          <w:sz w:val="26"/>
          <w:szCs w:val="26"/>
        </w:rPr>
        <w:t xml:space="preserve">data requests does not constitute provision of cost information in the record of this proceeding. </w:t>
      </w:r>
      <w:bookmarkEnd w:id="49"/>
      <w:r w:rsidR="005A42D3">
        <w:rPr>
          <w:sz w:val="26"/>
          <w:szCs w:val="26"/>
        </w:rPr>
        <w:t xml:space="preserve"> We </w:t>
      </w:r>
      <w:r w:rsidR="00AD3B21">
        <w:rPr>
          <w:sz w:val="26"/>
          <w:szCs w:val="26"/>
        </w:rPr>
        <w:t xml:space="preserve">encourage IPCS providers to </w:t>
      </w:r>
      <w:r w:rsidR="004270F8">
        <w:rPr>
          <w:sz w:val="26"/>
          <w:szCs w:val="26"/>
        </w:rPr>
        <w:t xml:space="preserve">provide </w:t>
      </w:r>
      <w:r w:rsidR="00FB3E92">
        <w:rPr>
          <w:sz w:val="26"/>
          <w:szCs w:val="26"/>
        </w:rPr>
        <w:t>cost data in Phase II of this proceeding as we consider adopting a more permanent rate cap</w:t>
      </w:r>
      <w:r w:rsidR="004061D7">
        <w:rPr>
          <w:sz w:val="26"/>
          <w:szCs w:val="26"/>
        </w:rPr>
        <w:t xml:space="preserve">. </w:t>
      </w:r>
    </w:p>
    <w:p w:rsidR="005E55BB" w:rsidRDefault="005A42D3" w14:paraId="703301C0" w14:textId="532161A1">
      <w:pPr>
        <w:pStyle w:val="Standard"/>
        <w:ind w:firstLine="720"/>
        <w:rPr>
          <w:sz w:val="26"/>
          <w:szCs w:val="26"/>
        </w:rPr>
      </w:pPr>
      <w:r>
        <w:rPr>
          <w:sz w:val="26"/>
          <w:szCs w:val="26"/>
        </w:rPr>
        <w:t xml:space="preserve">Second, </w:t>
      </w:r>
      <w:r w:rsidR="008B73BB">
        <w:rPr>
          <w:sz w:val="26"/>
          <w:szCs w:val="26"/>
        </w:rPr>
        <w:t xml:space="preserve">California statute and the courts </w:t>
      </w:r>
      <w:r w:rsidR="003B56C5">
        <w:rPr>
          <w:sz w:val="26"/>
          <w:szCs w:val="26"/>
        </w:rPr>
        <w:t xml:space="preserve">provide this Commission with discretion to determine and set just and reasonable rates using a variety of </w:t>
      </w:r>
      <w:r w:rsidR="003B56C5">
        <w:rPr>
          <w:sz w:val="26"/>
          <w:szCs w:val="26"/>
        </w:rPr>
        <w:lastRenderedPageBreak/>
        <w:t>methods.</w:t>
      </w:r>
      <w:r w:rsidR="005E55BB">
        <w:rPr>
          <w:rStyle w:val="FootnoteReference"/>
          <w:sz w:val="26"/>
          <w:szCs w:val="26"/>
        </w:rPr>
        <w:footnoteReference w:id="189"/>
      </w:r>
      <w:r w:rsidR="003B56C5">
        <w:rPr>
          <w:sz w:val="26"/>
          <w:szCs w:val="26"/>
        </w:rPr>
        <w:t xml:space="preserve"> </w:t>
      </w:r>
      <w:r w:rsidR="000845E8">
        <w:rPr>
          <w:sz w:val="26"/>
          <w:szCs w:val="26"/>
        </w:rPr>
        <w:t xml:space="preserve"> </w:t>
      </w:r>
      <w:r w:rsidR="0087637B">
        <w:rPr>
          <w:sz w:val="26"/>
          <w:szCs w:val="26"/>
        </w:rPr>
        <w:t xml:space="preserve">The $0.07 rate is based on the most reliable data before us pertinent to California, specifically, </w:t>
      </w:r>
      <w:r w:rsidR="0022306E">
        <w:rPr>
          <w:sz w:val="26"/>
          <w:szCs w:val="26"/>
        </w:rPr>
        <w:t xml:space="preserve">as discussed above, </w:t>
      </w:r>
      <w:r w:rsidR="0087637B">
        <w:rPr>
          <w:sz w:val="26"/>
          <w:szCs w:val="26"/>
        </w:rPr>
        <w:t>the CCDR rate of $0.025 per minute, the FCC’s finding that it cost</w:t>
      </w:r>
      <w:r w:rsidR="005E7A76">
        <w:rPr>
          <w:sz w:val="26"/>
          <w:szCs w:val="26"/>
        </w:rPr>
        <w:t>s</w:t>
      </w:r>
      <w:r w:rsidR="009D7AF0">
        <w:rPr>
          <w:sz w:val="26"/>
          <w:szCs w:val="26"/>
        </w:rPr>
        <w:t xml:space="preserve"> IPCS providers approximately</w:t>
      </w:r>
      <w:r w:rsidR="0087637B">
        <w:rPr>
          <w:sz w:val="26"/>
          <w:szCs w:val="26"/>
        </w:rPr>
        <w:t xml:space="preserve"> 22-25 percent more to provide IPCS to larger jails than to prisons, and the FCC’s finding that a $0.02 adder reasonabl</w:t>
      </w:r>
      <w:r w:rsidR="0022306E">
        <w:rPr>
          <w:sz w:val="26"/>
          <w:szCs w:val="26"/>
        </w:rPr>
        <w:t>y</w:t>
      </w:r>
      <w:r w:rsidR="0087637B">
        <w:rPr>
          <w:sz w:val="26"/>
          <w:szCs w:val="26"/>
        </w:rPr>
        <w:t xml:space="preserve"> accounts for site commission costs solely related to providing IPCS.</w:t>
      </w:r>
    </w:p>
    <w:p w:rsidR="00F06791" w:rsidP="00E949C5" w:rsidRDefault="0087637B" w14:paraId="1BADA2DF" w14:textId="7361BFE2">
      <w:pPr>
        <w:pStyle w:val="Standard"/>
        <w:ind w:firstLine="720"/>
        <w:rPr>
          <w:sz w:val="26"/>
          <w:szCs w:val="26"/>
        </w:rPr>
      </w:pPr>
      <w:r>
        <w:rPr>
          <w:sz w:val="26"/>
          <w:szCs w:val="26"/>
        </w:rPr>
        <w:t>A</w:t>
      </w:r>
      <w:r w:rsidR="000845E8">
        <w:rPr>
          <w:sz w:val="26"/>
          <w:szCs w:val="26"/>
        </w:rPr>
        <w:t>dditionally, a</w:t>
      </w:r>
      <w:r w:rsidR="00AE56BB">
        <w:rPr>
          <w:sz w:val="26"/>
          <w:szCs w:val="26"/>
        </w:rPr>
        <w:t xml:space="preserve">s </w:t>
      </w:r>
      <w:r w:rsidR="00205D18">
        <w:rPr>
          <w:sz w:val="26"/>
          <w:szCs w:val="26"/>
        </w:rPr>
        <w:t>the U.S. Supreme Court has recognized</w:t>
      </w:r>
      <w:r w:rsidR="00AE56BB">
        <w:rPr>
          <w:sz w:val="26"/>
          <w:szCs w:val="26"/>
        </w:rPr>
        <w:t xml:space="preserve">, </w:t>
      </w:r>
      <w:r w:rsidR="005E55BB">
        <w:rPr>
          <w:sz w:val="26"/>
          <w:szCs w:val="26"/>
        </w:rPr>
        <w:t xml:space="preserve">a regulatory body’s determination of </w:t>
      </w:r>
      <w:r w:rsidR="00F06791">
        <w:rPr>
          <w:sz w:val="26"/>
          <w:szCs w:val="26"/>
        </w:rPr>
        <w:t xml:space="preserve">future rates always involves an element of prediction: </w:t>
      </w:r>
    </w:p>
    <w:p w:rsidR="00F06791" w:rsidP="00655016" w:rsidRDefault="00F06791" w14:paraId="7574F388" w14:textId="76D09BD2">
      <w:pPr>
        <w:pStyle w:val="BlockQuote"/>
        <w:spacing w:line="240" w:lineRule="auto"/>
        <w:ind w:right="1440"/>
      </w:pPr>
      <w:r w:rsidRPr="00F06791">
        <w:rPr>
          <w:sz w:val="26"/>
          <w:szCs w:val="26"/>
        </w:rPr>
        <w:t xml:space="preserve">Even monopolies must sell their services in a market where there is competition for the consumer's dollar and the price of a commodity affects its demand and use. </w:t>
      </w:r>
      <w:r w:rsidRPr="00F06791" w:rsidR="07C400A4">
        <w:rPr>
          <w:sz w:val="26"/>
          <w:szCs w:val="26"/>
        </w:rPr>
        <w:t xml:space="preserve"> </w:t>
      </w:r>
      <w:r w:rsidRPr="00F06791">
        <w:rPr>
          <w:sz w:val="26"/>
          <w:szCs w:val="26"/>
        </w:rPr>
        <w:t xml:space="preserve">This effect may be predicted or projected, but it can be known only from experience. </w:t>
      </w:r>
      <w:r w:rsidRPr="00F06791" w:rsidR="782CBBD3">
        <w:rPr>
          <w:sz w:val="26"/>
          <w:szCs w:val="26"/>
        </w:rPr>
        <w:t xml:space="preserve"> </w:t>
      </w:r>
      <w:r w:rsidRPr="00F06791">
        <w:rPr>
          <w:sz w:val="26"/>
          <w:szCs w:val="26"/>
        </w:rPr>
        <w:t>The many detailed objections which the Company makes to the Commission's computations of probable yield would be answered by experience.</w:t>
      </w:r>
      <w:r>
        <w:rPr>
          <w:rStyle w:val="FootnoteReference"/>
          <w:sz w:val="26"/>
          <w:szCs w:val="26"/>
        </w:rPr>
        <w:footnoteReference w:id="190"/>
      </w:r>
    </w:p>
    <w:p w:rsidR="00B662A5" w:rsidP="00E949C5" w:rsidRDefault="00376938" w14:paraId="512B1A2E" w14:textId="639F2E57">
      <w:pPr>
        <w:pStyle w:val="Standard"/>
        <w:ind w:firstLine="720"/>
        <w:rPr>
          <w:sz w:val="26"/>
          <w:szCs w:val="26"/>
        </w:rPr>
      </w:pPr>
      <w:r>
        <w:rPr>
          <w:sz w:val="26"/>
          <w:szCs w:val="26"/>
        </w:rPr>
        <w:t xml:space="preserve">In other words, to some degree, and particularly in this case where </w:t>
      </w:r>
      <w:r w:rsidR="005C14ED">
        <w:rPr>
          <w:sz w:val="26"/>
          <w:szCs w:val="26"/>
        </w:rPr>
        <w:t xml:space="preserve">we do not have good </w:t>
      </w:r>
      <w:r w:rsidR="005E55BB">
        <w:rPr>
          <w:sz w:val="26"/>
          <w:szCs w:val="26"/>
        </w:rPr>
        <w:t xml:space="preserve">cost data, </w:t>
      </w:r>
      <w:r>
        <w:rPr>
          <w:sz w:val="26"/>
          <w:szCs w:val="26"/>
        </w:rPr>
        <w:t xml:space="preserve">the determination of </w:t>
      </w:r>
      <w:r w:rsidR="005E55BB">
        <w:rPr>
          <w:sz w:val="26"/>
          <w:szCs w:val="26"/>
        </w:rPr>
        <w:t>the “</w:t>
      </w:r>
      <w:r w:rsidR="00AB369F">
        <w:rPr>
          <w:sz w:val="26"/>
          <w:szCs w:val="26"/>
        </w:rPr>
        <w:t>correctness</w:t>
      </w:r>
      <w:r w:rsidR="005E55BB">
        <w:rPr>
          <w:sz w:val="26"/>
          <w:szCs w:val="26"/>
        </w:rPr>
        <w:t>”</w:t>
      </w:r>
      <w:r w:rsidR="00AB369F">
        <w:rPr>
          <w:sz w:val="26"/>
          <w:szCs w:val="26"/>
        </w:rPr>
        <w:t xml:space="preserve"> of rates </w:t>
      </w:r>
      <w:r w:rsidR="005E55BB">
        <w:rPr>
          <w:sz w:val="26"/>
          <w:szCs w:val="26"/>
        </w:rPr>
        <w:t xml:space="preserve">set by </w:t>
      </w:r>
      <w:r w:rsidR="00AB369F">
        <w:rPr>
          <w:sz w:val="26"/>
          <w:szCs w:val="26"/>
        </w:rPr>
        <w:t xml:space="preserve">a regulatory commission can only be known “with experience,” </w:t>
      </w:r>
      <w:r w:rsidRPr="00655016" w:rsidR="00AB369F">
        <w:rPr>
          <w:i/>
          <w:iCs/>
          <w:sz w:val="26"/>
          <w:szCs w:val="26"/>
        </w:rPr>
        <w:t>i.e.</w:t>
      </w:r>
      <w:r w:rsidR="00655016">
        <w:rPr>
          <w:i/>
          <w:iCs/>
          <w:sz w:val="26"/>
          <w:szCs w:val="26"/>
        </w:rPr>
        <w:t>,</w:t>
      </w:r>
      <w:r w:rsidR="00AB369F">
        <w:rPr>
          <w:sz w:val="26"/>
          <w:szCs w:val="26"/>
        </w:rPr>
        <w:t xml:space="preserve"> over time</w:t>
      </w:r>
      <w:r w:rsidR="00CA507E">
        <w:rPr>
          <w:sz w:val="26"/>
          <w:szCs w:val="26"/>
        </w:rPr>
        <w:t>, as the rate is implemented</w:t>
      </w:r>
      <w:r w:rsidR="001E289A">
        <w:rPr>
          <w:sz w:val="26"/>
          <w:szCs w:val="26"/>
        </w:rPr>
        <w:t xml:space="preserve"> across facilities and providers</w:t>
      </w:r>
      <w:r w:rsidR="00AB369F">
        <w:rPr>
          <w:sz w:val="26"/>
          <w:szCs w:val="26"/>
        </w:rPr>
        <w:t xml:space="preserve">. </w:t>
      </w:r>
      <w:r w:rsidR="005E55BB">
        <w:rPr>
          <w:sz w:val="26"/>
          <w:szCs w:val="26"/>
        </w:rPr>
        <w:t xml:space="preserve"> </w:t>
      </w:r>
      <w:r w:rsidR="00DF607F">
        <w:rPr>
          <w:sz w:val="26"/>
          <w:szCs w:val="26"/>
        </w:rPr>
        <w:t xml:space="preserve">We </w:t>
      </w:r>
      <w:r w:rsidR="001F3C82">
        <w:rPr>
          <w:sz w:val="26"/>
          <w:szCs w:val="26"/>
        </w:rPr>
        <w:t>use a reasoned and balanced approach to determine our adopted interim rate cap</w:t>
      </w:r>
      <w:r w:rsidR="00366DDB">
        <w:rPr>
          <w:sz w:val="26"/>
          <w:szCs w:val="26"/>
        </w:rPr>
        <w:t xml:space="preserve"> and will carefully monitor any resulting market changes to determine the effect</w:t>
      </w:r>
      <w:r w:rsidR="00CA507E">
        <w:rPr>
          <w:sz w:val="26"/>
          <w:szCs w:val="26"/>
        </w:rPr>
        <w:t xml:space="preserve">. </w:t>
      </w:r>
      <w:r w:rsidR="001C2AD1">
        <w:rPr>
          <w:sz w:val="26"/>
          <w:szCs w:val="26"/>
        </w:rPr>
        <w:t xml:space="preserve"> </w:t>
      </w:r>
    </w:p>
    <w:p w:rsidR="00F06791" w:rsidP="00E949C5" w:rsidRDefault="00E3454C" w14:paraId="1E735760" w14:textId="4D96B6B9">
      <w:pPr>
        <w:pStyle w:val="Standard"/>
        <w:ind w:firstLine="720"/>
        <w:rPr>
          <w:sz w:val="26"/>
          <w:szCs w:val="26"/>
        </w:rPr>
      </w:pPr>
      <w:r>
        <w:rPr>
          <w:sz w:val="26"/>
          <w:szCs w:val="26"/>
        </w:rPr>
        <w:t>We</w:t>
      </w:r>
      <w:r w:rsidR="005C14ED">
        <w:rPr>
          <w:sz w:val="26"/>
          <w:szCs w:val="26"/>
        </w:rPr>
        <w:t xml:space="preserve"> note that </w:t>
      </w:r>
      <w:r w:rsidR="001C2AD1">
        <w:rPr>
          <w:sz w:val="26"/>
          <w:szCs w:val="26"/>
        </w:rPr>
        <w:t>despite eight years of data collection on interstate IPCS rates, the FCC in its Third Order</w:t>
      </w:r>
      <w:r w:rsidR="003876A9">
        <w:rPr>
          <w:sz w:val="26"/>
          <w:szCs w:val="26"/>
        </w:rPr>
        <w:t xml:space="preserve"> acknowledges that it has not</w:t>
      </w:r>
      <w:r w:rsidR="00A916D5">
        <w:rPr>
          <w:sz w:val="26"/>
          <w:szCs w:val="26"/>
        </w:rPr>
        <w:t xml:space="preserve"> </w:t>
      </w:r>
      <w:r w:rsidR="005C14ED">
        <w:rPr>
          <w:sz w:val="26"/>
          <w:szCs w:val="26"/>
        </w:rPr>
        <w:t xml:space="preserve">yet </w:t>
      </w:r>
      <w:r w:rsidR="00A916D5">
        <w:rPr>
          <w:sz w:val="26"/>
          <w:szCs w:val="26"/>
        </w:rPr>
        <w:t xml:space="preserve">been able to collect standardized and </w:t>
      </w:r>
      <w:r w:rsidR="005C14ED">
        <w:rPr>
          <w:sz w:val="26"/>
          <w:szCs w:val="26"/>
        </w:rPr>
        <w:t xml:space="preserve">what it considers to be </w:t>
      </w:r>
      <w:r w:rsidR="00B730A4">
        <w:rPr>
          <w:sz w:val="26"/>
          <w:szCs w:val="26"/>
        </w:rPr>
        <w:t xml:space="preserve">complete and </w:t>
      </w:r>
      <w:r w:rsidR="00A916D5">
        <w:rPr>
          <w:sz w:val="26"/>
          <w:szCs w:val="26"/>
        </w:rPr>
        <w:t xml:space="preserve">accurate IPCS </w:t>
      </w:r>
      <w:r w:rsidR="003876A9">
        <w:rPr>
          <w:sz w:val="26"/>
          <w:szCs w:val="26"/>
        </w:rPr>
        <w:t xml:space="preserve">cost data </w:t>
      </w:r>
      <w:r w:rsidR="003876A9">
        <w:rPr>
          <w:sz w:val="26"/>
          <w:szCs w:val="26"/>
        </w:rPr>
        <w:lastRenderedPageBreak/>
        <w:t>by IPCS providers</w:t>
      </w:r>
      <w:r w:rsidR="00A916D5">
        <w:rPr>
          <w:sz w:val="26"/>
          <w:szCs w:val="26"/>
        </w:rPr>
        <w:t xml:space="preserve">.  The reasons the FCC offers for this include the </w:t>
      </w:r>
      <w:r w:rsidRPr="009444BE" w:rsidR="00A916D5">
        <w:rPr>
          <w:sz w:val="26"/>
          <w:szCs w:val="26"/>
        </w:rPr>
        <w:t>failure of GTL to submit data</w:t>
      </w:r>
      <w:r w:rsidRPr="009444BE" w:rsidR="005818E4">
        <w:rPr>
          <w:sz w:val="26"/>
          <w:szCs w:val="26"/>
        </w:rPr>
        <w:t xml:space="preserve"> </w:t>
      </w:r>
      <w:r w:rsidR="002F2D26">
        <w:rPr>
          <w:sz w:val="26"/>
          <w:szCs w:val="26"/>
        </w:rPr>
        <w:t>reflect</w:t>
      </w:r>
      <w:r w:rsidR="005C14ED">
        <w:rPr>
          <w:sz w:val="26"/>
          <w:szCs w:val="26"/>
        </w:rPr>
        <w:t>ing</w:t>
      </w:r>
      <w:r w:rsidR="002F2D26">
        <w:rPr>
          <w:sz w:val="26"/>
          <w:szCs w:val="26"/>
        </w:rPr>
        <w:t xml:space="preserve"> its actual costs</w:t>
      </w:r>
      <w:r w:rsidR="00A916D5">
        <w:rPr>
          <w:sz w:val="26"/>
          <w:szCs w:val="26"/>
        </w:rPr>
        <w:t>,</w:t>
      </w:r>
      <w:r w:rsidR="002F2D26">
        <w:rPr>
          <w:rStyle w:val="FootnoteReference"/>
          <w:sz w:val="26"/>
          <w:szCs w:val="26"/>
        </w:rPr>
        <w:footnoteReference w:id="191"/>
      </w:r>
      <w:r w:rsidR="00A916D5">
        <w:rPr>
          <w:sz w:val="26"/>
          <w:szCs w:val="26"/>
        </w:rPr>
        <w:t xml:space="preserve"> the absence of a </w:t>
      </w:r>
      <w:r w:rsidR="00B662A5">
        <w:rPr>
          <w:sz w:val="26"/>
          <w:szCs w:val="26"/>
        </w:rPr>
        <w:t>standardized approach</w:t>
      </w:r>
      <w:r w:rsidR="00A916D5">
        <w:rPr>
          <w:sz w:val="26"/>
          <w:szCs w:val="26"/>
        </w:rPr>
        <w:t xml:space="preserve"> for providers to</w:t>
      </w:r>
      <w:r w:rsidR="00B662A5">
        <w:rPr>
          <w:sz w:val="26"/>
          <w:szCs w:val="26"/>
        </w:rPr>
        <w:t xml:space="preserve"> </w:t>
      </w:r>
      <w:r w:rsidR="001C1BA9">
        <w:rPr>
          <w:sz w:val="26"/>
          <w:szCs w:val="26"/>
        </w:rPr>
        <w:t>allocat</w:t>
      </w:r>
      <w:r w:rsidR="00B662A5">
        <w:rPr>
          <w:sz w:val="26"/>
          <w:szCs w:val="26"/>
        </w:rPr>
        <w:t xml:space="preserve">e </w:t>
      </w:r>
      <w:r w:rsidR="001C1BA9">
        <w:rPr>
          <w:sz w:val="26"/>
          <w:szCs w:val="26"/>
        </w:rPr>
        <w:t xml:space="preserve">“indirect” </w:t>
      </w:r>
      <w:r w:rsidR="00A916D5">
        <w:rPr>
          <w:sz w:val="26"/>
          <w:szCs w:val="26"/>
        </w:rPr>
        <w:t xml:space="preserve">and “direct” IPCS </w:t>
      </w:r>
      <w:r w:rsidR="001C1BA9">
        <w:rPr>
          <w:sz w:val="26"/>
          <w:szCs w:val="26"/>
        </w:rPr>
        <w:t>costs,</w:t>
      </w:r>
      <w:r w:rsidR="000E3ADC">
        <w:rPr>
          <w:rStyle w:val="FootnoteReference"/>
          <w:sz w:val="26"/>
          <w:szCs w:val="26"/>
        </w:rPr>
        <w:footnoteReference w:id="192"/>
      </w:r>
      <w:r w:rsidR="00A916D5">
        <w:rPr>
          <w:sz w:val="26"/>
          <w:szCs w:val="26"/>
        </w:rPr>
        <w:t xml:space="preserve"> and providers’ failure to provide data as requested</w:t>
      </w:r>
      <w:r w:rsidR="001C1BA9">
        <w:rPr>
          <w:sz w:val="26"/>
          <w:szCs w:val="26"/>
        </w:rPr>
        <w:t>.</w:t>
      </w:r>
      <w:r w:rsidR="001C1BA9">
        <w:rPr>
          <w:rStyle w:val="FootnoteReference"/>
          <w:sz w:val="26"/>
          <w:szCs w:val="26"/>
        </w:rPr>
        <w:footnoteReference w:id="193"/>
      </w:r>
      <w:r w:rsidR="001C1BA9">
        <w:rPr>
          <w:sz w:val="26"/>
          <w:szCs w:val="26"/>
        </w:rPr>
        <w:t xml:space="preserve">  </w:t>
      </w:r>
      <w:r w:rsidR="4ADF4FBB">
        <w:rPr>
          <w:sz w:val="26"/>
          <w:szCs w:val="26"/>
        </w:rPr>
        <w:t>D</w:t>
      </w:r>
      <w:r w:rsidR="69514B77">
        <w:rPr>
          <w:sz w:val="26"/>
          <w:szCs w:val="26"/>
        </w:rPr>
        <w:t>eferring</w:t>
      </w:r>
      <w:r w:rsidR="00B662A5">
        <w:rPr>
          <w:sz w:val="26"/>
          <w:szCs w:val="26"/>
        </w:rPr>
        <w:t xml:space="preserve"> action</w:t>
      </w:r>
      <w:r w:rsidR="00EF314E">
        <w:rPr>
          <w:sz w:val="26"/>
          <w:szCs w:val="26"/>
        </w:rPr>
        <w:t xml:space="preserve"> to address current unjust and unreasonable IPCS rates</w:t>
      </w:r>
      <w:r w:rsidR="00B662A5">
        <w:rPr>
          <w:sz w:val="26"/>
          <w:szCs w:val="26"/>
        </w:rPr>
        <w:t xml:space="preserve"> </w:t>
      </w:r>
      <w:r w:rsidR="002D3A6A">
        <w:rPr>
          <w:sz w:val="26"/>
          <w:szCs w:val="26"/>
        </w:rPr>
        <w:t xml:space="preserve">until Commission staff </w:t>
      </w:r>
      <w:r w:rsidR="006D6AAC">
        <w:rPr>
          <w:sz w:val="26"/>
          <w:szCs w:val="26"/>
        </w:rPr>
        <w:t xml:space="preserve">are able to </w:t>
      </w:r>
      <w:r w:rsidR="00962A1C">
        <w:rPr>
          <w:sz w:val="26"/>
          <w:szCs w:val="26"/>
        </w:rPr>
        <w:t>collect</w:t>
      </w:r>
      <w:r w:rsidR="002D3A6A">
        <w:rPr>
          <w:sz w:val="26"/>
          <w:szCs w:val="26"/>
        </w:rPr>
        <w:t xml:space="preserve"> and analyze detailed cost data</w:t>
      </w:r>
      <w:r w:rsidR="00B662A5">
        <w:rPr>
          <w:sz w:val="26"/>
          <w:szCs w:val="26"/>
        </w:rPr>
        <w:t xml:space="preserve"> across 3</w:t>
      </w:r>
      <w:r w:rsidR="00824891">
        <w:rPr>
          <w:sz w:val="26"/>
          <w:szCs w:val="26"/>
        </w:rPr>
        <w:t>54</w:t>
      </w:r>
      <w:r w:rsidR="00B662A5">
        <w:rPr>
          <w:sz w:val="26"/>
          <w:szCs w:val="26"/>
        </w:rPr>
        <w:t xml:space="preserve"> </w:t>
      </w:r>
      <w:r w:rsidR="005C14ED">
        <w:rPr>
          <w:sz w:val="26"/>
          <w:szCs w:val="26"/>
        </w:rPr>
        <w:t xml:space="preserve">incarceration </w:t>
      </w:r>
      <w:r w:rsidR="00B662A5">
        <w:rPr>
          <w:sz w:val="26"/>
          <w:szCs w:val="26"/>
        </w:rPr>
        <w:t xml:space="preserve">facilities </w:t>
      </w:r>
      <w:r w:rsidR="00A916D5">
        <w:rPr>
          <w:sz w:val="26"/>
          <w:szCs w:val="26"/>
        </w:rPr>
        <w:t>is</w:t>
      </w:r>
      <w:r w:rsidR="5CE705DB">
        <w:rPr>
          <w:sz w:val="26"/>
          <w:szCs w:val="26"/>
        </w:rPr>
        <w:t xml:space="preserve"> an</w:t>
      </w:r>
      <w:r w:rsidR="00A916D5">
        <w:rPr>
          <w:sz w:val="26"/>
          <w:szCs w:val="26"/>
        </w:rPr>
        <w:t xml:space="preserve"> </w:t>
      </w:r>
      <w:r w:rsidR="00B662A5">
        <w:rPr>
          <w:sz w:val="26"/>
          <w:szCs w:val="26"/>
        </w:rPr>
        <w:t>unacceptable</w:t>
      </w:r>
      <w:r w:rsidR="00A916D5">
        <w:rPr>
          <w:sz w:val="26"/>
          <w:szCs w:val="26"/>
        </w:rPr>
        <w:t xml:space="preserve"> outcome for the incarcerated and their families</w:t>
      </w:r>
      <w:r w:rsidR="00FB3313">
        <w:rPr>
          <w:sz w:val="26"/>
          <w:szCs w:val="26"/>
        </w:rPr>
        <w:t xml:space="preserve"> and we decline to take this step. </w:t>
      </w:r>
    </w:p>
    <w:p w:rsidR="00F84627" w:rsidP="00BA44DF" w:rsidRDefault="00F84627" w14:paraId="2E411C4A" w14:textId="791FE1B7">
      <w:pPr>
        <w:pStyle w:val="Standard"/>
        <w:ind w:firstLine="720"/>
        <w:rPr>
          <w:sz w:val="26"/>
          <w:szCs w:val="26"/>
        </w:rPr>
      </w:pPr>
      <w:r>
        <w:rPr>
          <w:sz w:val="26"/>
          <w:szCs w:val="26"/>
        </w:rPr>
        <w:t xml:space="preserve">We do not adopt the </w:t>
      </w:r>
      <w:r w:rsidR="00D94188">
        <w:rPr>
          <w:sz w:val="26"/>
          <w:szCs w:val="26"/>
        </w:rPr>
        <w:t xml:space="preserve">$0.07 per minute </w:t>
      </w:r>
      <w:r>
        <w:rPr>
          <w:sz w:val="26"/>
          <w:szCs w:val="26"/>
        </w:rPr>
        <w:t xml:space="preserve">rate </w:t>
      </w:r>
      <w:r w:rsidR="00D94188">
        <w:rPr>
          <w:sz w:val="26"/>
          <w:szCs w:val="26"/>
        </w:rPr>
        <w:t xml:space="preserve">cap </w:t>
      </w:r>
      <w:r>
        <w:rPr>
          <w:sz w:val="26"/>
          <w:szCs w:val="26"/>
        </w:rPr>
        <w:t>as a benchmark above which parties may apply a higher rate up to a reasonable limit or allow for IPCS providers to apply for a waiver, as re</w:t>
      </w:r>
      <w:r w:rsidR="00EB3386">
        <w:rPr>
          <w:sz w:val="26"/>
          <w:szCs w:val="26"/>
        </w:rPr>
        <w:t>quested</w:t>
      </w:r>
      <w:r>
        <w:rPr>
          <w:sz w:val="26"/>
          <w:szCs w:val="26"/>
        </w:rPr>
        <w:t xml:space="preserve"> by Securus</w:t>
      </w:r>
      <w:r w:rsidR="002D2575">
        <w:rPr>
          <w:sz w:val="26"/>
          <w:szCs w:val="26"/>
        </w:rPr>
        <w:t xml:space="preserve">. Our goal in this </w:t>
      </w:r>
      <w:r w:rsidRPr="004D2363" w:rsidR="004D2363">
        <w:rPr>
          <w:sz w:val="26"/>
          <w:szCs w:val="26"/>
        </w:rPr>
        <w:t xml:space="preserve">phase of the proceeding is to establish an interim rate based on the record we have before us.  Implementing a waiver process would likely cause unnecessary delay in implementing the interim rate we establish in this decision and would impede the provision of immediate relief for incarcerated persons and their loved ones.  </w:t>
      </w:r>
      <w:r w:rsidR="00CA4C0E">
        <w:rPr>
          <w:sz w:val="26"/>
          <w:szCs w:val="26"/>
        </w:rPr>
        <w:t>Instead, we will focus on adopting a permanent rate later in this proceeding.</w:t>
      </w:r>
      <w:r w:rsidR="00443FD4">
        <w:rPr>
          <w:sz w:val="26"/>
          <w:szCs w:val="26"/>
        </w:rPr>
        <w:t xml:space="preserve">  </w:t>
      </w:r>
    </w:p>
    <w:p w:rsidR="00A25D5D" w:rsidP="00BA44DF" w:rsidRDefault="00A25D5D" w14:paraId="4E8E2838" w14:textId="28ED6DC8">
      <w:pPr>
        <w:pStyle w:val="Standard"/>
        <w:ind w:firstLine="720"/>
        <w:rPr>
          <w:sz w:val="26"/>
          <w:szCs w:val="26"/>
        </w:rPr>
      </w:pPr>
      <w:r>
        <w:rPr>
          <w:sz w:val="26"/>
          <w:szCs w:val="26"/>
        </w:rPr>
        <w:t xml:space="preserve">Finally, we do not </w:t>
      </w:r>
      <w:proofErr w:type="gramStart"/>
      <w:r w:rsidR="00D9750F">
        <w:rPr>
          <w:sz w:val="26"/>
          <w:szCs w:val="26"/>
        </w:rPr>
        <w:t>at this time</w:t>
      </w:r>
      <w:proofErr w:type="gramEnd"/>
      <w:r w:rsidR="00D9750F">
        <w:rPr>
          <w:sz w:val="26"/>
          <w:szCs w:val="26"/>
        </w:rPr>
        <w:t xml:space="preserve"> take up the s</w:t>
      </w:r>
      <w:r w:rsidR="00DA7A6B">
        <w:rPr>
          <w:sz w:val="26"/>
          <w:szCs w:val="26"/>
        </w:rPr>
        <w:t xml:space="preserve">uggestion of several parties to require IPCS providers to provide </w:t>
      </w:r>
      <w:r w:rsidR="00D27136">
        <w:rPr>
          <w:sz w:val="26"/>
          <w:szCs w:val="26"/>
        </w:rPr>
        <w:t xml:space="preserve">incarcerated persons </w:t>
      </w:r>
      <w:r w:rsidR="00DA7A6B">
        <w:rPr>
          <w:sz w:val="26"/>
          <w:szCs w:val="26"/>
        </w:rPr>
        <w:t>one free call per week or month</w:t>
      </w:r>
      <w:r w:rsidR="00D27136">
        <w:rPr>
          <w:sz w:val="26"/>
          <w:szCs w:val="26"/>
        </w:rPr>
        <w:t xml:space="preserve">.  </w:t>
      </w:r>
      <w:r w:rsidR="004B1703">
        <w:rPr>
          <w:sz w:val="26"/>
          <w:szCs w:val="26"/>
        </w:rPr>
        <w:t xml:space="preserve">The Commission may </w:t>
      </w:r>
      <w:r w:rsidR="00D9750F">
        <w:rPr>
          <w:sz w:val="26"/>
          <w:szCs w:val="26"/>
        </w:rPr>
        <w:t xml:space="preserve">consider this issue </w:t>
      </w:r>
      <w:r w:rsidR="00FC1EA5">
        <w:rPr>
          <w:sz w:val="26"/>
          <w:szCs w:val="26"/>
        </w:rPr>
        <w:t>again later in the proceeding.</w:t>
      </w:r>
    </w:p>
    <w:p w:rsidR="009A2296" w:rsidP="00336A21" w:rsidRDefault="006365A1" w14:paraId="04A74E6E" w14:textId="3B6D0E03">
      <w:pPr>
        <w:pStyle w:val="Standard"/>
        <w:ind w:firstLine="720"/>
        <w:rPr>
          <w:sz w:val="26"/>
          <w:szCs w:val="26"/>
        </w:rPr>
      </w:pPr>
      <w:r>
        <w:rPr>
          <w:sz w:val="26"/>
          <w:szCs w:val="26"/>
        </w:rPr>
        <w:t xml:space="preserve">We choose a 45-day implementation timeline for our adopted rate cap because this is a reasonable period that allows for noticing and contract renegotiations, where required, while timely providing relief to the incarcerated and their families on an issue of longstanding importance.  </w:t>
      </w:r>
    </w:p>
    <w:p w:rsidR="002740AA" w:rsidP="002740AA" w:rsidRDefault="00DA21A1" w14:paraId="60F1BC98" w14:textId="79D6C808">
      <w:pPr>
        <w:pStyle w:val="Standard"/>
        <w:ind w:firstLine="720"/>
        <w:rPr>
          <w:sz w:val="26"/>
          <w:szCs w:val="26"/>
        </w:rPr>
      </w:pPr>
      <w:r>
        <w:rPr>
          <w:sz w:val="26"/>
          <w:szCs w:val="26"/>
        </w:rPr>
        <w:lastRenderedPageBreak/>
        <w:t>We direct a</w:t>
      </w:r>
      <w:r w:rsidR="001F55C2">
        <w:rPr>
          <w:sz w:val="26"/>
          <w:szCs w:val="26"/>
        </w:rPr>
        <w:t xml:space="preserve">ll </w:t>
      </w:r>
      <w:r w:rsidR="00F82D6E">
        <w:rPr>
          <w:sz w:val="26"/>
          <w:szCs w:val="26"/>
        </w:rPr>
        <w:t xml:space="preserve">telephone corporations providing </w:t>
      </w:r>
      <w:r w:rsidR="001F55C2">
        <w:rPr>
          <w:sz w:val="26"/>
          <w:szCs w:val="26"/>
        </w:rPr>
        <w:t xml:space="preserve">intrastate IPCS as defined </w:t>
      </w:r>
      <w:r w:rsidR="00F85558">
        <w:rPr>
          <w:sz w:val="26"/>
          <w:szCs w:val="26"/>
        </w:rPr>
        <w:t xml:space="preserve">here </w:t>
      </w:r>
      <w:r>
        <w:rPr>
          <w:sz w:val="26"/>
          <w:szCs w:val="26"/>
        </w:rPr>
        <w:t xml:space="preserve">to </w:t>
      </w:r>
      <w:r w:rsidR="001F55C2">
        <w:rPr>
          <w:sz w:val="26"/>
          <w:szCs w:val="26"/>
        </w:rPr>
        <w:t xml:space="preserve">implement our adopted rate cap </w:t>
      </w:r>
      <w:r w:rsidR="00891449">
        <w:rPr>
          <w:sz w:val="26"/>
          <w:szCs w:val="26"/>
        </w:rPr>
        <w:t xml:space="preserve">of $0.07 per minute </w:t>
      </w:r>
      <w:r w:rsidR="00435982">
        <w:rPr>
          <w:sz w:val="26"/>
          <w:szCs w:val="26"/>
        </w:rPr>
        <w:t>or less</w:t>
      </w:r>
      <w:r w:rsidR="0091545B">
        <w:rPr>
          <w:sz w:val="26"/>
          <w:szCs w:val="26"/>
        </w:rPr>
        <w:t xml:space="preserve"> for </w:t>
      </w:r>
      <w:r w:rsidR="001F55C2">
        <w:rPr>
          <w:sz w:val="26"/>
          <w:szCs w:val="26"/>
        </w:rPr>
        <w:t xml:space="preserve">intrastate IPCS calls </w:t>
      </w:r>
      <w:r w:rsidR="0091545B">
        <w:rPr>
          <w:sz w:val="26"/>
          <w:szCs w:val="26"/>
        </w:rPr>
        <w:t xml:space="preserve">across </w:t>
      </w:r>
      <w:proofErr w:type="gramStart"/>
      <w:r w:rsidR="0091545B">
        <w:rPr>
          <w:sz w:val="26"/>
          <w:szCs w:val="26"/>
        </w:rPr>
        <w:t>all of</w:t>
      </w:r>
      <w:proofErr w:type="gramEnd"/>
      <w:r w:rsidR="0091545B">
        <w:rPr>
          <w:sz w:val="26"/>
          <w:szCs w:val="26"/>
        </w:rPr>
        <w:t xml:space="preserve"> their intrastate IPCS contracts, accounts, and facilities in California </w:t>
      </w:r>
      <w:r w:rsidR="001F55C2">
        <w:rPr>
          <w:sz w:val="26"/>
          <w:szCs w:val="26"/>
        </w:rPr>
        <w:t xml:space="preserve">no later than 45 days from Commission issuance of this decision.  The rate caps shall be applied to </w:t>
      </w:r>
      <w:proofErr w:type="gramStart"/>
      <w:r w:rsidR="001F55C2">
        <w:rPr>
          <w:sz w:val="26"/>
          <w:szCs w:val="26"/>
        </w:rPr>
        <w:t xml:space="preserve">any </w:t>
      </w:r>
      <w:r w:rsidR="00F82D6E">
        <w:rPr>
          <w:sz w:val="26"/>
          <w:szCs w:val="26"/>
        </w:rPr>
        <w:t>and all</w:t>
      </w:r>
      <w:proofErr w:type="gramEnd"/>
      <w:r w:rsidR="00F82D6E">
        <w:rPr>
          <w:sz w:val="26"/>
          <w:szCs w:val="26"/>
        </w:rPr>
        <w:t xml:space="preserve"> </w:t>
      </w:r>
      <w:r w:rsidR="001F55C2">
        <w:rPr>
          <w:sz w:val="26"/>
          <w:szCs w:val="26"/>
        </w:rPr>
        <w:t>existing account balances as of the date of implementation, as well as any new account balances or new accounts opened after that date.</w:t>
      </w:r>
      <w:r w:rsidR="00D30884">
        <w:rPr>
          <w:sz w:val="26"/>
          <w:szCs w:val="26"/>
        </w:rPr>
        <w:t xml:space="preserve">  </w:t>
      </w:r>
    </w:p>
    <w:p w:rsidR="00924EEB" w:rsidP="002740AA" w:rsidRDefault="002740AA" w14:paraId="678A7D92" w14:textId="4825959A">
      <w:pPr>
        <w:pStyle w:val="Standard"/>
        <w:ind w:firstLine="720"/>
        <w:rPr>
          <w:sz w:val="26"/>
          <w:szCs w:val="26"/>
        </w:rPr>
      </w:pPr>
      <w:r>
        <w:rPr>
          <w:sz w:val="26"/>
          <w:szCs w:val="26"/>
        </w:rPr>
        <w:t xml:space="preserve">Additionally, </w:t>
      </w:r>
      <w:r w:rsidR="000D1154">
        <w:rPr>
          <w:sz w:val="26"/>
          <w:szCs w:val="26"/>
        </w:rPr>
        <w:t xml:space="preserve">we direct </w:t>
      </w:r>
      <w:r>
        <w:rPr>
          <w:sz w:val="26"/>
          <w:szCs w:val="26"/>
        </w:rPr>
        <w:t>a</w:t>
      </w:r>
      <w:r w:rsidR="001F55C2">
        <w:rPr>
          <w:sz w:val="26"/>
          <w:szCs w:val="26"/>
        </w:rPr>
        <w:t>ll</w:t>
      </w:r>
      <w:r w:rsidDel="00743E56" w:rsidR="001F55C2">
        <w:rPr>
          <w:sz w:val="26"/>
          <w:szCs w:val="26"/>
        </w:rPr>
        <w:t xml:space="preserve"> </w:t>
      </w:r>
      <w:r w:rsidR="00F82D6E">
        <w:rPr>
          <w:sz w:val="26"/>
          <w:szCs w:val="26"/>
        </w:rPr>
        <w:t xml:space="preserve">telephone corporations providing </w:t>
      </w:r>
      <w:r w:rsidR="001F55C2">
        <w:rPr>
          <w:sz w:val="26"/>
          <w:szCs w:val="26"/>
        </w:rPr>
        <w:t xml:space="preserve">intrastate IPCS </w:t>
      </w:r>
      <w:r>
        <w:rPr>
          <w:sz w:val="26"/>
          <w:szCs w:val="26"/>
        </w:rPr>
        <w:t xml:space="preserve">in California </w:t>
      </w:r>
      <w:r w:rsidR="000D1154">
        <w:rPr>
          <w:sz w:val="26"/>
          <w:szCs w:val="26"/>
        </w:rPr>
        <w:t xml:space="preserve">to </w:t>
      </w:r>
      <w:r w:rsidR="001F55C2">
        <w:rPr>
          <w:sz w:val="26"/>
          <w:szCs w:val="26"/>
        </w:rPr>
        <w:t xml:space="preserve">each submit a Notice of Compliance </w:t>
      </w:r>
      <w:r w:rsidR="00924EEB">
        <w:rPr>
          <w:sz w:val="26"/>
          <w:szCs w:val="26"/>
        </w:rPr>
        <w:t xml:space="preserve">within 45 days of Commission issuance of this decision confirming implementation of </w:t>
      </w:r>
      <w:r w:rsidR="00CD3908">
        <w:rPr>
          <w:sz w:val="26"/>
          <w:szCs w:val="26"/>
        </w:rPr>
        <w:t xml:space="preserve">our </w:t>
      </w:r>
      <w:r w:rsidR="00924EEB">
        <w:rPr>
          <w:sz w:val="26"/>
          <w:szCs w:val="26"/>
        </w:rPr>
        <w:t xml:space="preserve">interim </w:t>
      </w:r>
      <w:r w:rsidR="00CD3908">
        <w:rPr>
          <w:sz w:val="26"/>
          <w:szCs w:val="26"/>
        </w:rPr>
        <w:t xml:space="preserve">adopted intrastate IPCS rate </w:t>
      </w:r>
      <w:r w:rsidR="00435982">
        <w:rPr>
          <w:sz w:val="26"/>
          <w:szCs w:val="26"/>
        </w:rPr>
        <w:t xml:space="preserve">cap </w:t>
      </w:r>
      <w:r w:rsidR="00CD3908">
        <w:rPr>
          <w:sz w:val="26"/>
          <w:szCs w:val="26"/>
        </w:rPr>
        <w:t xml:space="preserve">of $0.07 per minute or less </w:t>
      </w:r>
      <w:r w:rsidR="00924EEB">
        <w:rPr>
          <w:sz w:val="26"/>
          <w:szCs w:val="26"/>
        </w:rPr>
        <w:t xml:space="preserve">across </w:t>
      </w:r>
      <w:proofErr w:type="gramStart"/>
      <w:r w:rsidR="00924EEB">
        <w:rPr>
          <w:sz w:val="26"/>
          <w:szCs w:val="26"/>
        </w:rPr>
        <w:t>all of</w:t>
      </w:r>
      <w:proofErr w:type="gramEnd"/>
      <w:r w:rsidR="00924EEB">
        <w:rPr>
          <w:sz w:val="26"/>
          <w:szCs w:val="26"/>
        </w:rPr>
        <w:t xml:space="preserve"> their intrastate IPCS contracts, accounts, and facilities in California, and including the following information:</w:t>
      </w:r>
    </w:p>
    <w:p w:rsidRPr="00816B0C" w:rsidR="004652CC" w:rsidP="00816B0C" w:rsidRDefault="004652CC" w14:paraId="0BBD1CD4" w14:textId="542FEDEA">
      <w:pPr>
        <w:pStyle w:val="Standard"/>
        <w:numPr>
          <w:ilvl w:val="0"/>
          <w:numId w:val="25"/>
        </w:numPr>
        <w:spacing w:after="120" w:line="240" w:lineRule="auto"/>
        <w:ind w:left="1224" w:right="1440" w:hanging="374"/>
        <w:rPr>
          <w:sz w:val="26"/>
          <w:szCs w:val="26"/>
        </w:rPr>
      </w:pPr>
      <w:r w:rsidRPr="00816B0C">
        <w:rPr>
          <w:sz w:val="26"/>
          <w:szCs w:val="26"/>
        </w:rPr>
        <w:t xml:space="preserve">Attestation that the interim intrastate IPCS rates have been implemented at </w:t>
      </w:r>
      <w:proofErr w:type="gramStart"/>
      <w:r w:rsidRPr="00816B0C">
        <w:rPr>
          <w:sz w:val="26"/>
          <w:szCs w:val="26"/>
        </w:rPr>
        <w:t>any and all</w:t>
      </w:r>
      <w:proofErr w:type="gramEnd"/>
      <w:r w:rsidRPr="00816B0C">
        <w:rPr>
          <w:sz w:val="26"/>
          <w:szCs w:val="26"/>
        </w:rPr>
        <w:t xml:space="preserve"> facilities served by the carrier in California.</w:t>
      </w:r>
    </w:p>
    <w:p w:rsidRPr="00816B0C" w:rsidR="004652CC" w:rsidP="00816B0C" w:rsidRDefault="004652CC" w14:paraId="71079FC5" w14:textId="31E6512E">
      <w:pPr>
        <w:pStyle w:val="Standard"/>
        <w:numPr>
          <w:ilvl w:val="0"/>
          <w:numId w:val="25"/>
        </w:numPr>
        <w:spacing w:after="120" w:line="240" w:lineRule="auto"/>
        <w:ind w:left="1224" w:right="1440" w:hanging="374"/>
        <w:rPr>
          <w:sz w:val="26"/>
          <w:szCs w:val="26"/>
        </w:rPr>
      </w:pPr>
      <w:r w:rsidRPr="00816B0C">
        <w:rPr>
          <w:sz w:val="26"/>
          <w:szCs w:val="26"/>
        </w:rPr>
        <w:t>Copies of or links to carrier webpages where the interim intrastate IPCS rates are presented for facilities located in California.</w:t>
      </w:r>
    </w:p>
    <w:p w:rsidRPr="00816B0C" w:rsidR="004652CC" w:rsidP="00816B0C" w:rsidRDefault="004652CC" w14:paraId="4C892F98" w14:textId="43B111AA">
      <w:pPr>
        <w:pStyle w:val="Standard"/>
        <w:numPr>
          <w:ilvl w:val="0"/>
          <w:numId w:val="25"/>
        </w:numPr>
        <w:spacing w:after="120" w:line="240" w:lineRule="auto"/>
        <w:ind w:left="1224" w:right="1440" w:hanging="374"/>
        <w:rPr>
          <w:sz w:val="26"/>
          <w:szCs w:val="26"/>
        </w:rPr>
      </w:pPr>
      <w:r w:rsidRPr="00816B0C">
        <w:rPr>
          <w:sz w:val="26"/>
          <w:szCs w:val="26"/>
        </w:rPr>
        <w:t>Copies of notices provided to facilities of the interim intrastate IPCS rates.</w:t>
      </w:r>
    </w:p>
    <w:p w:rsidRPr="00816B0C" w:rsidR="004652CC" w:rsidP="00816B0C" w:rsidRDefault="004652CC" w14:paraId="508D7D1A" w14:textId="6AB6E25D">
      <w:pPr>
        <w:pStyle w:val="Standard"/>
        <w:numPr>
          <w:ilvl w:val="0"/>
          <w:numId w:val="25"/>
        </w:numPr>
        <w:spacing w:after="120" w:line="240" w:lineRule="auto"/>
        <w:ind w:left="1224" w:right="1440" w:hanging="374"/>
        <w:rPr>
          <w:sz w:val="26"/>
          <w:szCs w:val="26"/>
        </w:rPr>
      </w:pPr>
      <w:r w:rsidRPr="00816B0C">
        <w:rPr>
          <w:sz w:val="26"/>
          <w:szCs w:val="26"/>
        </w:rPr>
        <w:t>Copies of notices to incarcerated persons of the interim intrastate IPCS rates.</w:t>
      </w:r>
    </w:p>
    <w:p w:rsidRPr="000E395A" w:rsidR="00F31F50" w:rsidP="00F31F50" w:rsidRDefault="00F52515" w14:paraId="3603E4C5" w14:textId="6A84B41B">
      <w:pPr>
        <w:pStyle w:val="Standard"/>
        <w:ind w:firstLine="720"/>
        <w:rPr>
          <w:sz w:val="26"/>
          <w:szCs w:val="26"/>
        </w:rPr>
      </w:pPr>
      <w:r>
        <w:rPr>
          <w:sz w:val="26"/>
          <w:szCs w:val="26"/>
        </w:rPr>
        <w:t xml:space="preserve">We direct all </w:t>
      </w:r>
      <w:r w:rsidR="006D697E">
        <w:rPr>
          <w:sz w:val="26"/>
          <w:szCs w:val="26"/>
        </w:rPr>
        <w:t xml:space="preserve">telephone corporations providing </w:t>
      </w:r>
      <w:r>
        <w:rPr>
          <w:sz w:val="26"/>
          <w:szCs w:val="26"/>
        </w:rPr>
        <w:t>IPCS</w:t>
      </w:r>
      <w:r w:rsidR="00031A63">
        <w:rPr>
          <w:sz w:val="26"/>
          <w:szCs w:val="26"/>
        </w:rPr>
        <w:t xml:space="preserve"> </w:t>
      </w:r>
      <w:r w:rsidR="00F31F50">
        <w:rPr>
          <w:sz w:val="26"/>
          <w:szCs w:val="26"/>
        </w:rPr>
        <w:t>to fully disclose the</w:t>
      </w:r>
      <w:r w:rsidR="006D697E">
        <w:rPr>
          <w:sz w:val="26"/>
          <w:szCs w:val="26"/>
        </w:rPr>
        <w:t xml:space="preserve"> adopted </w:t>
      </w:r>
      <w:r w:rsidR="00F31F50">
        <w:rPr>
          <w:sz w:val="26"/>
          <w:szCs w:val="26"/>
        </w:rPr>
        <w:t>rates on their websites, bills, and in marketing material by no later than 45 days from Commission issuance of this decision</w:t>
      </w:r>
      <w:r w:rsidR="00824891">
        <w:rPr>
          <w:sz w:val="26"/>
          <w:szCs w:val="26"/>
        </w:rPr>
        <w:t xml:space="preserve"> and to </w:t>
      </w:r>
      <w:r w:rsidRPr="002B665B" w:rsidR="00FB0A79">
        <w:rPr>
          <w:sz w:val="26"/>
          <w:szCs w:val="26"/>
        </w:rPr>
        <w:t xml:space="preserve">maintain information on </w:t>
      </w:r>
      <w:r w:rsidR="00ED2FAA">
        <w:rPr>
          <w:sz w:val="26"/>
          <w:szCs w:val="26"/>
        </w:rPr>
        <w:t>the adopted rate</w:t>
      </w:r>
      <w:r w:rsidRPr="002B665B" w:rsidR="00FB0A79">
        <w:rPr>
          <w:sz w:val="26"/>
          <w:szCs w:val="26"/>
        </w:rPr>
        <w:t xml:space="preserve"> </w:t>
      </w:r>
      <w:r w:rsidR="0098654B">
        <w:rPr>
          <w:sz w:val="26"/>
          <w:szCs w:val="26"/>
        </w:rPr>
        <w:t xml:space="preserve">clearly and prominently </w:t>
      </w:r>
      <w:r w:rsidRPr="002B665B" w:rsidR="00FB0A79">
        <w:rPr>
          <w:sz w:val="26"/>
          <w:szCs w:val="26"/>
        </w:rPr>
        <w:t>on their websites.</w:t>
      </w:r>
    </w:p>
    <w:p w:rsidR="00885ED0" w:rsidP="00885ED0" w:rsidRDefault="00F31F50" w14:paraId="2B43432B" w14:textId="090DA32B">
      <w:pPr>
        <w:pStyle w:val="Standard"/>
        <w:ind w:firstLine="720"/>
        <w:rPr>
          <w:sz w:val="26"/>
          <w:szCs w:val="26"/>
        </w:rPr>
      </w:pPr>
      <w:r>
        <w:rPr>
          <w:sz w:val="26"/>
          <w:szCs w:val="26"/>
        </w:rPr>
        <w:lastRenderedPageBreak/>
        <w:t xml:space="preserve">We </w:t>
      </w:r>
      <w:r w:rsidR="00B11333">
        <w:rPr>
          <w:sz w:val="26"/>
          <w:szCs w:val="26"/>
        </w:rPr>
        <w:t>direct all IPCS providers</w:t>
      </w:r>
      <w:r w:rsidR="00031A63">
        <w:rPr>
          <w:sz w:val="26"/>
          <w:szCs w:val="26"/>
        </w:rPr>
        <w:t xml:space="preserve"> as defined in this decision </w:t>
      </w:r>
      <w:r w:rsidR="00B11333">
        <w:rPr>
          <w:sz w:val="26"/>
          <w:szCs w:val="26"/>
        </w:rPr>
        <w:t xml:space="preserve">to </w:t>
      </w:r>
      <w:r w:rsidRPr="001D42F6" w:rsidR="001D42F6">
        <w:rPr>
          <w:sz w:val="26"/>
          <w:szCs w:val="26"/>
        </w:rPr>
        <w:t xml:space="preserve">provide </w:t>
      </w:r>
      <w:r w:rsidR="002574A6">
        <w:rPr>
          <w:sz w:val="26"/>
          <w:szCs w:val="26"/>
        </w:rPr>
        <w:t>their</w:t>
      </w:r>
      <w:r w:rsidRPr="001D42F6" w:rsidR="001D42F6">
        <w:rPr>
          <w:sz w:val="26"/>
          <w:szCs w:val="26"/>
        </w:rPr>
        <w:t xml:space="preserve"> draft notices of the adopted rates, terms and conditions, refund policies and customer service contacts for websites, bill inserts, </w:t>
      </w:r>
      <w:r w:rsidR="00CD6374">
        <w:rPr>
          <w:sz w:val="26"/>
          <w:szCs w:val="26"/>
        </w:rPr>
        <w:t xml:space="preserve">and </w:t>
      </w:r>
      <w:r w:rsidRPr="001D42F6" w:rsidR="001D42F6">
        <w:rPr>
          <w:sz w:val="26"/>
          <w:szCs w:val="26"/>
        </w:rPr>
        <w:t xml:space="preserve">marketing materials to the Commission for review </w:t>
      </w:r>
      <w:r w:rsidR="00756EFD">
        <w:rPr>
          <w:sz w:val="26"/>
          <w:szCs w:val="26"/>
        </w:rPr>
        <w:t xml:space="preserve">no later than </w:t>
      </w:r>
      <w:r w:rsidRPr="001D42F6" w:rsidR="001D42F6">
        <w:rPr>
          <w:sz w:val="26"/>
          <w:szCs w:val="26"/>
        </w:rPr>
        <w:t xml:space="preserve">30 days </w:t>
      </w:r>
      <w:r w:rsidR="00756EFD">
        <w:rPr>
          <w:sz w:val="26"/>
          <w:szCs w:val="26"/>
        </w:rPr>
        <w:t xml:space="preserve">from Commission issuance of this decision. </w:t>
      </w:r>
      <w:r w:rsidR="00E66B1F">
        <w:rPr>
          <w:sz w:val="26"/>
          <w:szCs w:val="26"/>
        </w:rPr>
        <w:t xml:space="preserve"> All IPCS providers</w:t>
      </w:r>
      <w:r w:rsidR="00031A63">
        <w:rPr>
          <w:sz w:val="26"/>
          <w:szCs w:val="26"/>
        </w:rPr>
        <w:t xml:space="preserve"> </w:t>
      </w:r>
      <w:r w:rsidR="00E66B1F">
        <w:rPr>
          <w:sz w:val="26"/>
          <w:szCs w:val="26"/>
        </w:rPr>
        <w:t>shall provide</w:t>
      </w:r>
      <w:r w:rsidRPr="001D42F6" w:rsidR="001D42F6">
        <w:rPr>
          <w:sz w:val="26"/>
          <w:szCs w:val="26"/>
        </w:rPr>
        <w:t xml:space="preserve"> </w:t>
      </w:r>
      <w:r w:rsidR="00FB0A79">
        <w:rPr>
          <w:sz w:val="26"/>
          <w:szCs w:val="26"/>
        </w:rPr>
        <w:t>a P</w:t>
      </w:r>
      <w:r w:rsidRPr="001D42F6" w:rsidR="001D42F6">
        <w:rPr>
          <w:sz w:val="26"/>
          <w:szCs w:val="26"/>
        </w:rPr>
        <w:t xml:space="preserve">lan for </w:t>
      </w:r>
      <w:r w:rsidR="00FB0A79">
        <w:rPr>
          <w:sz w:val="26"/>
          <w:szCs w:val="26"/>
        </w:rPr>
        <w:t>N</w:t>
      </w:r>
      <w:r w:rsidRPr="001D42F6" w:rsidR="001D42F6">
        <w:rPr>
          <w:sz w:val="26"/>
          <w:szCs w:val="26"/>
        </w:rPr>
        <w:t>otification to all current and prospective customers and account holders</w:t>
      </w:r>
      <w:r w:rsidR="00FB0A79">
        <w:rPr>
          <w:sz w:val="26"/>
          <w:szCs w:val="26"/>
        </w:rPr>
        <w:t xml:space="preserve"> to the Commission for review no later than 30 days from Commission issuance of this decision</w:t>
      </w:r>
      <w:r w:rsidRPr="001D42F6" w:rsidR="001D42F6">
        <w:rPr>
          <w:sz w:val="26"/>
          <w:szCs w:val="26"/>
        </w:rPr>
        <w:t>.</w:t>
      </w:r>
      <w:r w:rsidR="008444FA">
        <w:rPr>
          <w:sz w:val="26"/>
          <w:szCs w:val="26"/>
        </w:rPr>
        <w:t xml:space="preserve">  </w:t>
      </w:r>
      <w:r w:rsidRPr="008444FA" w:rsidR="008444FA">
        <w:rPr>
          <w:sz w:val="26"/>
          <w:szCs w:val="26"/>
        </w:rPr>
        <w:t>The notices shall provide service-related information in English, Spanish and any other languages prevalent in incarceration facilities</w:t>
      </w:r>
      <w:r w:rsidR="002E5F76">
        <w:rPr>
          <w:sz w:val="26"/>
          <w:szCs w:val="26"/>
        </w:rPr>
        <w:t xml:space="preserve"> and shall </w:t>
      </w:r>
      <w:r w:rsidRPr="73BF4038" w:rsidR="002E5F76">
        <w:rPr>
          <w:rFonts w:eastAsiaTheme="majorEastAsia" w:cstheme="majorBidi"/>
          <w:sz w:val="26"/>
          <w:szCs w:val="26"/>
        </w:rPr>
        <w:t>inform the incarcerated of methods to lodge service quality complaints with the Commission</w:t>
      </w:r>
      <w:r w:rsidR="002E5F76">
        <w:rPr>
          <w:rFonts w:eastAsiaTheme="majorEastAsia" w:cstheme="majorBidi"/>
          <w:sz w:val="26"/>
          <w:szCs w:val="26"/>
        </w:rPr>
        <w:t xml:space="preserve"> as discussed in section 11 below</w:t>
      </w:r>
      <w:r w:rsidRPr="008444FA" w:rsidR="008444FA">
        <w:rPr>
          <w:sz w:val="26"/>
          <w:szCs w:val="26"/>
        </w:rPr>
        <w:t xml:space="preserve">.  </w:t>
      </w:r>
    </w:p>
    <w:p w:rsidR="00795D15" w:rsidP="00885ED0" w:rsidRDefault="002769F8" w14:paraId="060CC6B3" w14:textId="7BBB41C8">
      <w:pPr>
        <w:pStyle w:val="Standard"/>
        <w:ind w:firstLine="720"/>
        <w:rPr>
          <w:sz w:val="26"/>
          <w:szCs w:val="26"/>
        </w:rPr>
      </w:pPr>
      <w:r>
        <w:rPr>
          <w:sz w:val="26"/>
          <w:szCs w:val="26"/>
        </w:rPr>
        <w:t xml:space="preserve">Telephone corporations providing </w:t>
      </w:r>
      <w:r w:rsidR="00DA3DE4">
        <w:rPr>
          <w:sz w:val="26"/>
          <w:szCs w:val="26"/>
        </w:rPr>
        <w:t xml:space="preserve">IPCS not explicitly identified in this decision must </w:t>
      </w:r>
      <w:r w:rsidR="002055CB">
        <w:rPr>
          <w:sz w:val="26"/>
          <w:szCs w:val="26"/>
        </w:rPr>
        <w:t xml:space="preserve">provide </w:t>
      </w:r>
      <w:r w:rsidR="002F09BA">
        <w:rPr>
          <w:sz w:val="26"/>
          <w:szCs w:val="26"/>
        </w:rPr>
        <w:t xml:space="preserve">a Notice of Compliance to the Commission no later than </w:t>
      </w:r>
      <w:r w:rsidR="00385BA1">
        <w:rPr>
          <w:sz w:val="26"/>
          <w:szCs w:val="26"/>
        </w:rPr>
        <w:t>45</w:t>
      </w:r>
      <w:r w:rsidR="002F09BA">
        <w:rPr>
          <w:sz w:val="26"/>
          <w:szCs w:val="26"/>
        </w:rPr>
        <w:t xml:space="preserve"> days after</w:t>
      </w:r>
      <w:r w:rsidR="006E3155">
        <w:rPr>
          <w:sz w:val="26"/>
          <w:szCs w:val="26"/>
        </w:rPr>
        <w:t xml:space="preserve"> </w:t>
      </w:r>
      <w:r w:rsidR="00D64F95">
        <w:rPr>
          <w:sz w:val="26"/>
          <w:szCs w:val="26"/>
        </w:rPr>
        <w:t>executing a contract to provide IPCS in California</w:t>
      </w:r>
      <w:r w:rsidR="00385BA1">
        <w:rPr>
          <w:sz w:val="26"/>
          <w:szCs w:val="26"/>
        </w:rPr>
        <w:t xml:space="preserve">, </w:t>
      </w:r>
      <w:r w:rsidR="00F971BF">
        <w:rPr>
          <w:sz w:val="26"/>
          <w:szCs w:val="26"/>
        </w:rPr>
        <w:t xml:space="preserve">and </w:t>
      </w:r>
      <w:r w:rsidR="00385BA1">
        <w:rPr>
          <w:sz w:val="26"/>
          <w:szCs w:val="26"/>
        </w:rPr>
        <w:t xml:space="preserve">must </w:t>
      </w:r>
      <w:r w:rsidR="002055CB">
        <w:rPr>
          <w:sz w:val="26"/>
          <w:szCs w:val="26"/>
        </w:rPr>
        <w:t xml:space="preserve">provide </w:t>
      </w:r>
      <w:r w:rsidRPr="001D42F6" w:rsidR="00F971BF">
        <w:rPr>
          <w:sz w:val="26"/>
          <w:szCs w:val="26"/>
        </w:rPr>
        <w:t xml:space="preserve">draft notices of the adopted rates, terms and conditions, refund policies and customer service contacts for websites, bill inserts, </w:t>
      </w:r>
      <w:r w:rsidR="00F971BF">
        <w:rPr>
          <w:sz w:val="26"/>
          <w:szCs w:val="26"/>
        </w:rPr>
        <w:t xml:space="preserve">and </w:t>
      </w:r>
      <w:r w:rsidRPr="001D42F6" w:rsidR="00F971BF">
        <w:rPr>
          <w:sz w:val="26"/>
          <w:szCs w:val="26"/>
        </w:rPr>
        <w:t xml:space="preserve">marketing materials to the Commission for review </w:t>
      </w:r>
      <w:r w:rsidR="00F971BF">
        <w:rPr>
          <w:sz w:val="26"/>
          <w:szCs w:val="26"/>
        </w:rPr>
        <w:t xml:space="preserve">no later than </w:t>
      </w:r>
      <w:r w:rsidRPr="001D42F6" w:rsidR="00F971BF">
        <w:rPr>
          <w:sz w:val="26"/>
          <w:szCs w:val="26"/>
        </w:rPr>
        <w:t xml:space="preserve">30 days </w:t>
      </w:r>
      <w:r w:rsidR="002055CB">
        <w:rPr>
          <w:sz w:val="26"/>
          <w:szCs w:val="26"/>
        </w:rPr>
        <w:t>after executing a contract to provide IPCS in California</w:t>
      </w:r>
      <w:r w:rsidR="00F971BF">
        <w:rPr>
          <w:sz w:val="26"/>
          <w:szCs w:val="26"/>
        </w:rPr>
        <w:t xml:space="preserve">. </w:t>
      </w:r>
    </w:p>
    <w:p w:rsidR="00824891" w:rsidP="00885ED0" w:rsidRDefault="00824891" w14:paraId="59D7A106" w14:textId="00B30D1B">
      <w:pPr>
        <w:pStyle w:val="Standard"/>
        <w:ind w:firstLine="720"/>
        <w:rPr>
          <w:sz w:val="26"/>
          <w:szCs w:val="26"/>
        </w:rPr>
      </w:pPr>
      <w:r>
        <w:rPr>
          <w:sz w:val="26"/>
          <w:szCs w:val="26"/>
        </w:rPr>
        <w:t>IPCS providers shall submit the required information via email</w:t>
      </w:r>
      <w:r w:rsidRPr="00824891">
        <w:rPr>
          <w:sz w:val="26"/>
          <w:szCs w:val="26"/>
        </w:rPr>
        <w:t xml:space="preserve"> to the Director of the Communications Division at cddirector@cpuc.ca.gov</w:t>
      </w:r>
      <w:r>
        <w:rPr>
          <w:sz w:val="26"/>
          <w:szCs w:val="26"/>
        </w:rPr>
        <w:t>.</w:t>
      </w:r>
    </w:p>
    <w:p w:rsidRPr="00885ED0" w:rsidR="00824891" w:rsidRDefault="00824891" w14:paraId="76F34309" w14:textId="7FFE6DE9">
      <w:pPr>
        <w:pStyle w:val="Standard"/>
        <w:ind w:firstLine="720"/>
        <w:rPr>
          <w:sz w:val="26"/>
          <w:szCs w:val="26"/>
        </w:rPr>
      </w:pPr>
      <w:r>
        <w:rPr>
          <w:sz w:val="26"/>
          <w:szCs w:val="26"/>
        </w:rPr>
        <w:t xml:space="preserve">All telephone corporations providing intrastate IPCS in California as defined here must comply with the requirements of this decision.  </w:t>
      </w:r>
    </w:p>
    <w:p w:rsidR="00DB5D6D" w:rsidP="003E26B9" w:rsidRDefault="00DB5D6D" w14:paraId="236A5302" w14:textId="72D7EE3E">
      <w:pPr>
        <w:pStyle w:val="Heading1"/>
        <w:numPr>
          <w:ilvl w:val="0"/>
          <w:numId w:val="1"/>
        </w:numPr>
      </w:pPr>
      <w:bookmarkStart w:name="_Toc75435798" w:id="50"/>
      <w:bookmarkStart w:name="_Toc75524804" w:id="51"/>
      <w:bookmarkStart w:name="_Toc80089410" w:id="52"/>
      <w:bookmarkEnd w:id="50"/>
      <w:bookmarkEnd w:id="51"/>
      <w:r>
        <w:t xml:space="preserve">Providing Interim Relief from </w:t>
      </w:r>
      <w:r w:rsidR="00816B0C">
        <w:br/>
      </w:r>
      <w:r>
        <w:t>Ancillary Service Fees</w:t>
      </w:r>
      <w:bookmarkEnd w:id="52"/>
    </w:p>
    <w:p w:rsidRPr="00E446F8" w:rsidR="003D2487" w:rsidP="00A7306E" w:rsidRDefault="00A7306E" w14:paraId="73FC98FD" w14:textId="60EE03B8">
      <w:pPr>
        <w:pStyle w:val="Standard"/>
        <w:ind w:firstLine="720"/>
        <w:rPr>
          <w:sz w:val="26"/>
          <w:szCs w:val="26"/>
        </w:rPr>
      </w:pPr>
      <w:r w:rsidRPr="00E446F8">
        <w:rPr>
          <w:sz w:val="26"/>
          <w:szCs w:val="26"/>
        </w:rPr>
        <w:t xml:space="preserve">As with per-minute rates, the Commission does not currently regulate ancillary fees charged in connection with IPCS in California.  </w:t>
      </w:r>
      <w:r w:rsidRPr="00E446F8" w:rsidR="006C7EE4">
        <w:rPr>
          <w:sz w:val="26"/>
          <w:szCs w:val="26"/>
        </w:rPr>
        <w:t>However, t</w:t>
      </w:r>
      <w:r w:rsidRPr="00E446F8" w:rsidR="00EA2C73">
        <w:rPr>
          <w:sz w:val="26"/>
          <w:szCs w:val="26"/>
        </w:rPr>
        <w:t xml:space="preserve">he </w:t>
      </w:r>
      <w:r w:rsidR="00824891">
        <w:rPr>
          <w:sz w:val="26"/>
          <w:szCs w:val="26"/>
        </w:rPr>
        <w:t xml:space="preserve">OIR </w:t>
      </w:r>
      <w:r w:rsidRPr="00E446F8" w:rsidR="00EA2C73">
        <w:rPr>
          <w:sz w:val="26"/>
          <w:szCs w:val="26"/>
        </w:rPr>
        <w:lastRenderedPageBreak/>
        <w:t>noted reports of high ancillary fees and this topic is included in the Scoping Memo</w:t>
      </w:r>
      <w:r w:rsidR="00C166DD">
        <w:rPr>
          <w:sz w:val="26"/>
          <w:szCs w:val="26"/>
        </w:rPr>
        <w:t xml:space="preserve">.  </w:t>
      </w:r>
      <w:r w:rsidR="00AB70DD">
        <w:rPr>
          <w:sz w:val="26"/>
          <w:szCs w:val="26"/>
        </w:rPr>
        <w:t xml:space="preserve">The April ALJ Ruling </w:t>
      </w:r>
      <w:r w:rsidRPr="00E446F8" w:rsidR="006C7EE4">
        <w:rPr>
          <w:sz w:val="26"/>
          <w:szCs w:val="26"/>
        </w:rPr>
        <w:t>asked:</w:t>
      </w:r>
    </w:p>
    <w:p w:rsidRPr="00BD1DB2" w:rsidR="00E446F8" w:rsidP="00816B0C" w:rsidRDefault="00E446F8" w14:paraId="27F6C869" w14:textId="77777777">
      <w:pPr>
        <w:pStyle w:val="ListBullet"/>
        <w:spacing w:line="240" w:lineRule="auto"/>
        <w:ind w:right="1440"/>
        <w:rPr>
          <w:sz w:val="26"/>
          <w:szCs w:val="26"/>
        </w:rPr>
      </w:pPr>
      <w:r w:rsidRPr="00BD1DB2">
        <w:rPr>
          <w:sz w:val="26"/>
          <w:szCs w:val="26"/>
        </w:rPr>
        <w:t xml:space="preserve">Do parties agree with the Staff Proposal’s recommendation for the Commission to cap ancillary service charges for intrastate inmate calling services, using the FCC’s adopted interim caps as the model? </w:t>
      </w:r>
    </w:p>
    <w:p w:rsidRPr="00BD1DB2" w:rsidR="00E446F8" w:rsidP="00816B0C" w:rsidRDefault="00E446F8" w14:paraId="41731F30" w14:textId="77777777">
      <w:pPr>
        <w:pStyle w:val="ListBullet"/>
        <w:spacing w:line="240" w:lineRule="auto"/>
        <w:ind w:right="1440"/>
        <w:rPr>
          <w:sz w:val="26"/>
          <w:szCs w:val="26"/>
        </w:rPr>
      </w:pPr>
      <w:r w:rsidRPr="00BD1DB2">
        <w:rPr>
          <w:sz w:val="26"/>
          <w:szCs w:val="26"/>
        </w:rPr>
        <w:t xml:space="preserve">Do parties agree with the Staff Proposal’s recommendation that the Commission prohibit carriers from charging any other intrastate calling service fees or ancillary service fees not specified in the Staff Proposal’s summary of FCC interstate ancillary service charge caps? </w:t>
      </w:r>
    </w:p>
    <w:p w:rsidR="00B2358B" w:rsidP="00741EA0" w:rsidRDefault="00E446F8" w14:paraId="1FABD202" w14:textId="0E1D06E4">
      <w:pPr>
        <w:pStyle w:val="Standard"/>
        <w:ind w:firstLine="720"/>
        <w:rPr>
          <w:sz w:val="26"/>
          <w:szCs w:val="26"/>
        </w:rPr>
      </w:pPr>
      <w:r w:rsidRPr="00E446F8">
        <w:rPr>
          <w:sz w:val="26"/>
          <w:szCs w:val="26"/>
        </w:rPr>
        <w:t>Th</w:t>
      </w:r>
      <w:r w:rsidR="00AB70DD">
        <w:rPr>
          <w:sz w:val="26"/>
          <w:szCs w:val="26"/>
        </w:rPr>
        <w:t>is section reviews Staff’s proposal for interim relief from IPCS ancillary service fees</w:t>
      </w:r>
      <w:r w:rsidR="00E96582">
        <w:rPr>
          <w:sz w:val="26"/>
          <w:szCs w:val="26"/>
        </w:rPr>
        <w:t xml:space="preserve">, </w:t>
      </w:r>
      <w:r w:rsidR="007D2087">
        <w:rPr>
          <w:sz w:val="26"/>
          <w:szCs w:val="26"/>
        </w:rPr>
        <w:t xml:space="preserve">additional </w:t>
      </w:r>
      <w:r w:rsidR="00E96582">
        <w:rPr>
          <w:sz w:val="26"/>
          <w:szCs w:val="26"/>
        </w:rPr>
        <w:t>party propo</w:t>
      </w:r>
      <w:r w:rsidR="007D2087">
        <w:rPr>
          <w:sz w:val="26"/>
          <w:szCs w:val="26"/>
        </w:rPr>
        <w:t xml:space="preserve">sals, </w:t>
      </w:r>
      <w:r w:rsidR="00E96582">
        <w:rPr>
          <w:sz w:val="26"/>
          <w:szCs w:val="26"/>
        </w:rPr>
        <w:t>and party comments</w:t>
      </w:r>
      <w:r w:rsidR="00824891">
        <w:rPr>
          <w:sz w:val="26"/>
          <w:szCs w:val="26"/>
        </w:rPr>
        <w:t xml:space="preserve"> and </w:t>
      </w:r>
      <w:r w:rsidR="00080A86">
        <w:rPr>
          <w:sz w:val="26"/>
          <w:szCs w:val="26"/>
        </w:rPr>
        <w:t>adopt</w:t>
      </w:r>
      <w:r w:rsidR="00824891">
        <w:rPr>
          <w:sz w:val="26"/>
          <w:szCs w:val="26"/>
        </w:rPr>
        <w:t>s</w:t>
      </w:r>
      <w:r w:rsidR="00080A86">
        <w:rPr>
          <w:sz w:val="26"/>
          <w:szCs w:val="26"/>
        </w:rPr>
        <w:t xml:space="preserve"> </w:t>
      </w:r>
      <w:r w:rsidR="00B60080">
        <w:rPr>
          <w:sz w:val="26"/>
          <w:szCs w:val="26"/>
        </w:rPr>
        <w:t xml:space="preserve">several interim requirements </w:t>
      </w:r>
      <w:r w:rsidR="00990932">
        <w:rPr>
          <w:sz w:val="26"/>
          <w:szCs w:val="26"/>
        </w:rPr>
        <w:t xml:space="preserve">for </w:t>
      </w:r>
      <w:r w:rsidR="00B60080">
        <w:rPr>
          <w:sz w:val="26"/>
          <w:szCs w:val="26"/>
        </w:rPr>
        <w:t xml:space="preserve">intrastate IPCS ancillary fees.  </w:t>
      </w:r>
    </w:p>
    <w:p w:rsidR="00741EA0" w:rsidP="00741EA0" w:rsidRDefault="00824891" w14:paraId="3F23A4D7" w14:textId="37935813">
      <w:pPr>
        <w:pStyle w:val="Standard"/>
        <w:ind w:firstLine="720"/>
        <w:rPr>
          <w:sz w:val="26"/>
          <w:szCs w:val="26"/>
        </w:rPr>
      </w:pPr>
      <w:r>
        <w:rPr>
          <w:sz w:val="26"/>
          <w:szCs w:val="26"/>
        </w:rPr>
        <w:t>W</w:t>
      </w:r>
      <w:r w:rsidR="00080A86">
        <w:rPr>
          <w:sz w:val="26"/>
          <w:szCs w:val="26"/>
        </w:rPr>
        <w:t>e</w:t>
      </w:r>
      <w:r w:rsidR="007D2087">
        <w:rPr>
          <w:sz w:val="26"/>
          <w:szCs w:val="26"/>
        </w:rPr>
        <w:t xml:space="preserve"> </w:t>
      </w:r>
      <w:r w:rsidR="00741EA0">
        <w:rPr>
          <w:sz w:val="26"/>
          <w:szCs w:val="26"/>
        </w:rPr>
        <w:t>p</w:t>
      </w:r>
      <w:r w:rsidRPr="00886E47" w:rsidR="00741EA0">
        <w:rPr>
          <w:sz w:val="26"/>
          <w:szCs w:val="26"/>
        </w:rPr>
        <w:t xml:space="preserve">rohibit </w:t>
      </w:r>
      <w:r w:rsidR="00741EA0">
        <w:rPr>
          <w:sz w:val="26"/>
          <w:szCs w:val="26"/>
        </w:rPr>
        <w:t xml:space="preserve">the imposition of any </w:t>
      </w:r>
      <w:r w:rsidRPr="00886E47" w:rsidR="00741EA0">
        <w:rPr>
          <w:sz w:val="26"/>
          <w:szCs w:val="26"/>
        </w:rPr>
        <w:t>automated payment fees, paper bill/statement fees, live agent fees, and single-call fees</w:t>
      </w:r>
      <w:r w:rsidR="00741EA0">
        <w:rPr>
          <w:sz w:val="26"/>
          <w:szCs w:val="26"/>
        </w:rPr>
        <w:t xml:space="preserve"> in association with intrastate and jurisdictionally mixed calls</w:t>
      </w:r>
      <w:r w:rsidR="007D2087">
        <w:rPr>
          <w:sz w:val="26"/>
          <w:szCs w:val="26"/>
        </w:rPr>
        <w:t xml:space="preserve"> and </w:t>
      </w:r>
      <w:r w:rsidRPr="00886E47" w:rsidR="00741EA0">
        <w:rPr>
          <w:sz w:val="26"/>
          <w:szCs w:val="26"/>
        </w:rPr>
        <w:t xml:space="preserve">require </w:t>
      </w:r>
      <w:r w:rsidR="00741EA0">
        <w:rPr>
          <w:sz w:val="26"/>
          <w:szCs w:val="26"/>
        </w:rPr>
        <w:t xml:space="preserve">intrastate </w:t>
      </w:r>
      <w:r w:rsidRPr="00886E47" w:rsidR="00741EA0">
        <w:rPr>
          <w:sz w:val="26"/>
          <w:szCs w:val="26"/>
        </w:rPr>
        <w:t>IPCS providers to directly pass through third-party financial transaction fees to consumers with no markup</w:t>
      </w:r>
      <w:r w:rsidR="00741EA0">
        <w:rPr>
          <w:sz w:val="26"/>
          <w:szCs w:val="26"/>
        </w:rPr>
        <w:t>, and to cap these fees at a limit of $6.95 per transaction.</w:t>
      </w:r>
      <w:r w:rsidR="002C5B05">
        <w:rPr>
          <w:sz w:val="26"/>
          <w:szCs w:val="26"/>
        </w:rPr>
        <w:t xml:space="preserve"> </w:t>
      </w:r>
      <w:r w:rsidRPr="230C5864" w:rsidR="2A470CBF">
        <w:rPr>
          <w:sz w:val="26"/>
          <w:szCs w:val="26"/>
        </w:rPr>
        <w:t xml:space="preserve"> </w:t>
      </w:r>
      <w:r w:rsidR="000C60A4">
        <w:rPr>
          <w:sz w:val="26"/>
          <w:szCs w:val="26"/>
        </w:rPr>
        <w:t>We</w:t>
      </w:r>
      <w:r w:rsidR="002C5B05">
        <w:rPr>
          <w:sz w:val="26"/>
          <w:szCs w:val="26"/>
        </w:rPr>
        <w:t xml:space="preserve"> </w:t>
      </w:r>
      <w:r w:rsidR="00741EA0">
        <w:rPr>
          <w:sz w:val="26"/>
          <w:szCs w:val="26"/>
        </w:rPr>
        <w:t>restrict collection of mandatory government taxes and fees in association with intrastate and jurisdictionally mixed calls to pass through without markup</w:t>
      </w:r>
      <w:r w:rsidR="00D2302F">
        <w:rPr>
          <w:sz w:val="26"/>
          <w:szCs w:val="26"/>
        </w:rPr>
        <w:t xml:space="preserve"> and </w:t>
      </w:r>
      <w:r w:rsidR="00741EA0">
        <w:rPr>
          <w:sz w:val="26"/>
          <w:szCs w:val="26"/>
        </w:rPr>
        <w:t>prohibit IPCS providers from charging any other ancillary service fees not identified and explicitly approved here.</w:t>
      </w:r>
      <w:r w:rsidR="00D2302F">
        <w:rPr>
          <w:sz w:val="26"/>
          <w:szCs w:val="26"/>
        </w:rPr>
        <w:t xml:space="preserve">  </w:t>
      </w:r>
      <w:r w:rsidR="000C60A4">
        <w:rPr>
          <w:sz w:val="26"/>
          <w:szCs w:val="26"/>
        </w:rPr>
        <w:t>We</w:t>
      </w:r>
      <w:r w:rsidR="00D2302F">
        <w:rPr>
          <w:sz w:val="26"/>
          <w:szCs w:val="26"/>
        </w:rPr>
        <w:t xml:space="preserve"> </w:t>
      </w:r>
      <w:r w:rsidRPr="00445CEC" w:rsidR="00741EA0">
        <w:rPr>
          <w:sz w:val="26"/>
          <w:szCs w:val="26"/>
        </w:rPr>
        <w:t>require IPCS providers to implement our adopted ancillary fee requirements</w:t>
      </w:r>
      <w:r w:rsidR="00741EA0">
        <w:rPr>
          <w:sz w:val="26"/>
          <w:szCs w:val="26"/>
        </w:rPr>
        <w:t xml:space="preserve"> within 45 days of Commission issuance of this decision</w:t>
      </w:r>
      <w:r w:rsidR="002C5B05">
        <w:rPr>
          <w:sz w:val="26"/>
          <w:szCs w:val="26"/>
        </w:rPr>
        <w:t xml:space="preserve">, </w:t>
      </w:r>
      <w:r w:rsidR="00741EA0">
        <w:rPr>
          <w:sz w:val="26"/>
          <w:szCs w:val="26"/>
        </w:rPr>
        <w:t>to fully and clearly disclose the rates and fees adopted here on their websites, in billing, and in any marketing materials</w:t>
      </w:r>
      <w:r w:rsidR="002C5B05">
        <w:rPr>
          <w:sz w:val="26"/>
          <w:szCs w:val="26"/>
        </w:rPr>
        <w:t xml:space="preserve"> within 45 days</w:t>
      </w:r>
      <w:r w:rsidR="00741EA0">
        <w:rPr>
          <w:sz w:val="26"/>
          <w:szCs w:val="26"/>
        </w:rPr>
        <w:t>, and to submit these materials and a Plan of Notification for Commission review within 30 days of issuance of this decision.</w:t>
      </w:r>
    </w:p>
    <w:p w:rsidR="00DB5D6D" w:rsidP="00DB5D6D" w:rsidRDefault="003E26B9" w14:paraId="43345D2C" w14:textId="064FB0A4">
      <w:pPr>
        <w:pStyle w:val="Heading2"/>
      </w:pPr>
      <w:bookmarkStart w:name="_Toc80089411" w:id="53"/>
      <w:r>
        <w:lastRenderedPageBreak/>
        <w:t>7.1</w:t>
      </w:r>
      <w:r>
        <w:tab/>
      </w:r>
      <w:r w:rsidR="00DB5D6D">
        <w:t>Staff Proposal</w:t>
      </w:r>
      <w:bookmarkEnd w:id="53"/>
      <w:r w:rsidR="000005E8">
        <w:t xml:space="preserve"> </w:t>
      </w:r>
    </w:p>
    <w:p w:rsidRPr="00225EE2" w:rsidR="003D2487" w:rsidP="00F91111" w:rsidRDefault="003D2487" w14:paraId="43C61C2F" w14:textId="4D9142B0">
      <w:pPr>
        <w:pStyle w:val="Standard"/>
        <w:ind w:firstLine="720"/>
        <w:rPr>
          <w:sz w:val="26"/>
          <w:szCs w:val="26"/>
        </w:rPr>
      </w:pPr>
      <w:r>
        <w:rPr>
          <w:sz w:val="26"/>
          <w:szCs w:val="26"/>
        </w:rPr>
        <w:t>In its initial Staff Proposal, Staff recommends that the Commission cap ancillary service fees as the FCC</w:t>
      </w:r>
      <w:r w:rsidR="00B60080">
        <w:rPr>
          <w:sz w:val="26"/>
          <w:szCs w:val="26"/>
        </w:rPr>
        <w:t xml:space="preserve"> did</w:t>
      </w:r>
      <w:r>
        <w:rPr>
          <w:sz w:val="26"/>
          <w:szCs w:val="26"/>
        </w:rPr>
        <w:t xml:space="preserve"> in its </w:t>
      </w:r>
      <w:r w:rsidR="00286963">
        <w:rPr>
          <w:sz w:val="26"/>
          <w:szCs w:val="26"/>
        </w:rPr>
        <w:t>201</w:t>
      </w:r>
      <w:r w:rsidR="00B2358B">
        <w:rPr>
          <w:sz w:val="26"/>
          <w:szCs w:val="26"/>
        </w:rPr>
        <w:t>5</w:t>
      </w:r>
      <w:r>
        <w:rPr>
          <w:sz w:val="26"/>
          <w:szCs w:val="26"/>
        </w:rPr>
        <w:t xml:space="preserve"> </w:t>
      </w:r>
      <w:r w:rsidR="00990932">
        <w:rPr>
          <w:sz w:val="26"/>
          <w:szCs w:val="26"/>
        </w:rPr>
        <w:t xml:space="preserve">Order </w:t>
      </w:r>
      <w:r w:rsidRPr="00225EE2">
        <w:rPr>
          <w:sz w:val="26"/>
          <w:szCs w:val="26"/>
        </w:rPr>
        <w:t>and prohibit carriers from charging any other ancillary service fees not specified</w:t>
      </w:r>
      <w:r>
        <w:rPr>
          <w:sz w:val="26"/>
          <w:szCs w:val="26"/>
        </w:rPr>
        <w:t>.</w:t>
      </w:r>
      <w:r>
        <w:rPr>
          <w:rStyle w:val="FootnoteReference"/>
          <w:sz w:val="26"/>
          <w:szCs w:val="26"/>
        </w:rPr>
        <w:footnoteReference w:id="194"/>
      </w:r>
      <w:r>
        <w:rPr>
          <w:sz w:val="26"/>
          <w:szCs w:val="26"/>
        </w:rPr>
        <w:t xml:space="preserve">  </w:t>
      </w:r>
      <w:r w:rsidRPr="004D4A80" w:rsidR="004D4A80">
        <w:rPr>
          <w:sz w:val="26"/>
          <w:szCs w:val="26"/>
        </w:rPr>
        <w:t xml:space="preserve">Staff observe that the FCC capped several ancillary service fees and generally prohibits providers from imposing IPCS fees other than those specified in its rules.  </w:t>
      </w:r>
      <w:r>
        <w:rPr>
          <w:sz w:val="26"/>
          <w:szCs w:val="26"/>
        </w:rPr>
        <w:t xml:space="preserve">The FCC’s </w:t>
      </w:r>
      <w:r w:rsidR="00286963">
        <w:rPr>
          <w:sz w:val="26"/>
          <w:szCs w:val="26"/>
        </w:rPr>
        <w:t>201</w:t>
      </w:r>
      <w:r w:rsidR="00B2358B">
        <w:rPr>
          <w:sz w:val="26"/>
          <w:szCs w:val="26"/>
        </w:rPr>
        <w:t>5</w:t>
      </w:r>
      <w:r>
        <w:rPr>
          <w:sz w:val="26"/>
          <w:szCs w:val="26"/>
        </w:rPr>
        <w:t xml:space="preserve"> Order adopt</w:t>
      </w:r>
      <w:r w:rsidR="00B2358B">
        <w:rPr>
          <w:sz w:val="26"/>
          <w:szCs w:val="26"/>
        </w:rPr>
        <w:t>ed</w:t>
      </w:r>
      <w:r>
        <w:rPr>
          <w:sz w:val="26"/>
          <w:szCs w:val="26"/>
        </w:rPr>
        <w:t xml:space="preserve"> the following caps on interstate IPCS ancillary service fees</w:t>
      </w:r>
      <w:r w:rsidRPr="00225EE2">
        <w:rPr>
          <w:sz w:val="26"/>
          <w:szCs w:val="26"/>
        </w:rPr>
        <w:t xml:space="preserve">:  </w:t>
      </w:r>
    </w:p>
    <w:p w:rsidR="003D2487" w:rsidP="00816B0C" w:rsidRDefault="003D2487" w14:paraId="40C4C656" w14:textId="645D0B61">
      <w:pPr>
        <w:pStyle w:val="Standard"/>
        <w:numPr>
          <w:ilvl w:val="0"/>
          <w:numId w:val="17"/>
        </w:numPr>
        <w:spacing w:after="120" w:line="240" w:lineRule="auto"/>
        <w:ind w:left="1080" w:right="1440"/>
        <w:rPr>
          <w:sz w:val="26"/>
          <w:szCs w:val="26"/>
        </w:rPr>
      </w:pPr>
      <w:r w:rsidRPr="00225EE2">
        <w:rPr>
          <w:sz w:val="26"/>
          <w:szCs w:val="26"/>
        </w:rPr>
        <w:t xml:space="preserve">Automated </w:t>
      </w:r>
      <w:r w:rsidR="00A849EC">
        <w:rPr>
          <w:sz w:val="26"/>
          <w:szCs w:val="26"/>
        </w:rPr>
        <w:t>p</w:t>
      </w:r>
      <w:r w:rsidRPr="00225EE2">
        <w:rPr>
          <w:sz w:val="26"/>
          <w:szCs w:val="26"/>
        </w:rPr>
        <w:t xml:space="preserve">ayment </w:t>
      </w:r>
      <w:r w:rsidR="00A849EC">
        <w:rPr>
          <w:sz w:val="26"/>
          <w:szCs w:val="26"/>
        </w:rPr>
        <w:t>f</w:t>
      </w:r>
      <w:r w:rsidRPr="00225EE2">
        <w:rPr>
          <w:sz w:val="26"/>
          <w:szCs w:val="26"/>
        </w:rPr>
        <w:t xml:space="preserve">ees:  </w:t>
      </w:r>
      <w:r>
        <w:rPr>
          <w:sz w:val="26"/>
          <w:szCs w:val="26"/>
        </w:rPr>
        <w:t>L</w:t>
      </w:r>
      <w:r w:rsidRPr="00225EE2">
        <w:rPr>
          <w:sz w:val="26"/>
          <w:szCs w:val="26"/>
        </w:rPr>
        <w:t>imit</w:t>
      </w:r>
      <w:r>
        <w:rPr>
          <w:sz w:val="26"/>
          <w:szCs w:val="26"/>
        </w:rPr>
        <w:t xml:space="preserve">ed </w:t>
      </w:r>
      <w:r w:rsidRPr="00225EE2">
        <w:rPr>
          <w:sz w:val="26"/>
          <w:szCs w:val="26"/>
        </w:rPr>
        <w:t xml:space="preserve">to a maximum of $3.00 per </w:t>
      </w:r>
      <w:proofErr w:type="gramStart"/>
      <w:r w:rsidRPr="00225EE2">
        <w:rPr>
          <w:sz w:val="26"/>
          <w:szCs w:val="26"/>
        </w:rPr>
        <w:t>use</w:t>
      </w:r>
      <w:r>
        <w:rPr>
          <w:sz w:val="26"/>
          <w:szCs w:val="26"/>
        </w:rPr>
        <w:t>;</w:t>
      </w:r>
      <w:proofErr w:type="gramEnd"/>
    </w:p>
    <w:p w:rsidRPr="00AA10A3" w:rsidR="00AA10A3" w:rsidP="00816B0C" w:rsidRDefault="00AA10A3" w14:paraId="3031BBBB" w14:textId="48A04DC7">
      <w:pPr>
        <w:pStyle w:val="Standard"/>
        <w:numPr>
          <w:ilvl w:val="0"/>
          <w:numId w:val="17"/>
        </w:numPr>
        <w:spacing w:after="120" w:line="240" w:lineRule="auto"/>
        <w:ind w:left="1080" w:right="1440"/>
        <w:rPr>
          <w:sz w:val="26"/>
          <w:szCs w:val="26"/>
        </w:rPr>
      </w:pPr>
      <w:r w:rsidRPr="00225EE2">
        <w:rPr>
          <w:sz w:val="26"/>
          <w:szCs w:val="26"/>
        </w:rPr>
        <w:t xml:space="preserve">Paper bill fee:  </w:t>
      </w:r>
      <w:r>
        <w:rPr>
          <w:sz w:val="26"/>
          <w:szCs w:val="26"/>
        </w:rPr>
        <w:t>Caps f</w:t>
      </w:r>
      <w:r w:rsidRPr="00225EE2">
        <w:rPr>
          <w:sz w:val="26"/>
          <w:szCs w:val="26"/>
        </w:rPr>
        <w:t xml:space="preserve">ees for paper bills at $2.00 per statement. </w:t>
      </w:r>
    </w:p>
    <w:p w:rsidRPr="00225EE2" w:rsidR="003D2487" w:rsidP="00816B0C" w:rsidRDefault="003D2487" w14:paraId="21F6C15A" w14:textId="77777777">
      <w:pPr>
        <w:pStyle w:val="Standard"/>
        <w:numPr>
          <w:ilvl w:val="0"/>
          <w:numId w:val="17"/>
        </w:numPr>
        <w:spacing w:after="120" w:line="240" w:lineRule="auto"/>
        <w:ind w:left="1080" w:right="1440"/>
        <w:rPr>
          <w:sz w:val="26"/>
          <w:szCs w:val="26"/>
        </w:rPr>
      </w:pPr>
      <w:r w:rsidRPr="00225EE2">
        <w:rPr>
          <w:sz w:val="26"/>
          <w:szCs w:val="26"/>
        </w:rPr>
        <w:t xml:space="preserve">Live agent fee:  </w:t>
      </w:r>
      <w:r>
        <w:rPr>
          <w:sz w:val="26"/>
          <w:szCs w:val="26"/>
        </w:rPr>
        <w:t>Caps s</w:t>
      </w:r>
      <w:r w:rsidRPr="00225EE2">
        <w:rPr>
          <w:sz w:val="26"/>
          <w:szCs w:val="26"/>
        </w:rPr>
        <w:t xml:space="preserve">ingle live operator interaction </w:t>
      </w:r>
      <w:r>
        <w:rPr>
          <w:sz w:val="26"/>
          <w:szCs w:val="26"/>
        </w:rPr>
        <w:t xml:space="preserve">fees </w:t>
      </w:r>
      <w:r w:rsidRPr="00225EE2">
        <w:rPr>
          <w:sz w:val="26"/>
          <w:szCs w:val="26"/>
        </w:rPr>
        <w:t>at $5.95 per interaction.</w:t>
      </w:r>
    </w:p>
    <w:p w:rsidR="003D2487" w:rsidP="00816B0C" w:rsidRDefault="003D2487" w14:paraId="304FBBDC" w14:textId="6C560128">
      <w:pPr>
        <w:pStyle w:val="Standard"/>
        <w:numPr>
          <w:ilvl w:val="0"/>
          <w:numId w:val="17"/>
        </w:numPr>
        <w:spacing w:after="120" w:line="240" w:lineRule="auto"/>
        <w:ind w:left="1080" w:right="1440"/>
        <w:rPr>
          <w:sz w:val="26"/>
          <w:szCs w:val="26"/>
        </w:rPr>
      </w:pPr>
      <w:r w:rsidRPr="00225EE2">
        <w:rPr>
          <w:sz w:val="26"/>
          <w:szCs w:val="26"/>
        </w:rPr>
        <w:t xml:space="preserve">Mandatory </w:t>
      </w:r>
      <w:r w:rsidR="00A849EC">
        <w:rPr>
          <w:sz w:val="26"/>
          <w:szCs w:val="26"/>
        </w:rPr>
        <w:t>p</w:t>
      </w:r>
      <w:r w:rsidRPr="00225EE2">
        <w:rPr>
          <w:sz w:val="26"/>
          <w:szCs w:val="26"/>
        </w:rPr>
        <w:t>ass-</w:t>
      </w:r>
      <w:r w:rsidR="00A849EC">
        <w:rPr>
          <w:sz w:val="26"/>
          <w:szCs w:val="26"/>
        </w:rPr>
        <w:t>t</w:t>
      </w:r>
      <w:r w:rsidRPr="00225EE2">
        <w:rPr>
          <w:sz w:val="26"/>
          <w:szCs w:val="26"/>
        </w:rPr>
        <w:t xml:space="preserve">hrough </w:t>
      </w:r>
      <w:r w:rsidR="00A849EC">
        <w:rPr>
          <w:sz w:val="26"/>
          <w:szCs w:val="26"/>
        </w:rPr>
        <w:t>g</w:t>
      </w:r>
      <w:r w:rsidRPr="00225EE2">
        <w:rPr>
          <w:sz w:val="26"/>
          <w:szCs w:val="26"/>
        </w:rPr>
        <w:t xml:space="preserve">overnment </w:t>
      </w:r>
      <w:r w:rsidR="00A849EC">
        <w:rPr>
          <w:sz w:val="26"/>
          <w:szCs w:val="26"/>
        </w:rPr>
        <w:t>t</w:t>
      </w:r>
      <w:r w:rsidRPr="00225EE2">
        <w:rPr>
          <w:sz w:val="26"/>
          <w:szCs w:val="26"/>
        </w:rPr>
        <w:t xml:space="preserve">axes and </w:t>
      </w:r>
      <w:r w:rsidR="00A849EC">
        <w:rPr>
          <w:sz w:val="26"/>
          <w:szCs w:val="26"/>
        </w:rPr>
        <w:t>f</w:t>
      </w:r>
      <w:r w:rsidRPr="00225EE2">
        <w:rPr>
          <w:sz w:val="26"/>
          <w:szCs w:val="26"/>
        </w:rPr>
        <w:t xml:space="preserve">ees: </w:t>
      </w:r>
      <w:r>
        <w:rPr>
          <w:sz w:val="26"/>
          <w:szCs w:val="26"/>
        </w:rPr>
        <w:t>P</w:t>
      </w:r>
      <w:r w:rsidRPr="00225EE2">
        <w:rPr>
          <w:sz w:val="26"/>
          <w:szCs w:val="26"/>
        </w:rPr>
        <w:t>rohibits markups on either category of charges.</w:t>
      </w:r>
    </w:p>
    <w:p w:rsidRPr="00B474CB" w:rsidR="00AA10A3" w:rsidP="00816B0C" w:rsidRDefault="00AA10A3" w14:paraId="20F59D03" w14:textId="17819B2F">
      <w:pPr>
        <w:pStyle w:val="Standard"/>
        <w:numPr>
          <w:ilvl w:val="0"/>
          <w:numId w:val="17"/>
        </w:numPr>
        <w:spacing w:after="120" w:line="240" w:lineRule="auto"/>
        <w:ind w:left="1080" w:right="1440"/>
        <w:rPr>
          <w:sz w:val="26"/>
          <w:szCs w:val="26"/>
        </w:rPr>
      </w:pPr>
      <w:r w:rsidRPr="00B474CB">
        <w:rPr>
          <w:sz w:val="26"/>
          <w:szCs w:val="26"/>
        </w:rPr>
        <w:t xml:space="preserve">Single-call and </w:t>
      </w:r>
      <w:r w:rsidR="00A849EC">
        <w:rPr>
          <w:sz w:val="26"/>
          <w:szCs w:val="26"/>
        </w:rPr>
        <w:t>r</w:t>
      </w:r>
      <w:r w:rsidRPr="00B474CB">
        <w:rPr>
          <w:sz w:val="26"/>
          <w:szCs w:val="26"/>
        </w:rPr>
        <w:t xml:space="preserve">elated </w:t>
      </w:r>
      <w:r w:rsidR="00A849EC">
        <w:rPr>
          <w:sz w:val="26"/>
          <w:szCs w:val="26"/>
        </w:rPr>
        <w:t>s</w:t>
      </w:r>
      <w:r w:rsidRPr="00B474CB">
        <w:rPr>
          <w:sz w:val="26"/>
          <w:szCs w:val="26"/>
        </w:rPr>
        <w:t xml:space="preserve">ervices: </w:t>
      </w:r>
      <w:r w:rsidR="00745A76">
        <w:rPr>
          <w:sz w:val="26"/>
          <w:szCs w:val="26"/>
        </w:rPr>
        <w:t xml:space="preserve"> </w:t>
      </w:r>
      <w:r w:rsidRPr="00B474CB">
        <w:rPr>
          <w:sz w:val="26"/>
          <w:szCs w:val="26"/>
        </w:rPr>
        <w:t xml:space="preserve">Where no prepaid or debit inmate calling services account has been established, the FCC prohibits providers from charging more than the exact fee the third-party charges for these transactions, with no </w:t>
      </w:r>
      <w:proofErr w:type="gramStart"/>
      <w:r w:rsidRPr="00B474CB">
        <w:rPr>
          <w:sz w:val="26"/>
          <w:szCs w:val="26"/>
        </w:rPr>
        <w:t>markup;</w:t>
      </w:r>
      <w:proofErr w:type="gramEnd"/>
      <w:r w:rsidRPr="00B474CB" w:rsidR="00DE1CD4">
        <w:rPr>
          <w:sz w:val="26"/>
          <w:szCs w:val="26"/>
        </w:rPr>
        <w:t xml:space="preserve"> </w:t>
      </w:r>
    </w:p>
    <w:p w:rsidRPr="00AA10A3" w:rsidR="00AA10A3" w:rsidP="00816B0C" w:rsidRDefault="00AA10A3" w14:paraId="78D1BABB" w14:textId="622B1677">
      <w:pPr>
        <w:pStyle w:val="Standard"/>
        <w:numPr>
          <w:ilvl w:val="0"/>
          <w:numId w:val="17"/>
        </w:numPr>
        <w:spacing w:after="120" w:line="240" w:lineRule="auto"/>
        <w:ind w:left="1080" w:right="1440"/>
        <w:rPr>
          <w:sz w:val="26"/>
          <w:szCs w:val="26"/>
        </w:rPr>
      </w:pPr>
      <w:r w:rsidRPr="00225EE2">
        <w:rPr>
          <w:sz w:val="26"/>
          <w:szCs w:val="26"/>
        </w:rPr>
        <w:t xml:space="preserve">Third-Party Financial Transaction Fees: </w:t>
      </w:r>
      <w:r w:rsidR="00745A76">
        <w:rPr>
          <w:sz w:val="26"/>
          <w:szCs w:val="26"/>
        </w:rPr>
        <w:t xml:space="preserve"> </w:t>
      </w:r>
      <w:r>
        <w:rPr>
          <w:sz w:val="26"/>
          <w:szCs w:val="26"/>
        </w:rPr>
        <w:t xml:space="preserve">Limits </w:t>
      </w:r>
      <w:r w:rsidRPr="00225EE2">
        <w:rPr>
          <w:sz w:val="26"/>
          <w:szCs w:val="26"/>
        </w:rPr>
        <w:t xml:space="preserve">third-party fees </w:t>
      </w:r>
      <w:r>
        <w:rPr>
          <w:sz w:val="26"/>
          <w:szCs w:val="26"/>
        </w:rPr>
        <w:t xml:space="preserve">that </w:t>
      </w:r>
      <w:r w:rsidRPr="00225EE2">
        <w:rPr>
          <w:sz w:val="26"/>
          <w:szCs w:val="26"/>
        </w:rPr>
        <w:t xml:space="preserve">can </w:t>
      </w:r>
      <w:r>
        <w:rPr>
          <w:sz w:val="26"/>
          <w:szCs w:val="26"/>
        </w:rPr>
        <w:t xml:space="preserve">be </w:t>
      </w:r>
      <w:r w:rsidRPr="00225EE2">
        <w:rPr>
          <w:sz w:val="26"/>
          <w:szCs w:val="26"/>
        </w:rPr>
        <w:t>pass</w:t>
      </w:r>
      <w:r>
        <w:rPr>
          <w:sz w:val="26"/>
          <w:szCs w:val="26"/>
        </w:rPr>
        <w:t>ed</w:t>
      </w:r>
      <w:r w:rsidRPr="00225EE2">
        <w:rPr>
          <w:sz w:val="26"/>
          <w:szCs w:val="26"/>
        </w:rPr>
        <w:t xml:space="preserve"> on to consumers to the exact fees, with no markup</w:t>
      </w:r>
      <w:r w:rsidRPr="230C5864" w:rsidR="7543F980">
        <w:rPr>
          <w:sz w:val="26"/>
          <w:szCs w:val="26"/>
        </w:rPr>
        <w:t>.</w:t>
      </w:r>
    </w:p>
    <w:p w:rsidR="00F91111" w:rsidP="00F91111" w:rsidRDefault="00F91111" w14:paraId="16E64D84" w14:textId="2BCA006F">
      <w:pPr>
        <w:pStyle w:val="Standard"/>
        <w:ind w:firstLine="720"/>
        <w:rPr>
          <w:sz w:val="26"/>
          <w:szCs w:val="26"/>
        </w:rPr>
      </w:pPr>
      <w:r w:rsidRPr="00225EE2">
        <w:rPr>
          <w:sz w:val="26"/>
          <w:szCs w:val="26"/>
        </w:rPr>
        <w:t>Staff</w:t>
      </w:r>
      <w:r>
        <w:rPr>
          <w:sz w:val="26"/>
          <w:szCs w:val="26"/>
        </w:rPr>
        <w:t xml:space="preserve">’s Revised Proposal </w:t>
      </w:r>
      <w:r w:rsidRPr="00225EE2">
        <w:rPr>
          <w:sz w:val="26"/>
          <w:szCs w:val="26"/>
        </w:rPr>
        <w:t xml:space="preserve">recommends </w:t>
      </w:r>
      <w:r>
        <w:rPr>
          <w:sz w:val="26"/>
          <w:szCs w:val="26"/>
        </w:rPr>
        <w:t xml:space="preserve">that the Commission prohibit single-call service fees </w:t>
      </w:r>
      <w:r w:rsidR="0051099E">
        <w:rPr>
          <w:sz w:val="26"/>
          <w:szCs w:val="26"/>
        </w:rPr>
        <w:t xml:space="preserve">instead of </w:t>
      </w:r>
      <w:r w:rsidR="00F85E16">
        <w:rPr>
          <w:sz w:val="26"/>
          <w:szCs w:val="26"/>
        </w:rPr>
        <w:t xml:space="preserve">limiting charges to </w:t>
      </w:r>
      <w:r w:rsidR="0025621E">
        <w:rPr>
          <w:sz w:val="26"/>
          <w:szCs w:val="26"/>
        </w:rPr>
        <w:t>the exact</w:t>
      </w:r>
      <w:r w:rsidR="00E90AC7">
        <w:rPr>
          <w:sz w:val="26"/>
          <w:szCs w:val="26"/>
        </w:rPr>
        <w:t xml:space="preserve"> </w:t>
      </w:r>
      <w:r w:rsidR="0025621E">
        <w:rPr>
          <w:sz w:val="26"/>
          <w:szCs w:val="26"/>
        </w:rPr>
        <w:t xml:space="preserve">third-party </w:t>
      </w:r>
      <w:r w:rsidR="00F85E16">
        <w:rPr>
          <w:sz w:val="26"/>
          <w:szCs w:val="26"/>
        </w:rPr>
        <w:t>fees</w:t>
      </w:r>
      <w:r w:rsidR="0025621E">
        <w:rPr>
          <w:sz w:val="26"/>
          <w:szCs w:val="26"/>
        </w:rPr>
        <w:t xml:space="preserve"> for th</w:t>
      </w:r>
      <w:r w:rsidR="00F85E16">
        <w:rPr>
          <w:sz w:val="26"/>
          <w:szCs w:val="26"/>
        </w:rPr>
        <w:t>o</w:t>
      </w:r>
      <w:r w:rsidR="0025621E">
        <w:rPr>
          <w:sz w:val="26"/>
          <w:szCs w:val="26"/>
        </w:rPr>
        <w:t>se services</w:t>
      </w:r>
      <w:r w:rsidR="00F85E16">
        <w:rPr>
          <w:sz w:val="26"/>
          <w:szCs w:val="26"/>
        </w:rPr>
        <w:t xml:space="preserve"> with no markup</w:t>
      </w:r>
      <w:r w:rsidR="0025621E">
        <w:rPr>
          <w:sz w:val="26"/>
          <w:szCs w:val="26"/>
        </w:rPr>
        <w:t xml:space="preserve">, as done in </w:t>
      </w:r>
      <w:r>
        <w:rPr>
          <w:sz w:val="26"/>
          <w:szCs w:val="26"/>
        </w:rPr>
        <w:t xml:space="preserve">the FCC’s </w:t>
      </w:r>
      <w:r w:rsidR="00286963">
        <w:rPr>
          <w:sz w:val="26"/>
          <w:szCs w:val="26"/>
        </w:rPr>
        <w:t>201</w:t>
      </w:r>
      <w:r w:rsidR="00B2358B">
        <w:rPr>
          <w:sz w:val="26"/>
          <w:szCs w:val="26"/>
        </w:rPr>
        <w:t>5</w:t>
      </w:r>
      <w:r>
        <w:rPr>
          <w:sz w:val="26"/>
          <w:szCs w:val="26"/>
        </w:rPr>
        <w:t xml:space="preserve"> Order.  T</w:t>
      </w:r>
      <w:r w:rsidRPr="001135D2">
        <w:rPr>
          <w:sz w:val="26"/>
          <w:szCs w:val="26"/>
        </w:rPr>
        <w:t xml:space="preserve">he Revised Staff Proposal </w:t>
      </w:r>
      <w:r>
        <w:rPr>
          <w:sz w:val="26"/>
          <w:szCs w:val="26"/>
        </w:rPr>
        <w:t>explains this recommendation as follows:</w:t>
      </w:r>
    </w:p>
    <w:p w:rsidRPr="001763CD" w:rsidR="00F91111" w:rsidP="00745A76" w:rsidRDefault="000D6991" w14:paraId="1C3878DA" w14:textId="639FFE0F">
      <w:pPr>
        <w:pStyle w:val="BlockQuote"/>
        <w:spacing w:line="240" w:lineRule="auto"/>
        <w:ind w:right="1440"/>
        <w:rPr>
          <w:sz w:val="26"/>
          <w:szCs w:val="26"/>
        </w:rPr>
      </w:pPr>
      <w:r w:rsidRPr="000D6991">
        <w:rPr>
          <w:sz w:val="26"/>
          <w:szCs w:val="26"/>
        </w:rPr>
        <w:t xml:space="preserve">In written comments to the online portal, comments were submitted regarding fees, including the </w:t>
      </w:r>
      <w:r w:rsidR="00B43C2C">
        <w:rPr>
          <w:sz w:val="26"/>
          <w:szCs w:val="26"/>
        </w:rPr>
        <w:t>single-call</w:t>
      </w:r>
      <w:r w:rsidRPr="000D6991">
        <w:rPr>
          <w:sz w:val="26"/>
          <w:szCs w:val="26"/>
        </w:rPr>
        <w:t xml:space="preserve"> service fee.</w:t>
      </w:r>
      <w:r>
        <w:rPr>
          <w:sz w:val="26"/>
          <w:szCs w:val="26"/>
        </w:rPr>
        <w:t xml:space="preserve"> </w:t>
      </w:r>
      <w:r w:rsidRPr="000D6991">
        <w:rPr>
          <w:sz w:val="26"/>
          <w:szCs w:val="26"/>
        </w:rPr>
        <w:t xml:space="preserve"> </w:t>
      </w:r>
      <w:r w:rsidRPr="001763CD" w:rsidR="00F91111">
        <w:rPr>
          <w:sz w:val="26"/>
          <w:szCs w:val="26"/>
        </w:rPr>
        <w:lastRenderedPageBreak/>
        <w:t xml:space="preserve">Most notable were those I[P]CS customers that provided examples of being charged the fee multiple times </w:t>
      </w:r>
      <w:proofErr w:type="gramStart"/>
      <w:r w:rsidRPr="001763CD" w:rsidR="00F91111">
        <w:rPr>
          <w:sz w:val="26"/>
          <w:szCs w:val="26"/>
        </w:rPr>
        <w:t>in an effort to</w:t>
      </w:r>
      <w:proofErr w:type="gramEnd"/>
      <w:r w:rsidRPr="001763CD" w:rsidR="00F91111">
        <w:rPr>
          <w:sz w:val="26"/>
          <w:szCs w:val="26"/>
        </w:rPr>
        <w:t xml:space="preserve"> complete a single 15</w:t>
      </w:r>
      <w:r w:rsidR="00F91111">
        <w:rPr>
          <w:sz w:val="26"/>
          <w:szCs w:val="26"/>
        </w:rPr>
        <w:t>-</w:t>
      </w:r>
      <w:r w:rsidRPr="001763CD" w:rsidR="00F91111">
        <w:rPr>
          <w:sz w:val="26"/>
          <w:szCs w:val="26"/>
        </w:rPr>
        <w:t xml:space="preserve">minute phone call.  In more than one instance customers indicated being disconnected multiple times during their call and then being charged the </w:t>
      </w:r>
      <w:r w:rsidR="00B43C2C">
        <w:rPr>
          <w:sz w:val="26"/>
          <w:szCs w:val="26"/>
        </w:rPr>
        <w:t>single-call</w:t>
      </w:r>
      <w:r w:rsidRPr="001763CD" w:rsidR="00F91111">
        <w:rPr>
          <w:sz w:val="26"/>
          <w:szCs w:val="26"/>
        </w:rPr>
        <w:t xml:space="preserve"> service fee each time they tried to reconnect.  In these examples the </w:t>
      </w:r>
      <w:r w:rsidR="00B43C2C">
        <w:rPr>
          <w:sz w:val="26"/>
          <w:szCs w:val="26"/>
        </w:rPr>
        <w:t>single-call</w:t>
      </w:r>
      <w:r w:rsidRPr="001763CD" w:rsidR="00F91111">
        <w:rPr>
          <w:sz w:val="26"/>
          <w:szCs w:val="26"/>
        </w:rPr>
        <w:t xml:space="preserve"> service fee of $3.00 was likely charged at least three times and totaled $9.00 or more.</w:t>
      </w:r>
      <w:r w:rsidR="00F37B3C">
        <w:rPr>
          <w:rStyle w:val="FootnoteReference"/>
          <w:sz w:val="26"/>
          <w:szCs w:val="26"/>
        </w:rPr>
        <w:footnoteReference w:id="195"/>
      </w:r>
      <w:r w:rsidRPr="001763CD" w:rsidR="00F91111">
        <w:rPr>
          <w:sz w:val="26"/>
          <w:szCs w:val="26"/>
        </w:rPr>
        <w:t xml:space="preserve">  </w:t>
      </w:r>
    </w:p>
    <w:p w:rsidR="003D2487" w:rsidP="003D2487" w:rsidRDefault="004058D8" w14:paraId="171F1A4B" w14:textId="075D00D3">
      <w:pPr>
        <w:pStyle w:val="Standard"/>
        <w:ind w:firstLine="720"/>
        <w:rPr>
          <w:sz w:val="26"/>
          <w:szCs w:val="26"/>
        </w:rPr>
      </w:pPr>
      <w:r>
        <w:rPr>
          <w:sz w:val="26"/>
          <w:szCs w:val="26"/>
        </w:rPr>
        <w:t xml:space="preserve">Staff recommends the Commission act on an interim basis until </w:t>
      </w:r>
      <w:r w:rsidRPr="00225EE2">
        <w:rPr>
          <w:sz w:val="26"/>
          <w:szCs w:val="26"/>
        </w:rPr>
        <w:t xml:space="preserve">the Commission takes more permanent action </w:t>
      </w:r>
      <w:r>
        <w:rPr>
          <w:sz w:val="26"/>
          <w:szCs w:val="26"/>
        </w:rPr>
        <w:t xml:space="preserve">later </w:t>
      </w:r>
      <w:r w:rsidRPr="00225EE2">
        <w:rPr>
          <w:sz w:val="26"/>
          <w:szCs w:val="26"/>
        </w:rPr>
        <w:t>in this proceeding</w:t>
      </w:r>
      <w:r>
        <w:rPr>
          <w:sz w:val="26"/>
          <w:szCs w:val="26"/>
        </w:rPr>
        <w:t xml:space="preserve">. </w:t>
      </w:r>
      <w:r w:rsidR="00B2358B">
        <w:rPr>
          <w:sz w:val="26"/>
          <w:szCs w:val="26"/>
        </w:rPr>
        <w:t xml:space="preserve"> </w:t>
      </w:r>
      <w:r w:rsidR="003D2487">
        <w:rPr>
          <w:sz w:val="26"/>
          <w:szCs w:val="26"/>
        </w:rPr>
        <w:t xml:space="preserve">Staff </w:t>
      </w:r>
      <w:r w:rsidR="003A2BA9">
        <w:rPr>
          <w:sz w:val="26"/>
          <w:szCs w:val="26"/>
        </w:rPr>
        <w:t xml:space="preserve">further </w:t>
      </w:r>
      <w:r w:rsidR="003D2487">
        <w:rPr>
          <w:sz w:val="26"/>
          <w:szCs w:val="26"/>
        </w:rPr>
        <w:t xml:space="preserve">recommends that </w:t>
      </w:r>
      <w:r w:rsidR="003A2BA9">
        <w:rPr>
          <w:sz w:val="26"/>
          <w:szCs w:val="26"/>
        </w:rPr>
        <w:t xml:space="preserve">a </w:t>
      </w:r>
      <w:r>
        <w:rPr>
          <w:sz w:val="26"/>
          <w:szCs w:val="26"/>
        </w:rPr>
        <w:t xml:space="preserve">later phase of this </w:t>
      </w:r>
      <w:r w:rsidR="003D2487">
        <w:rPr>
          <w:sz w:val="26"/>
          <w:szCs w:val="26"/>
        </w:rPr>
        <w:t xml:space="preserve">proceeding: </w:t>
      </w:r>
    </w:p>
    <w:p w:rsidRPr="00EE0549" w:rsidR="003D2487" w:rsidP="00745A76" w:rsidRDefault="003D2487" w14:paraId="1F406652" w14:textId="24522055">
      <w:pPr>
        <w:pStyle w:val="BlockQuote"/>
        <w:spacing w:line="240" w:lineRule="auto"/>
        <w:ind w:right="1440"/>
        <w:rPr>
          <w:sz w:val="26"/>
          <w:szCs w:val="26"/>
        </w:rPr>
      </w:pPr>
      <w:r>
        <w:rPr>
          <w:sz w:val="26"/>
          <w:szCs w:val="26"/>
        </w:rPr>
        <w:t>…</w:t>
      </w:r>
      <w:r w:rsidRPr="00EE0549">
        <w:rPr>
          <w:sz w:val="26"/>
          <w:szCs w:val="26"/>
        </w:rPr>
        <w:t>evaluate the relevance of all ancillary charges for I</w:t>
      </w:r>
      <w:r>
        <w:rPr>
          <w:sz w:val="26"/>
          <w:szCs w:val="26"/>
        </w:rPr>
        <w:t>[P]</w:t>
      </w:r>
      <w:r w:rsidRPr="00EE0549">
        <w:rPr>
          <w:sz w:val="26"/>
          <w:szCs w:val="26"/>
        </w:rPr>
        <w:t>CS by examining competitive telecommunications providers operating in the open market to determine if any of these I</w:t>
      </w:r>
      <w:r>
        <w:rPr>
          <w:sz w:val="26"/>
          <w:szCs w:val="26"/>
        </w:rPr>
        <w:t>[P]</w:t>
      </w:r>
      <w:r w:rsidRPr="00EE0549">
        <w:rPr>
          <w:sz w:val="26"/>
          <w:szCs w:val="26"/>
        </w:rPr>
        <w:t>CS ancillary charges are levied by competitive telecommunications providers.  There is little reason to believe that the costs of a credit card transaction or speaking with a live agent are higher for an I</w:t>
      </w:r>
      <w:r>
        <w:rPr>
          <w:sz w:val="26"/>
          <w:szCs w:val="26"/>
        </w:rPr>
        <w:t>[P]</w:t>
      </w:r>
      <w:r w:rsidRPr="00EE0549">
        <w:rPr>
          <w:sz w:val="26"/>
          <w:szCs w:val="26"/>
        </w:rPr>
        <w:t xml:space="preserve">CS provider or any more reasonable to charge to incarcerated persons than the </w:t>
      </w:r>
      <w:proofErr w:type="gramStart"/>
      <w:r w:rsidRPr="00EE0549">
        <w:rPr>
          <w:sz w:val="26"/>
          <w:szCs w:val="26"/>
        </w:rPr>
        <w:t>general public</w:t>
      </w:r>
      <w:proofErr w:type="gramEnd"/>
      <w:r w:rsidRPr="00EE0549">
        <w:rPr>
          <w:sz w:val="26"/>
          <w:szCs w:val="26"/>
        </w:rPr>
        <w:t xml:space="preserve"> being serviced by other telecommunications corporations operating in the open market in California</w:t>
      </w:r>
      <w:r>
        <w:rPr>
          <w:sz w:val="26"/>
          <w:szCs w:val="26"/>
        </w:rPr>
        <w:t>.</w:t>
      </w:r>
      <w:r>
        <w:rPr>
          <w:rStyle w:val="FootnoteReference"/>
          <w:sz w:val="26"/>
          <w:szCs w:val="26"/>
        </w:rPr>
        <w:footnoteReference w:id="196"/>
      </w:r>
    </w:p>
    <w:p w:rsidR="00DB5D6D" w:rsidP="00DB5D6D" w:rsidRDefault="003E26B9" w14:paraId="683ABB34" w14:textId="37993C63">
      <w:pPr>
        <w:pStyle w:val="Heading2"/>
      </w:pPr>
      <w:bookmarkStart w:name="_Toc80089412" w:id="54"/>
      <w:r>
        <w:t>7.2</w:t>
      </w:r>
      <w:r>
        <w:tab/>
      </w:r>
      <w:r w:rsidR="00DB5D6D">
        <w:t>Party Proposals</w:t>
      </w:r>
      <w:bookmarkEnd w:id="54"/>
    </w:p>
    <w:p w:rsidR="00E626E3" w:rsidP="00C34449" w:rsidRDefault="00C34449" w14:paraId="221398CF" w14:textId="15F554E7">
      <w:pPr>
        <w:pStyle w:val="Standard"/>
        <w:ind w:firstLine="720"/>
        <w:rPr>
          <w:sz w:val="26"/>
          <w:szCs w:val="26"/>
        </w:rPr>
      </w:pPr>
      <w:r>
        <w:rPr>
          <w:sz w:val="26"/>
          <w:szCs w:val="26"/>
        </w:rPr>
        <w:t xml:space="preserve">Cal Advocates and TURN recommend the Commission </w:t>
      </w:r>
      <w:r w:rsidR="00E626E3">
        <w:rPr>
          <w:sz w:val="26"/>
          <w:szCs w:val="26"/>
        </w:rPr>
        <w:t xml:space="preserve">go </w:t>
      </w:r>
      <w:r w:rsidR="0015277A">
        <w:rPr>
          <w:sz w:val="26"/>
          <w:szCs w:val="26"/>
        </w:rPr>
        <w:t xml:space="preserve">beyond the </w:t>
      </w:r>
      <w:r w:rsidR="00E626E3">
        <w:rPr>
          <w:sz w:val="26"/>
          <w:szCs w:val="26"/>
        </w:rPr>
        <w:t xml:space="preserve">ancillary </w:t>
      </w:r>
      <w:proofErr w:type="gramStart"/>
      <w:r w:rsidR="00E626E3">
        <w:rPr>
          <w:sz w:val="26"/>
          <w:szCs w:val="26"/>
        </w:rPr>
        <w:t>fees</w:t>
      </w:r>
      <w:proofErr w:type="gramEnd"/>
      <w:r w:rsidR="00E626E3">
        <w:rPr>
          <w:sz w:val="26"/>
          <w:szCs w:val="26"/>
        </w:rPr>
        <w:t xml:space="preserve"> </w:t>
      </w:r>
      <w:r w:rsidR="0015277A">
        <w:rPr>
          <w:sz w:val="26"/>
          <w:szCs w:val="26"/>
        </w:rPr>
        <w:t xml:space="preserve">caps </w:t>
      </w:r>
      <w:r w:rsidR="00E626E3">
        <w:rPr>
          <w:sz w:val="26"/>
          <w:szCs w:val="26"/>
        </w:rPr>
        <w:t>adopted by the FCC</w:t>
      </w:r>
      <w:r w:rsidR="00B2358B">
        <w:rPr>
          <w:sz w:val="26"/>
          <w:szCs w:val="26"/>
        </w:rPr>
        <w:t xml:space="preserve"> and recommended by Staff</w:t>
      </w:r>
      <w:r w:rsidR="00E626E3">
        <w:rPr>
          <w:sz w:val="26"/>
          <w:szCs w:val="26"/>
        </w:rPr>
        <w:t xml:space="preserve">.  These parties </w:t>
      </w:r>
      <w:r w:rsidRPr="00667B4A">
        <w:rPr>
          <w:sz w:val="26"/>
          <w:szCs w:val="26"/>
        </w:rPr>
        <w:t>stat</w:t>
      </w:r>
      <w:r>
        <w:rPr>
          <w:sz w:val="26"/>
          <w:szCs w:val="26"/>
        </w:rPr>
        <w:t>e</w:t>
      </w:r>
      <w:r w:rsidRPr="00667B4A">
        <w:rPr>
          <w:sz w:val="26"/>
          <w:szCs w:val="26"/>
        </w:rPr>
        <w:t xml:space="preserve"> there is no </w:t>
      </w:r>
      <w:r w:rsidR="0018595F">
        <w:rPr>
          <w:sz w:val="26"/>
          <w:szCs w:val="26"/>
        </w:rPr>
        <w:t xml:space="preserve">indication </w:t>
      </w:r>
      <w:r w:rsidRPr="00667B4A">
        <w:rPr>
          <w:sz w:val="26"/>
          <w:szCs w:val="26"/>
        </w:rPr>
        <w:t xml:space="preserve">that the current FCC </w:t>
      </w:r>
      <w:r w:rsidR="00B2358B">
        <w:rPr>
          <w:sz w:val="26"/>
          <w:szCs w:val="26"/>
        </w:rPr>
        <w:t xml:space="preserve">ancillary </w:t>
      </w:r>
      <w:r w:rsidRPr="00667B4A">
        <w:rPr>
          <w:sz w:val="26"/>
          <w:szCs w:val="26"/>
        </w:rPr>
        <w:t>caps are based on cost</w:t>
      </w:r>
      <w:r w:rsidR="0015277A">
        <w:rPr>
          <w:sz w:val="26"/>
          <w:szCs w:val="26"/>
        </w:rPr>
        <w:t>s</w:t>
      </w:r>
      <w:r w:rsidRPr="00667B4A">
        <w:rPr>
          <w:sz w:val="26"/>
          <w:szCs w:val="26"/>
        </w:rPr>
        <w:t xml:space="preserve"> of service</w:t>
      </w:r>
      <w:r w:rsidR="00976BBF">
        <w:rPr>
          <w:sz w:val="26"/>
          <w:szCs w:val="26"/>
        </w:rPr>
        <w:t>.  I</w:t>
      </w:r>
      <w:r w:rsidR="0015277A">
        <w:rPr>
          <w:sz w:val="26"/>
          <w:szCs w:val="26"/>
        </w:rPr>
        <w:t>nstead,</w:t>
      </w:r>
      <w:r w:rsidR="00E626E3">
        <w:rPr>
          <w:sz w:val="26"/>
          <w:szCs w:val="26"/>
        </w:rPr>
        <w:t xml:space="preserve"> </w:t>
      </w:r>
      <w:r w:rsidR="00F85E16">
        <w:rPr>
          <w:sz w:val="26"/>
          <w:szCs w:val="26"/>
        </w:rPr>
        <w:t>the</w:t>
      </w:r>
      <w:r w:rsidR="00976BBF">
        <w:rPr>
          <w:sz w:val="26"/>
          <w:szCs w:val="26"/>
        </w:rPr>
        <w:t xml:space="preserve">se parties contend that </w:t>
      </w:r>
      <w:r w:rsidR="00E626E3">
        <w:rPr>
          <w:sz w:val="26"/>
          <w:szCs w:val="26"/>
        </w:rPr>
        <w:t xml:space="preserve">the FCC </w:t>
      </w:r>
      <w:r>
        <w:rPr>
          <w:sz w:val="26"/>
          <w:szCs w:val="26"/>
        </w:rPr>
        <w:t>caps</w:t>
      </w:r>
      <w:r w:rsidRPr="00667B4A">
        <w:rPr>
          <w:sz w:val="26"/>
          <w:szCs w:val="26"/>
        </w:rPr>
        <w:t xml:space="preserve"> were adopted in 2015 based on a single state's</w:t>
      </w:r>
      <w:r>
        <w:rPr>
          <w:sz w:val="26"/>
          <w:szCs w:val="26"/>
        </w:rPr>
        <w:t xml:space="preserve"> </w:t>
      </w:r>
      <w:r w:rsidRPr="00667B4A">
        <w:rPr>
          <w:sz w:val="26"/>
          <w:szCs w:val="26"/>
        </w:rPr>
        <w:t>data.</w:t>
      </w:r>
      <w:r w:rsidR="0015277A">
        <w:rPr>
          <w:rStyle w:val="FootnoteReference"/>
          <w:sz w:val="26"/>
          <w:szCs w:val="26"/>
        </w:rPr>
        <w:footnoteReference w:id="197"/>
      </w:r>
      <w:r w:rsidRPr="00667B4A">
        <w:rPr>
          <w:sz w:val="26"/>
          <w:szCs w:val="26"/>
        </w:rPr>
        <w:t xml:space="preserve"> </w:t>
      </w:r>
    </w:p>
    <w:p w:rsidR="0096061F" w:rsidP="0096061F" w:rsidRDefault="003E26B9" w14:paraId="65010545" w14:textId="6191A422">
      <w:pPr>
        <w:pStyle w:val="Heading3"/>
      </w:pPr>
      <w:bookmarkStart w:name="_Toc80089413" w:id="55"/>
      <w:r>
        <w:lastRenderedPageBreak/>
        <w:t>7.2.1</w:t>
      </w:r>
      <w:r>
        <w:tab/>
      </w:r>
      <w:r w:rsidR="0096061F">
        <w:t>Cal Advocates’ Proposal</w:t>
      </w:r>
      <w:bookmarkEnd w:id="55"/>
      <w:r w:rsidR="0015277A">
        <w:t xml:space="preserve"> </w:t>
      </w:r>
    </w:p>
    <w:p w:rsidR="009A384F" w:rsidP="00E626E3" w:rsidRDefault="00C34449" w14:paraId="6DD9A66A" w14:textId="7FC6E8DF">
      <w:pPr>
        <w:pStyle w:val="Standard"/>
        <w:ind w:firstLine="720"/>
        <w:rPr>
          <w:sz w:val="26"/>
          <w:szCs w:val="26"/>
        </w:rPr>
      </w:pPr>
      <w:r w:rsidRPr="00667B4A">
        <w:rPr>
          <w:sz w:val="26"/>
          <w:szCs w:val="26"/>
        </w:rPr>
        <w:t xml:space="preserve"> </w:t>
      </w:r>
      <w:r>
        <w:rPr>
          <w:sz w:val="26"/>
          <w:szCs w:val="26"/>
        </w:rPr>
        <w:t xml:space="preserve">Cal Advocates recommends the Commission </w:t>
      </w:r>
      <w:r w:rsidR="00E626E3">
        <w:rPr>
          <w:sz w:val="26"/>
          <w:szCs w:val="26"/>
        </w:rPr>
        <w:t xml:space="preserve">fully </w:t>
      </w:r>
      <w:r>
        <w:rPr>
          <w:sz w:val="26"/>
          <w:szCs w:val="26"/>
        </w:rPr>
        <w:t xml:space="preserve">prohibit three types of fees—automated payment fees, paper bill/statement fees, and live agent fees— and strictly enforce the FCC’s </w:t>
      </w:r>
      <w:r w:rsidR="00B43C2C">
        <w:rPr>
          <w:sz w:val="26"/>
          <w:szCs w:val="26"/>
        </w:rPr>
        <w:t>single-call</w:t>
      </w:r>
      <w:r>
        <w:rPr>
          <w:sz w:val="26"/>
          <w:szCs w:val="26"/>
        </w:rPr>
        <w:t xml:space="preserve"> and related services and third-party financial transaction fees</w:t>
      </w:r>
      <w:r w:rsidR="00E626E3">
        <w:rPr>
          <w:sz w:val="26"/>
          <w:szCs w:val="26"/>
        </w:rPr>
        <w:t xml:space="preserve">.  </w:t>
      </w:r>
    </w:p>
    <w:p w:rsidR="00C34449" w:rsidP="00745A76" w:rsidRDefault="00CC4BA7" w14:paraId="6C43E13B" w14:textId="5A06D4CC">
      <w:pPr>
        <w:pStyle w:val="Standard"/>
        <w:ind w:firstLine="720"/>
        <w:rPr>
          <w:sz w:val="26"/>
          <w:szCs w:val="26"/>
        </w:rPr>
      </w:pPr>
      <w:r>
        <w:rPr>
          <w:sz w:val="26"/>
          <w:szCs w:val="26"/>
        </w:rPr>
        <w:t xml:space="preserve">We provide </w:t>
      </w:r>
      <w:r w:rsidR="00E626E3">
        <w:rPr>
          <w:sz w:val="26"/>
          <w:szCs w:val="26"/>
        </w:rPr>
        <w:t>Cal Advocates’ proposal</w:t>
      </w:r>
      <w:r w:rsidR="00B42467">
        <w:rPr>
          <w:sz w:val="26"/>
          <w:szCs w:val="26"/>
        </w:rPr>
        <w:t xml:space="preserve"> alongside </w:t>
      </w:r>
      <w:r w:rsidR="00122D54">
        <w:rPr>
          <w:sz w:val="26"/>
          <w:szCs w:val="26"/>
        </w:rPr>
        <w:t>the FCC’s 2015 Order</w:t>
      </w:r>
      <w:r w:rsidR="00B42467">
        <w:rPr>
          <w:sz w:val="26"/>
          <w:szCs w:val="26"/>
        </w:rPr>
        <w:t xml:space="preserve"> ancillary fee requirements</w:t>
      </w:r>
      <w:r w:rsidR="00122D54">
        <w:rPr>
          <w:sz w:val="26"/>
          <w:szCs w:val="26"/>
        </w:rPr>
        <w:t xml:space="preserve">.  </w:t>
      </w:r>
      <w:r w:rsidR="000D4AE0">
        <w:rPr>
          <w:sz w:val="26"/>
          <w:szCs w:val="26"/>
        </w:rPr>
        <w:t>We indicate u</w:t>
      </w:r>
      <w:r w:rsidR="00122D54">
        <w:rPr>
          <w:sz w:val="26"/>
          <w:szCs w:val="26"/>
        </w:rPr>
        <w:t>pdates to the FCC’s 2015 ancill</w:t>
      </w:r>
      <w:r w:rsidR="000D4AE0">
        <w:rPr>
          <w:sz w:val="26"/>
          <w:szCs w:val="26"/>
        </w:rPr>
        <w:t xml:space="preserve">ary fee requirements, as adopted in </w:t>
      </w:r>
      <w:r w:rsidR="00B42467">
        <w:rPr>
          <w:sz w:val="26"/>
          <w:szCs w:val="26"/>
        </w:rPr>
        <w:t>the Third Order</w:t>
      </w:r>
      <w:r w:rsidR="000D4AE0">
        <w:rPr>
          <w:sz w:val="26"/>
          <w:szCs w:val="26"/>
        </w:rPr>
        <w:t>, in italics</w:t>
      </w:r>
      <w:r w:rsidR="00C34449">
        <w:rPr>
          <w:sz w:val="26"/>
          <w:szCs w:val="26"/>
        </w:rPr>
        <w:t xml:space="preserve">: </w:t>
      </w:r>
    </w:p>
    <w:p w:rsidRPr="00745A76" w:rsidR="00C34449" w:rsidP="00B64B13" w:rsidRDefault="00C34449" w14:paraId="03249850" w14:textId="09257072">
      <w:pPr>
        <w:pStyle w:val="Standard"/>
        <w:keepNext/>
        <w:keepLines/>
        <w:spacing w:after="120" w:line="240" w:lineRule="auto"/>
        <w:ind w:left="720"/>
        <w:rPr>
          <w:b/>
          <w:bCs/>
          <w:sz w:val="26"/>
          <w:szCs w:val="26"/>
        </w:rPr>
      </w:pPr>
      <w:r w:rsidRPr="00745A76">
        <w:rPr>
          <w:b/>
          <w:bCs/>
          <w:sz w:val="26"/>
          <w:szCs w:val="26"/>
        </w:rPr>
        <w:t xml:space="preserve">Table </w:t>
      </w:r>
      <w:r w:rsidRPr="00745A76" w:rsidR="00541B07">
        <w:rPr>
          <w:b/>
          <w:bCs/>
          <w:sz w:val="26"/>
          <w:szCs w:val="26"/>
        </w:rPr>
        <w:t>4</w:t>
      </w:r>
      <w:r w:rsidRPr="00745A76">
        <w:rPr>
          <w:b/>
          <w:bCs/>
          <w:sz w:val="26"/>
          <w:szCs w:val="26"/>
        </w:rPr>
        <w:t xml:space="preserve">:   Cal Advocates’ Proposals for Ancillary Services Fees </w:t>
      </w:r>
      <w:r w:rsidR="00745A76">
        <w:rPr>
          <w:b/>
          <w:bCs/>
          <w:sz w:val="26"/>
          <w:szCs w:val="26"/>
        </w:rPr>
        <w:br/>
      </w:r>
      <w:r w:rsidRPr="00745A76">
        <w:rPr>
          <w:b/>
          <w:bCs/>
          <w:sz w:val="26"/>
          <w:szCs w:val="26"/>
        </w:rPr>
        <w:t>and FCC Current Rate Caps</w:t>
      </w:r>
      <w:r w:rsidRPr="00745A76" w:rsidR="009A384F">
        <w:rPr>
          <w:rStyle w:val="FootnoteReference"/>
          <w:b/>
          <w:bCs/>
          <w:sz w:val="26"/>
          <w:szCs w:val="26"/>
        </w:rPr>
        <w:footnoteReference w:id="198"/>
      </w:r>
    </w:p>
    <w:tbl>
      <w:tblPr>
        <w:tblStyle w:val="TableGrid"/>
        <w:tblW w:w="0" w:type="auto"/>
        <w:tblLook w:val="04A0" w:firstRow="1" w:lastRow="0" w:firstColumn="1" w:lastColumn="0" w:noHBand="0" w:noVBand="1"/>
      </w:tblPr>
      <w:tblGrid>
        <w:gridCol w:w="765"/>
        <w:gridCol w:w="2020"/>
        <w:gridCol w:w="3060"/>
        <w:gridCol w:w="3505"/>
      </w:tblGrid>
      <w:tr w:rsidRPr="00025457" w:rsidR="00C34449" w:rsidTr="0028444B" w14:paraId="272F0EC2" w14:textId="77777777">
        <w:trPr>
          <w:trHeight w:val="1061"/>
        </w:trPr>
        <w:tc>
          <w:tcPr>
            <w:tcW w:w="765" w:type="dxa"/>
            <w:noWrap/>
            <w:hideMark/>
          </w:tcPr>
          <w:p w:rsidRPr="001F173D" w:rsidR="00C34449" w:rsidP="00B64B13" w:rsidRDefault="00C34449" w14:paraId="2DF3DC8D" w14:textId="77777777">
            <w:pPr>
              <w:pStyle w:val="Standard"/>
              <w:keepNext/>
              <w:keepLines/>
              <w:spacing w:line="240" w:lineRule="auto"/>
              <w:rPr>
                <w:b/>
              </w:rPr>
            </w:pPr>
            <w:r w:rsidRPr="001F173D">
              <w:rPr>
                <w:b/>
              </w:rPr>
              <w:t xml:space="preserve">Item No. </w:t>
            </w:r>
          </w:p>
        </w:tc>
        <w:tc>
          <w:tcPr>
            <w:tcW w:w="2020" w:type="dxa"/>
            <w:hideMark/>
          </w:tcPr>
          <w:p w:rsidRPr="001F173D" w:rsidR="00C34449" w:rsidP="00B64B13" w:rsidRDefault="00C34449" w14:paraId="7F60DC7F" w14:textId="77777777">
            <w:pPr>
              <w:pStyle w:val="Standard"/>
              <w:keepNext/>
              <w:keepLines/>
              <w:spacing w:line="240" w:lineRule="auto"/>
              <w:rPr>
                <w:b/>
              </w:rPr>
            </w:pPr>
            <w:r w:rsidRPr="001F173D">
              <w:rPr>
                <w:b/>
              </w:rPr>
              <w:t>Ancillary Service Charge</w:t>
            </w:r>
          </w:p>
        </w:tc>
        <w:tc>
          <w:tcPr>
            <w:tcW w:w="3060" w:type="dxa"/>
            <w:hideMark/>
          </w:tcPr>
          <w:p w:rsidRPr="001F173D" w:rsidR="00C34449" w:rsidP="00B64B13" w:rsidRDefault="00C34449" w14:paraId="41F7EBB9" w14:textId="5C0AC1B5">
            <w:pPr>
              <w:pStyle w:val="Standard"/>
              <w:keepNext/>
              <w:keepLines/>
              <w:spacing w:line="240" w:lineRule="auto"/>
              <w:rPr>
                <w:b/>
              </w:rPr>
            </w:pPr>
            <w:r w:rsidRPr="001F173D">
              <w:rPr>
                <w:b/>
              </w:rPr>
              <w:t>FCC</w:t>
            </w:r>
            <w:r w:rsidRPr="001F173D" w:rsidR="005E791E">
              <w:rPr>
                <w:b/>
              </w:rPr>
              <w:t xml:space="preserve"> 2015 Order </w:t>
            </w:r>
            <w:r w:rsidRPr="001F173D">
              <w:rPr>
                <w:b/>
              </w:rPr>
              <w:t>Rate Caps</w:t>
            </w:r>
            <w:r w:rsidRPr="001F173D" w:rsidR="00E91B86">
              <w:rPr>
                <w:rStyle w:val="FootnoteReference"/>
                <w:b/>
              </w:rPr>
              <w:footnoteReference w:id="199"/>
            </w:r>
          </w:p>
        </w:tc>
        <w:tc>
          <w:tcPr>
            <w:tcW w:w="3505" w:type="dxa"/>
            <w:hideMark/>
          </w:tcPr>
          <w:p w:rsidRPr="001F173D" w:rsidR="00C34449" w:rsidP="00B64B13" w:rsidRDefault="00C34449" w14:paraId="5F1AEE26" w14:textId="77777777">
            <w:pPr>
              <w:pStyle w:val="Standard"/>
              <w:keepNext/>
              <w:keepLines/>
              <w:spacing w:line="240" w:lineRule="auto"/>
              <w:rPr>
                <w:b/>
              </w:rPr>
            </w:pPr>
            <w:r w:rsidRPr="001F173D">
              <w:rPr>
                <w:b/>
              </w:rPr>
              <w:t>Cal Advocates' Proposed Rates</w:t>
            </w:r>
          </w:p>
        </w:tc>
      </w:tr>
      <w:tr w:rsidRPr="00025457" w:rsidR="00C34449" w:rsidTr="0028444B" w14:paraId="2A236363" w14:textId="77777777">
        <w:trPr>
          <w:trHeight w:val="600"/>
        </w:trPr>
        <w:tc>
          <w:tcPr>
            <w:tcW w:w="765" w:type="dxa"/>
            <w:noWrap/>
            <w:hideMark/>
          </w:tcPr>
          <w:p w:rsidRPr="001F173D" w:rsidR="00C34449" w:rsidP="0028444B" w:rsidRDefault="00C34449" w14:paraId="5355F1FB" w14:textId="77777777">
            <w:pPr>
              <w:pStyle w:val="Standard"/>
              <w:spacing w:line="240" w:lineRule="auto"/>
            </w:pPr>
            <w:r w:rsidRPr="001F173D">
              <w:t>1</w:t>
            </w:r>
          </w:p>
        </w:tc>
        <w:tc>
          <w:tcPr>
            <w:tcW w:w="2020" w:type="dxa"/>
            <w:hideMark/>
          </w:tcPr>
          <w:p w:rsidRPr="001F173D" w:rsidR="00C34449" w:rsidP="0028444B" w:rsidRDefault="00C34449" w14:paraId="23310B4B" w14:textId="611D9020">
            <w:pPr>
              <w:pStyle w:val="Standard"/>
              <w:spacing w:line="240" w:lineRule="auto"/>
            </w:pPr>
            <w:r w:rsidRPr="001F173D">
              <w:t xml:space="preserve">Automated </w:t>
            </w:r>
            <w:r w:rsidR="00A849EC">
              <w:t>p</w:t>
            </w:r>
            <w:r w:rsidRPr="001F173D">
              <w:t xml:space="preserve">ayment </w:t>
            </w:r>
            <w:r w:rsidR="00A849EC">
              <w:t>f</w:t>
            </w:r>
            <w:r w:rsidRPr="001F173D">
              <w:t>ees</w:t>
            </w:r>
          </w:p>
        </w:tc>
        <w:tc>
          <w:tcPr>
            <w:tcW w:w="3060" w:type="dxa"/>
            <w:noWrap/>
            <w:hideMark/>
          </w:tcPr>
          <w:p w:rsidRPr="001F173D" w:rsidR="00C34449" w:rsidP="0028444B" w:rsidRDefault="00C34449" w14:paraId="2B8AFF4F" w14:textId="77777777">
            <w:pPr>
              <w:pStyle w:val="Standard"/>
              <w:spacing w:line="240" w:lineRule="auto"/>
            </w:pPr>
            <w:r w:rsidRPr="001F173D">
              <w:t>$3.00 per use</w:t>
            </w:r>
          </w:p>
        </w:tc>
        <w:tc>
          <w:tcPr>
            <w:tcW w:w="3505" w:type="dxa"/>
            <w:hideMark/>
          </w:tcPr>
          <w:p w:rsidRPr="001F173D" w:rsidR="00C34449" w:rsidP="0028444B" w:rsidRDefault="00C34449" w14:paraId="0E7142FC" w14:textId="77777777">
            <w:pPr>
              <w:pStyle w:val="Standard"/>
              <w:spacing w:line="240" w:lineRule="auto"/>
            </w:pPr>
            <w:r w:rsidRPr="001F173D">
              <w:t>This charge should be prohibited</w:t>
            </w:r>
          </w:p>
        </w:tc>
      </w:tr>
      <w:tr w:rsidRPr="00025457" w:rsidR="00C34449" w:rsidTr="0028444B" w14:paraId="468C6EA9" w14:textId="77777777">
        <w:trPr>
          <w:trHeight w:val="600"/>
        </w:trPr>
        <w:tc>
          <w:tcPr>
            <w:tcW w:w="765" w:type="dxa"/>
            <w:noWrap/>
            <w:hideMark/>
          </w:tcPr>
          <w:p w:rsidRPr="001F173D" w:rsidR="00C34449" w:rsidP="0028444B" w:rsidRDefault="00C34449" w14:paraId="2AA89C64" w14:textId="77777777">
            <w:pPr>
              <w:pStyle w:val="Standard"/>
              <w:spacing w:line="240" w:lineRule="auto"/>
            </w:pPr>
            <w:r w:rsidRPr="001F173D">
              <w:t>2</w:t>
            </w:r>
          </w:p>
        </w:tc>
        <w:tc>
          <w:tcPr>
            <w:tcW w:w="2020" w:type="dxa"/>
            <w:hideMark/>
          </w:tcPr>
          <w:p w:rsidRPr="001F173D" w:rsidR="00C34449" w:rsidP="0028444B" w:rsidRDefault="00C34449" w14:paraId="2184707C" w14:textId="0453B47D">
            <w:pPr>
              <w:pStyle w:val="Standard"/>
              <w:spacing w:line="240" w:lineRule="auto"/>
            </w:pPr>
            <w:r w:rsidRPr="001F173D">
              <w:t xml:space="preserve">Paper </w:t>
            </w:r>
            <w:r w:rsidR="00A849EC">
              <w:t>b</w:t>
            </w:r>
            <w:r w:rsidRPr="001F173D">
              <w:t xml:space="preserve">ill/ </w:t>
            </w:r>
            <w:r w:rsidR="00A849EC">
              <w:t>s</w:t>
            </w:r>
            <w:r w:rsidRPr="001F173D">
              <w:t xml:space="preserve">tatement </w:t>
            </w:r>
            <w:r w:rsidR="00A849EC">
              <w:t>f</w:t>
            </w:r>
            <w:r w:rsidRPr="001F173D">
              <w:t>ee</w:t>
            </w:r>
          </w:p>
        </w:tc>
        <w:tc>
          <w:tcPr>
            <w:tcW w:w="3060" w:type="dxa"/>
            <w:noWrap/>
            <w:hideMark/>
          </w:tcPr>
          <w:p w:rsidRPr="001F173D" w:rsidR="00C34449" w:rsidP="0028444B" w:rsidRDefault="00C34449" w14:paraId="70DC1BD0" w14:textId="77777777">
            <w:pPr>
              <w:pStyle w:val="Standard"/>
              <w:spacing w:line="240" w:lineRule="auto"/>
            </w:pPr>
            <w:r w:rsidRPr="001F173D">
              <w:t>$2.00 per use</w:t>
            </w:r>
          </w:p>
        </w:tc>
        <w:tc>
          <w:tcPr>
            <w:tcW w:w="3505" w:type="dxa"/>
            <w:hideMark/>
          </w:tcPr>
          <w:p w:rsidRPr="001F173D" w:rsidR="00C34449" w:rsidP="0028444B" w:rsidRDefault="00C34449" w14:paraId="4723E170" w14:textId="77777777">
            <w:pPr>
              <w:pStyle w:val="Standard"/>
              <w:spacing w:line="240" w:lineRule="auto"/>
            </w:pPr>
            <w:r w:rsidRPr="001F173D">
              <w:t>This charge should be prohibited</w:t>
            </w:r>
          </w:p>
        </w:tc>
      </w:tr>
      <w:tr w:rsidRPr="00025457" w:rsidR="00C34449" w:rsidTr="0028444B" w14:paraId="18EA5417" w14:textId="77777777">
        <w:trPr>
          <w:trHeight w:val="300"/>
        </w:trPr>
        <w:tc>
          <w:tcPr>
            <w:tcW w:w="765" w:type="dxa"/>
            <w:noWrap/>
            <w:hideMark/>
          </w:tcPr>
          <w:p w:rsidRPr="001F173D" w:rsidR="00C34449" w:rsidP="0028444B" w:rsidRDefault="00C34449" w14:paraId="147E3598" w14:textId="77777777">
            <w:pPr>
              <w:pStyle w:val="Standard"/>
              <w:spacing w:line="240" w:lineRule="auto"/>
            </w:pPr>
            <w:r w:rsidRPr="001F173D">
              <w:t>3</w:t>
            </w:r>
          </w:p>
        </w:tc>
        <w:tc>
          <w:tcPr>
            <w:tcW w:w="2020" w:type="dxa"/>
            <w:hideMark/>
          </w:tcPr>
          <w:p w:rsidRPr="001F173D" w:rsidR="00C34449" w:rsidP="0028444B" w:rsidRDefault="00C34449" w14:paraId="48DAC6C9" w14:textId="2C3C4279">
            <w:pPr>
              <w:pStyle w:val="Standard"/>
              <w:spacing w:line="240" w:lineRule="auto"/>
            </w:pPr>
            <w:r w:rsidRPr="001F173D">
              <w:t xml:space="preserve">Live </w:t>
            </w:r>
            <w:r w:rsidR="00A849EC">
              <w:t>a</w:t>
            </w:r>
            <w:r w:rsidRPr="001F173D">
              <w:t xml:space="preserve">gent </w:t>
            </w:r>
            <w:r w:rsidR="00A849EC">
              <w:t>f</w:t>
            </w:r>
            <w:r w:rsidRPr="001F173D">
              <w:t>ee</w:t>
            </w:r>
          </w:p>
        </w:tc>
        <w:tc>
          <w:tcPr>
            <w:tcW w:w="3060" w:type="dxa"/>
            <w:noWrap/>
            <w:hideMark/>
          </w:tcPr>
          <w:p w:rsidRPr="001F173D" w:rsidR="00C34449" w:rsidP="0028444B" w:rsidRDefault="00C34449" w14:paraId="0C08DA33" w14:textId="77777777">
            <w:pPr>
              <w:pStyle w:val="Standard"/>
              <w:spacing w:line="240" w:lineRule="auto"/>
            </w:pPr>
            <w:r w:rsidRPr="001F173D">
              <w:t>$5.95 per use</w:t>
            </w:r>
          </w:p>
        </w:tc>
        <w:tc>
          <w:tcPr>
            <w:tcW w:w="3505" w:type="dxa"/>
            <w:hideMark/>
          </w:tcPr>
          <w:p w:rsidRPr="001F173D" w:rsidR="00C34449" w:rsidP="0028444B" w:rsidRDefault="00C34449" w14:paraId="4AA78D73" w14:textId="77777777">
            <w:pPr>
              <w:pStyle w:val="Standard"/>
              <w:spacing w:line="240" w:lineRule="auto"/>
            </w:pPr>
            <w:r w:rsidRPr="001F173D">
              <w:t>This charge should be prohibited</w:t>
            </w:r>
          </w:p>
        </w:tc>
      </w:tr>
      <w:tr w:rsidRPr="00025457" w:rsidR="00C34449" w:rsidTr="00472730" w14:paraId="0F1CAD3C" w14:textId="77777777">
        <w:trPr>
          <w:trHeight w:val="620"/>
        </w:trPr>
        <w:tc>
          <w:tcPr>
            <w:tcW w:w="765" w:type="dxa"/>
            <w:noWrap/>
            <w:hideMark/>
          </w:tcPr>
          <w:p w:rsidRPr="001F173D" w:rsidR="00C34449" w:rsidP="0028444B" w:rsidRDefault="00C34449" w14:paraId="70A8ABA0" w14:textId="77777777">
            <w:pPr>
              <w:pStyle w:val="Standard"/>
              <w:spacing w:line="240" w:lineRule="auto"/>
            </w:pPr>
            <w:r w:rsidRPr="001F173D">
              <w:t>4</w:t>
            </w:r>
          </w:p>
        </w:tc>
        <w:tc>
          <w:tcPr>
            <w:tcW w:w="2020" w:type="dxa"/>
            <w:hideMark/>
          </w:tcPr>
          <w:p w:rsidRPr="001F173D" w:rsidR="00C34449" w:rsidP="0028444B" w:rsidRDefault="00C34449" w14:paraId="11CD1EF3" w14:textId="5AB5CEEC">
            <w:pPr>
              <w:pStyle w:val="Standard"/>
              <w:spacing w:line="240" w:lineRule="auto"/>
            </w:pPr>
            <w:r w:rsidRPr="001F173D">
              <w:t>Single-</w:t>
            </w:r>
            <w:r w:rsidR="00A849EC">
              <w:t>c</w:t>
            </w:r>
            <w:r w:rsidRPr="001F173D">
              <w:t xml:space="preserve">all and </w:t>
            </w:r>
            <w:r w:rsidR="00A849EC">
              <w:t>r</w:t>
            </w:r>
            <w:r w:rsidRPr="001F173D">
              <w:t xml:space="preserve">elated </w:t>
            </w:r>
            <w:r w:rsidR="00A849EC">
              <w:t>s</w:t>
            </w:r>
            <w:r w:rsidRPr="001F173D">
              <w:t>ervices</w:t>
            </w:r>
          </w:p>
        </w:tc>
        <w:tc>
          <w:tcPr>
            <w:tcW w:w="3060" w:type="dxa"/>
            <w:noWrap/>
            <w:hideMark/>
          </w:tcPr>
          <w:p w:rsidRPr="001F173D" w:rsidR="00C34449" w:rsidP="0028444B" w:rsidRDefault="00C34449" w14:paraId="052913A4" w14:textId="73F94A96">
            <w:pPr>
              <w:pStyle w:val="Standard"/>
              <w:spacing w:line="240" w:lineRule="auto"/>
            </w:pPr>
            <w:r w:rsidRPr="001F173D">
              <w:t>IPCS providers pass through exact transaction fees charged by third-party providers, with no additional markup</w:t>
            </w:r>
            <w:r w:rsidRPr="001F173D" w:rsidR="000D4AE0">
              <w:t xml:space="preserve"> </w:t>
            </w:r>
            <w:r w:rsidRPr="001F173D" w:rsidR="000D4AE0">
              <w:rPr>
                <w:i/>
              </w:rPr>
              <w:t xml:space="preserve">up to a cap of $6.95 per </w:t>
            </w:r>
            <w:r w:rsidR="007A4F68">
              <w:rPr>
                <w:i/>
              </w:rPr>
              <w:t>transaction</w:t>
            </w:r>
            <w:r w:rsidRPr="001F173D">
              <w:t>, plus the adopted, per-minute rate</w:t>
            </w:r>
          </w:p>
        </w:tc>
        <w:tc>
          <w:tcPr>
            <w:tcW w:w="3505" w:type="dxa"/>
            <w:hideMark/>
          </w:tcPr>
          <w:p w:rsidRPr="001F173D" w:rsidR="00C34449" w:rsidP="0028444B" w:rsidRDefault="00C34449" w14:paraId="13E3395F" w14:textId="77777777">
            <w:pPr>
              <w:pStyle w:val="Standard"/>
              <w:spacing w:line="240" w:lineRule="auto"/>
            </w:pPr>
            <w:r w:rsidRPr="001F173D">
              <w:t>In addition to adopting the FCC's requirements, the Commission should enforce this order through robust enforcement actions</w:t>
            </w:r>
          </w:p>
        </w:tc>
      </w:tr>
      <w:tr w:rsidRPr="00025457" w:rsidR="00C34449" w:rsidTr="0028444B" w14:paraId="60F13EEF" w14:textId="77777777">
        <w:trPr>
          <w:trHeight w:val="1200"/>
        </w:trPr>
        <w:tc>
          <w:tcPr>
            <w:tcW w:w="765" w:type="dxa"/>
            <w:noWrap/>
            <w:hideMark/>
          </w:tcPr>
          <w:p w:rsidRPr="001F173D" w:rsidR="00C34449" w:rsidP="0028444B" w:rsidRDefault="00C34449" w14:paraId="5A2E815B" w14:textId="77777777">
            <w:pPr>
              <w:pStyle w:val="Standard"/>
              <w:spacing w:line="240" w:lineRule="auto"/>
            </w:pPr>
            <w:r w:rsidRPr="001F173D">
              <w:t>5</w:t>
            </w:r>
          </w:p>
        </w:tc>
        <w:tc>
          <w:tcPr>
            <w:tcW w:w="2020" w:type="dxa"/>
            <w:hideMark/>
          </w:tcPr>
          <w:p w:rsidRPr="001F173D" w:rsidR="00C34449" w:rsidP="0028444B" w:rsidRDefault="00C34449" w14:paraId="4525607E" w14:textId="331179BC">
            <w:pPr>
              <w:pStyle w:val="Standard"/>
              <w:spacing w:line="240" w:lineRule="auto"/>
            </w:pPr>
            <w:r w:rsidRPr="001F173D">
              <w:t>Third-</w:t>
            </w:r>
            <w:r w:rsidR="00A849EC">
              <w:t>p</w:t>
            </w:r>
            <w:r w:rsidRPr="001F173D">
              <w:t xml:space="preserve">arty </w:t>
            </w:r>
            <w:r w:rsidR="00A849EC">
              <w:t>f</w:t>
            </w:r>
            <w:r w:rsidRPr="001F173D">
              <w:t xml:space="preserve">inancial </w:t>
            </w:r>
            <w:r w:rsidR="00A849EC">
              <w:t>t</w:t>
            </w:r>
            <w:r w:rsidRPr="001F173D">
              <w:t xml:space="preserve">ransaction </w:t>
            </w:r>
            <w:r w:rsidR="00A849EC">
              <w:t>f</w:t>
            </w:r>
            <w:r w:rsidRPr="001F173D">
              <w:t>ees</w:t>
            </w:r>
          </w:p>
        </w:tc>
        <w:tc>
          <w:tcPr>
            <w:tcW w:w="3060" w:type="dxa"/>
            <w:noWrap/>
            <w:hideMark/>
          </w:tcPr>
          <w:p w:rsidRPr="001F173D" w:rsidR="00C34449" w:rsidP="0028444B" w:rsidRDefault="00C34449" w14:paraId="45F392D9" w14:textId="31967E14">
            <w:pPr>
              <w:pStyle w:val="Standard"/>
              <w:spacing w:line="240" w:lineRule="auto"/>
            </w:pPr>
            <w:r w:rsidRPr="001F173D">
              <w:t xml:space="preserve">IPCS providers pass through exact transaction fees charged by third-party providers, with no </w:t>
            </w:r>
            <w:r w:rsidRPr="001F173D">
              <w:lastRenderedPageBreak/>
              <w:t>additional markup</w:t>
            </w:r>
            <w:r w:rsidRPr="001F173D" w:rsidR="000D4AE0">
              <w:t xml:space="preserve">, </w:t>
            </w:r>
            <w:r w:rsidRPr="001F173D" w:rsidR="000D4AE0">
              <w:rPr>
                <w:i/>
              </w:rPr>
              <w:t xml:space="preserve">up to a cap of $6.95 per </w:t>
            </w:r>
            <w:r w:rsidR="007A4F68">
              <w:rPr>
                <w:i/>
              </w:rPr>
              <w:t>transaction</w:t>
            </w:r>
            <w:r w:rsidRPr="001F173D" w:rsidR="000D4AE0">
              <w:rPr>
                <w:i/>
              </w:rPr>
              <w:t>.</w:t>
            </w:r>
          </w:p>
        </w:tc>
        <w:tc>
          <w:tcPr>
            <w:tcW w:w="3505" w:type="dxa"/>
            <w:hideMark/>
          </w:tcPr>
          <w:p w:rsidRPr="001F173D" w:rsidR="00C34449" w:rsidP="0028444B" w:rsidRDefault="00C34449" w14:paraId="2C5556D7" w14:textId="77777777">
            <w:pPr>
              <w:pStyle w:val="Standard"/>
              <w:spacing w:line="240" w:lineRule="auto"/>
            </w:pPr>
            <w:r w:rsidRPr="001F173D">
              <w:lastRenderedPageBreak/>
              <w:t>In addition to adopting the FCC's requirements, the Commission should enforce this order through robust enforcement actions</w:t>
            </w:r>
          </w:p>
        </w:tc>
      </w:tr>
    </w:tbl>
    <w:p w:rsidRPr="00A95E0E" w:rsidR="00C34449" w:rsidP="00C34449" w:rsidRDefault="00C34449" w14:paraId="220845F2" w14:textId="77777777">
      <w:pPr>
        <w:pStyle w:val="Standard"/>
        <w:rPr>
          <w:sz w:val="12"/>
          <w:szCs w:val="12"/>
        </w:rPr>
      </w:pPr>
    </w:p>
    <w:p w:rsidRPr="00A95E0E" w:rsidR="00C34449" w:rsidP="00A95E0E" w:rsidRDefault="00E452EB" w14:paraId="327016B4" w14:textId="0CE0B3BE">
      <w:pPr>
        <w:pStyle w:val="Standard"/>
        <w:ind w:firstLine="720"/>
        <w:rPr>
          <w:sz w:val="26"/>
          <w:szCs w:val="26"/>
        </w:rPr>
      </w:pPr>
      <w:r w:rsidRPr="00A95E0E">
        <w:rPr>
          <w:sz w:val="26"/>
          <w:szCs w:val="26"/>
        </w:rPr>
        <w:t xml:space="preserve">We provide the following overview of </w:t>
      </w:r>
      <w:r w:rsidRPr="00A95E0E" w:rsidR="00A2458C">
        <w:rPr>
          <w:sz w:val="26"/>
          <w:szCs w:val="26"/>
        </w:rPr>
        <w:t>the rat</w:t>
      </w:r>
      <w:r w:rsidRPr="00A95E0E" w:rsidR="00A957F7">
        <w:rPr>
          <w:sz w:val="26"/>
          <w:szCs w:val="26"/>
        </w:rPr>
        <w:t xml:space="preserve">ionale </w:t>
      </w:r>
      <w:r w:rsidRPr="00A95E0E" w:rsidR="00C34449">
        <w:rPr>
          <w:sz w:val="26"/>
          <w:szCs w:val="26"/>
        </w:rPr>
        <w:t>Cal Advocates</w:t>
      </w:r>
      <w:r w:rsidRPr="00A95E0E">
        <w:rPr>
          <w:sz w:val="26"/>
          <w:szCs w:val="26"/>
        </w:rPr>
        <w:t xml:space="preserve"> </w:t>
      </w:r>
      <w:r w:rsidR="00B2358B">
        <w:rPr>
          <w:sz w:val="26"/>
          <w:szCs w:val="26"/>
        </w:rPr>
        <w:t xml:space="preserve">included with </w:t>
      </w:r>
      <w:r w:rsidRPr="00A95E0E" w:rsidR="00A957F7">
        <w:rPr>
          <w:sz w:val="26"/>
          <w:szCs w:val="26"/>
        </w:rPr>
        <w:t>its proposal:</w:t>
      </w:r>
    </w:p>
    <w:p w:rsidR="008D768C" w:rsidP="008D768C" w:rsidRDefault="00C34449" w14:paraId="38570A3D" w14:textId="7372647B">
      <w:pPr>
        <w:pStyle w:val="Standard"/>
        <w:ind w:firstLine="720"/>
        <w:rPr>
          <w:sz w:val="26"/>
          <w:szCs w:val="26"/>
        </w:rPr>
      </w:pPr>
      <w:r w:rsidRPr="003D2B99">
        <w:rPr>
          <w:b/>
          <w:bCs/>
          <w:sz w:val="26"/>
          <w:szCs w:val="26"/>
        </w:rPr>
        <w:t>Prohibition of Automated Payment Fee:</w:t>
      </w:r>
      <w:r w:rsidRPr="003D2B99">
        <w:rPr>
          <w:sz w:val="26"/>
          <w:szCs w:val="26"/>
        </w:rPr>
        <w:t xml:space="preserve">  </w:t>
      </w:r>
      <w:r w:rsidR="00DC2EB1">
        <w:rPr>
          <w:sz w:val="26"/>
          <w:szCs w:val="26"/>
        </w:rPr>
        <w:t>As defined by the FCC, a</w:t>
      </w:r>
      <w:r w:rsidRPr="003D2B99">
        <w:rPr>
          <w:sz w:val="26"/>
          <w:szCs w:val="26"/>
        </w:rPr>
        <w:t xml:space="preserve">utomated </w:t>
      </w:r>
      <w:r w:rsidR="00A849EC">
        <w:rPr>
          <w:sz w:val="26"/>
          <w:szCs w:val="26"/>
        </w:rPr>
        <w:t>p</w:t>
      </w:r>
      <w:r w:rsidRPr="003D2B99">
        <w:rPr>
          <w:sz w:val="26"/>
          <w:szCs w:val="26"/>
        </w:rPr>
        <w:t xml:space="preserve">ayment </w:t>
      </w:r>
      <w:r w:rsidR="00A849EC">
        <w:rPr>
          <w:sz w:val="26"/>
          <w:szCs w:val="26"/>
        </w:rPr>
        <w:t>f</w:t>
      </w:r>
      <w:r w:rsidRPr="003D2B99">
        <w:rPr>
          <w:sz w:val="26"/>
          <w:szCs w:val="26"/>
        </w:rPr>
        <w:t>ees are charges by IPCS providers for various types of transactions, including “credit card payment, debit card payment, and bill processing fees, including fees for payments made by interactive voice response (IVR), web, or kiosk.”</w:t>
      </w:r>
      <w:r w:rsidRPr="003D2B99">
        <w:rPr>
          <w:rStyle w:val="FootnoteReference"/>
          <w:sz w:val="26"/>
          <w:szCs w:val="26"/>
        </w:rPr>
        <w:footnoteReference w:id="200"/>
      </w:r>
      <w:r w:rsidRPr="003D2B99">
        <w:rPr>
          <w:sz w:val="26"/>
          <w:szCs w:val="26"/>
        </w:rPr>
        <w:t xml:space="preserve"> </w:t>
      </w:r>
      <w:r w:rsidRPr="003D2B99" w:rsidR="7640999B">
        <w:rPr>
          <w:sz w:val="26"/>
          <w:szCs w:val="26"/>
        </w:rPr>
        <w:t xml:space="preserve"> </w:t>
      </w:r>
      <w:r w:rsidRPr="003D2B99">
        <w:rPr>
          <w:sz w:val="26"/>
          <w:szCs w:val="26"/>
        </w:rPr>
        <w:t>These fees are incurred when people who are incarcerated or their families use a credit or debit card to fund their IPCS accounts for future calls.</w:t>
      </w:r>
      <w:r w:rsidRPr="003D2B99">
        <w:rPr>
          <w:rStyle w:val="FootnoteReference"/>
          <w:sz w:val="26"/>
          <w:szCs w:val="26"/>
        </w:rPr>
        <w:footnoteReference w:id="201"/>
      </w:r>
      <w:r w:rsidRPr="003D2B99">
        <w:rPr>
          <w:sz w:val="26"/>
          <w:szCs w:val="26"/>
        </w:rPr>
        <w:t xml:space="preserve">  </w:t>
      </w:r>
    </w:p>
    <w:p w:rsidR="008D768C" w:rsidP="008D768C" w:rsidRDefault="001F039A" w14:paraId="0A110F42" w14:textId="235C35E6">
      <w:pPr>
        <w:pStyle w:val="Standard"/>
        <w:ind w:firstLine="720"/>
        <w:rPr>
          <w:sz w:val="26"/>
          <w:szCs w:val="26"/>
        </w:rPr>
      </w:pPr>
      <w:r w:rsidRPr="003D2B99">
        <w:rPr>
          <w:sz w:val="26"/>
          <w:szCs w:val="26"/>
        </w:rPr>
        <w:t>Cal Advocates observes that r</w:t>
      </w:r>
      <w:r w:rsidRPr="003D2B99" w:rsidR="00C34449">
        <w:rPr>
          <w:sz w:val="26"/>
          <w:szCs w:val="26"/>
        </w:rPr>
        <w:t>etail stores also process payments through debit/credit cards</w:t>
      </w:r>
      <w:r w:rsidRPr="003D2B99">
        <w:rPr>
          <w:sz w:val="26"/>
          <w:szCs w:val="26"/>
        </w:rPr>
        <w:t xml:space="preserve"> but do not charge </w:t>
      </w:r>
      <w:r w:rsidRPr="003D2B99" w:rsidR="00C34449">
        <w:rPr>
          <w:sz w:val="26"/>
          <w:szCs w:val="26"/>
        </w:rPr>
        <w:t xml:space="preserve">customers automatic payment fees. </w:t>
      </w:r>
      <w:r w:rsidRPr="003D2B99" w:rsidR="38861954">
        <w:rPr>
          <w:sz w:val="26"/>
          <w:szCs w:val="26"/>
        </w:rPr>
        <w:t xml:space="preserve"> </w:t>
      </w:r>
      <w:r w:rsidRPr="003D2B99" w:rsidR="00C34449">
        <w:rPr>
          <w:sz w:val="26"/>
          <w:szCs w:val="26"/>
        </w:rPr>
        <w:t>This principle should apply to IPCS providers</w:t>
      </w:r>
      <w:r w:rsidRPr="003D2B99">
        <w:rPr>
          <w:sz w:val="26"/>
          <w:szCs w:val="26"/>
        </w:rPr>
        <w:t>,</w:t>
      </w:r>
      <w:r w:rsidRPr="003D2B99" w:rsidR="003D2B99">
        <w:rPr>
          <w:sz w:val="26"/>
          <w:szCs w:val="26"/>
        </w:rPr>
        <w:t xml:space="preserve"> Cal Advocates states.  Cal Advocate </w:t>
      </w:r>
      <w:r w:rsidR="00EE0697">
        <w:rPr>
          <w:sz w:val="26"/>
          <w:szCs w:val="26"/>
        </w:rPr>
        <w:t xml:space="preserve">states </w:t>
      </w:r>
      <w:r w:rsidRPr="003D2B99" w:rsidR="003D2B99">
        <w:rPr>
          <w:sz w:val="26"/>
          <w:szCs w:val="26"/>
        </w:rPr>
        <w:t>that f</w:t>
      </w:r>
      <w:r w:rsidRPr="003D2B99" w:rsidR="00C34449">
        <w:rPr>
          <w:sz w:val="26"/>
          <w:szCs w:val="26"/>
        </w:rPr>
        <w:t>ifteen state prison systems have eliminated automated payment</w:t>
      </w:r>
      <w:r w:rsidR="00D401DF">
        <w:rPr>
          <w:sz w:val="26"/>
          <w:szCs w:val="26"/>
        </w:rPr>
        <w:t xml:space="preserve">/automated </w:t>
      </w:r>
      <w:r w:rsidRPr="003D2B99" w:rsidR="00C34449">
        <w:rPr>
          <w:sz w:val="26"/>
          <w:szCs w:val="26"/>
        </w:rPr>
        <w:t>deposit fees entirely</w:t>
      </w:r>
      <w:r w:rsidRPr="003D2B99" w:rsidR="003D2B99">
        <w:rPr>
          <w:sz w:val="26"/>
          <w:szCs w:val="26"/>
        </w:rPr>
        <w:t xml:space="preserve"> and </w:t>
      </w:r>
      <w:r w:rsidR="00B2358B">
        <w:rPr>
          <w:sz w:val="26"/>
          <w:szCs w:val="26"/>
        </w:rPr>
        <w:t xml:space="preserve">that </w:t>
      </w:r>
      <w:r w:rsidRPr="003D2B99" w:rsidR="00C34449">
        <w:rPr>
          <w:sz w:val="26"/>
          <w:szCs w:val="26"/>
        </w:rPr>
        <w:t>GTL do</w:t>
      </w:r>
      <w:r w:rsidR="000073E7">
        <w:rPr>
          <w:sz w:val="26"/>
          <w:szCs w:val="26"/>
        </w:rPr>
        <w:t>e</w:t>
      </w:r>
      <w:r w:rsidRPr="003D2B99" w:rsidR="00C34449">
        <w:rPr>
          <w:sz w:val="26"/>
          <w:szCs w:val="26"/>
        </w:rPr>
        <w:t xml:space="preserve">s not currently impose this fee on incarcerated </w:t>
      </w:r>
      <w:r w:rsidR="00B2358B">
        <w:rPr>
          <w:sz w:val="26"/>
          <w:szCs w:val="26"/>
        </w:rPr>
        <w:t xml:space="preserve">persons </w:t>
      </w:r>
      <w:r w:rsidRPr="003D2B99" w:rsidR="00C34449">
        <w:rPr>
          <w:sz w:val="26"/>
          <w:szCs w:val="26"/>
        </w:rPr>
        <w:t>in multiple facilities in California.</w:t>
      </w:r>
      <w:r w:rsidRPr="003D2B99" w:rsidR="00C34449">
        <w:rPr>
          <w:rStyle w:val="FootnoteReference"/>
          <w:sz w:val="26"/>
          <w:szCs w:val="26"/>
        </w:rPr>
        <w:footnoteReference w:id="202"/>
      </w:r>
    </w:p>
    <w:p w:rsidR="008D768C" w:rsidP="008D768C" w:rsidRDefault="00C34449" w14:paraId="39B212DA" w14:textId="540296AD">
      <w:pPr>
        <w:pStyle w:val="Standard"/>
        <w:ind w:firstLine="720"/>
        <w:rPr>
          <w:sz w:val="26"/>
          <w:szCs w:val="26"/>
        </w:rPr>
      </w:pPr>
      <w:r w:rsidRPr="003D2B99">
        <w:rPr>
          <w:b/>
          <w:bCs/>
          <w:sz w:val="26"/>
          <w:szCs w:val="26"/>
        </w:rPr>
        <w:lastRenderedPageBreak/>
        <w:t>Prohibition of Paper Bill/ Statement Fee:</w:t>
      </w:r>
      <w:r w:rsidRPr="003D2B99">
        <w:rPr>
          <w:sz w:val="26"/>
          <w:szCs w:val="26"/>
        </w:rPr>
        <w:t xml:space="preserve">  Paper Bill/Statement Fees are fees “associated with providing I[P]CS customers paper billing statements.”</w:t>
      </w:r>
      <w:r w:rsidRPr="003D2B99">
        <w:rPr>
          <w:rStyle w:val="FootnoteReference"/>
          <w:sz w:val="26"/>
          <w:szCs w:val="26"/>
        </w:rPr>
        <w:footnoteReference w:id="203"/>
      </w:r>
      <w:r w:rsidRPr="003D2B99">
        <w:rPr>
          <w:sz w:val="26"/>
          <w:szCs w:val="26"/>
        </w:rPr>
        <w:t xml:space="preserve"> </w:t>
      </w:r>
      <w:r w:rsidR="008D768C">
        <w:rPr>
          <w:sz w:val="26"/>
          <w:szCs w:val="26"/>
        </w:rPr>
        <w:t>Cal Advocates observes that c</w:t>
      </w:r>
      <w:r w:rsidRPr="003D2B99">
        <w:rPr>
          <w:sz w:val="26"/>
          <w:szCs w:val="26"/>
        </w:rPr>
        <w:t>ustomers outside of IPCS facilities receive paper bills or statements, such as utility bills or bank statements, without paying additional fees</w:t>
      </w:r>
      <w:r w:rsidR="008D768C">
        <w:rPr>
          <w:sz w:val="26"/>
          <w:szCs w:val="26"/>
        </w:rPr>
        <w:t xml:space="preserve">; further, many </w:t>
      </w:r>
      <w:r w:rsidRPr="003D2B99">
        <w:rPr>
          <w:sz w:val="26"/>
          <w:szCs w:val="26"/>
        </w:rPr>
        <w:t>customers lack access to broadband service to access online statements.  Individuals who are incarcerated and their families should also have the same option to receive paper bills or statements for free</w:t>
      </w:r>
      <w:r w:rsidR="008D768C">
        <w:rPr>
          <w:sz w:val="26"/>
          <w:szCs w:val="26"/>
        </w:rPr>
        <w:t>, Cal</w:t>
      </w:r>
      <w:r w:rsidR="00A95E0E">
        <w:rPr>
          <w:sz w:val="26"/>
          <w:szCs w:val="26"/>
        </w:rPr>
        <w:t> </w:t>
      </w:r>
      <w:r w:rsidR="008D768C">
        <w:rPr>
          <w:sz w:val="26"/>
          <w:szCs w:val="26"/>
        </w:rPr>
        <w:t>Advocates contends</w:t>
      </w:r>
      <w:r w:rsidRPr="003D2B99">
        <w:rPr>
          <w:sz w:val="26"/>
          <w:szCs w:val="26"/>
        </w:rPr>
        <w:t xml:space="preserve">.  </w:t>
      </w:r>
      <w:r w:rsidR="008D768C">
        <w:rPr>
          <w:sz w:val="26"/>
          <w:szCs w:val="26"/>
        </w:rPr>
        <w:t xml:space="preserve">Cal Advocates states that New Jersey </w:t>
      </w:r>
      <w:r w:rsidRPr="003D2B99">
        <w:rPr>
          <w:sz w:val="26"/>
          <w:szCs w:val="26"/>
        </w:rPr>
        <w:t>has prohibited IPCS providers from imposing this fee</w:t>
      </w:r>
      <w:r w:rsidR="008D768C">
        <w:rPr>
          <w:sz w:val="26"/>
          <w:szCs w:val="26"/>
        </w:rPr>
        <w:t xml:space="preserve"> since 2015</w:t>
      </w:r>
      <w:r w:rsidRPr="003D2B99">
        <w:rPr>
          <w:sz w:val="26"/>
          <w:szCs w:val="26"/>
        </w:rPr>
        <w:t>.</w:t>
      </w:r>
      <w:r w:rsidRPr="003D2B99">
        <w:rPr>
          <w:rStyle w:val="FootnoteReference"/>
          <w:sz w:val="26"/>
          <w:szCs w:val="26"/>
        </w:rPr>
        <w:footnoteReference w:id="204"/>
      </w:r>
    </w:p>
    <w:p w:rsidR="008D768C" w:rsidP="008D768C" w:rsidRDefault="00C34449" w14:paraId="4DE686F7" w14:textId="51A1397F">
      <w:pPr>
        <w:pStyle w:val="Standard"/>
        <w:ind w:firstLine="720"/>
        <w:rPr>
          <w:sz w:val="26"/>
          <w:szCs w:val="26"/>
        </w:rPr>
      </w:pPr>
      <w:r w:rsidRPr="003D2B99">
        <w:rPr>
          <w:b/>
          <w:bCs/>
          <w:sz w:val="26"/>
          <w:szCs w:val="26"/>
        </w:rPr>
        <w:t>Prohibition of Live Agent Fee:</w:t>
      </w:r>
      <w:r w:rsidRPr="003D2B99">
        <w:rPr>
          <w:sz w:val="26"/>
          <w:szCs w:val="26"/>
        </w:rPr>
        <w:t xml:space="preserve">  Live Agent Fees are associated “with the optional use of a live operator to complete [Incarcerated Person’s] Calling Services transactions,”</w:t>
      </w:r>
      <w:r w:rsidRPr="003D2B99">
        <w:rPr>
          <w:rStyle w:val="FootnoteReference"/>
          <w:sz w:val="26"/>
          <w:szCs w:val="26"/>
        </w:rPr>
        <w:footnoteReference w:id="205"/>
      </w:r>
      <w:r w:rsidRPr="003D2B99">
        <w:rPr>
          <w:sz w:val="26"/>
          <w:szCs w:val="26"/>
        </w:rPr>
        <w:t xml:space="preserve"> including setting up an account, adding money to an account, or assisting with making a call.</w:t>
      </w:r>
      <w:r w:rsidRPr="003D2B99">
        <w:rPr>
          <w:rStyle w:val="FootnoteReference"/>
          <w:sz w:val="26"/>
          <w:szCs w:val="26"/>
        </w:rPr>
        <w:footnoteReference w:id="206"/>
      </w:r>
      <w:r w:rsidRPr="003D2B99">
        <w:rPr>
          <w:sz w:val="26"/>
          <w:szCs w:val="26"/>
        </w:rPr>
        <w:t xml:space="preserve"> </w:t>
      </w:r>
      <w:r w:rsidRPr="003D2B99" w:rsidR="55A437F8">
        <w:rPr>
          <w:sz w:val="26"/>
          <w:szCs w:val="26"/>
        </w:rPr>
        <w:t xml:space="preserve"> </w:t>
      </w:r>
      <w:r w:rsidR="008D768C">
        <w:rPr>
          <w:sz w:val="26"/>
          <w:szCs w:val="26"/>
        </w:rPr>
        <w:t xml:space="preserve">Cal Advocates, as well as </w:t>
      </w:r>
      <w:proofErr w:type="spellStart"/>
      <w:r w:rsidR="008D768C">
        <w:rPr>
          <w:sz w:val="26"/>
          <w:szCs w:val="26"/>
        </w:rPr>
        <w:t>CforAt</w:t>
      </w:r>
      <w:proofErr w:type="spellEnd"/>
      <w:r w:rsidR="008D768C">
        <w:rPr>
          <w:sz w:val="26"/>
          <w:szCs w:val="26"/>
        </w:rPr>
        <w:t xml:space="preserve"> and Commission Staff, observe that t</w:t>
      </w:r>
      <w:r w:rsidRPr="003D2B99">
        <w:rPr>
          <w:sz w:val="26"/>
          <w:szCs w:val="26"/>
        </w:rPr>
        <w:t xml:space="preserve">elecommunications and other utilities provide customer service outside of IPCS facilities for free. </w:t>
      </w:r>
      <w:r w:rsidR="008D768C">
        <w:rPr>
          <w:sz w:val="26"/>
          <w:szCs w:val="26"/>
        </w:rPr>
        <w:t xml:space="preserve"> Cal Advocates and others argue it is</w:t>
      </w:r>
      <w:r w:rsidRPr="003D2B99">
        <w:rPr>
          <w:sz w:val="26"/>
          <w:szCs w:val="26"/>
        </w:rPr>
        <w:t xml:space="preserve"> unreasonable for ICS providers to charge this fee.</w:t>
      </w:r>
      <w:r w:rsidRPr="003D2B99" w:rsidR="00E9019E">
        <w:rPr>
          <w:sz w:val="26"/>
          <w:szCs w:val="26"/>
        </w:rPr>
        <w:t xml:space="preserve"> </w:t>
      </w:r>
    </w:p>
    <w:p w:rsidR="009E51B5" w:rsidP="00AA42DA" w:rsidRDefault="00C34449" w14:paraId="280FE392" w14:textId="5723336C">
      <w:pPr>
        <w:pStyle w:val="Standard"/>
        <w:ind w:firstLine="720"/>
        <w:rPr>
          <w:sz w:val="26"/>
          <w:szCs w:val="26"/>
        </w:rPr>
      </w:pPr>
      <w:r w:rsidRPr="003D2B99">
        <w:rPr>
          <w:b/>
          <w:bCs/>
          <w:sz w:val="26"/>
          <w:szCs w:val="26"/>
        </w:rPr>
        <w:t>Robust Enforcement of Single-Call and Related Services Fees:</w:t>
      </w:r>
      <w:r w:rsidRPr="003D2B99">
        <w:rPr>
          <w:sz w:val="26"/>
          <w:szCs w:val="26"/>
        </w:rPr>
        <w:t xml:space="preserve">  </w:t>
      </w:r>
      <w:r w:rsidR="008D768C">
        <w:rPr>
          <w:sz w:val="26"/>
          <w:szCs w:val="26"/>
        </w:rPr>
        <w:t>S</w:t>
      </w:r>
      <w:r w:rsidRPr="003D2B99">
        <w:rPr>
          <w:sz w:val="26"/>
          <w:szCs w:val="26"/>
        </w:rPr>
        <w:t>ingle</w:t>
      </w:r>
      <w:r w:rsidR="00C359D9">
        <w:rPr>
          <w:sz w:val="26"/>
          <w:szCs w:val="26"/>
        </w:rPr>
        <w:noBreakHyphen/>
      </w:r>
      <w:r w:rsidRPr="003D2B99">
        <w:rPr>
          <w:sz w:val="26"/>
          <w:szCs w:val="26"/>
        </w:rPr>
        <w:t xml:space="preserve">Call and Related Services Fees are “billing arrangements whereby an </w:t>
      </w:r>
      <w:r w:rsidR="008D768C">
        <w:rPr>
          <w:sz w:val="26"/>
          <w:szCs w:val="26"/>
        </w:rPr>
        <w:t>[incarcerated person</w:t>
      </w:r>
      <w:r w:rsidRPr="003D2B99">
        <w:rPr>
          <w:sz w:val="26"/>
          <w:szCs w:val="26"/>
        </w:rPr>
        <w:t>'s</w:t>
      </w:r>
      <w:r w:rsidR="008D768C">
        <w:rPr>
          <w:sz w:val="26"/>
          <w:szCs w:val="26"/>
        </w:rPr>
        <w:t>]</w:t>
      </w:r>
      <w:r w:rsidRPr="003D2B99">
        <w:rPr>
          <w:sz w:val="26"/>
          <w:szCs w:val="26"/>
        </w:rPr>
        <w:t xml:space="preserve"> collect calls are billed through a third</w:t>
      </w:r>
      <w:r w:rsidR="009C6DBB">
        <w:rPr>
          <w:sz w:val="26"/>
          <w:szCs w:val="26"/>
        </w:rPr>
        <w:t>-</w:t>
      </w:r>
      <w:r w:rsidRPr="003D2B99">
        <w:rPr>
          <w:sz w:val="26"/>
          <w:szCs w:val="26"/>
        </w:rPr>
        <w:t xml:space="preserve">party on a per-call basis, where the called party does not have an account with the Provider of </w:t>
      </w:r>
      <w:r w:rsidR="00A0009F">
        <w:rPr>
          <w:sz w:val="26"/>
          <w:szCs w:val="26"/>
        </w:rPr>
        <w:t>[Incarcerated Person’s]</w:t>
      </w:r>
      <w:r w:rsidRPr="003D2B99">
        <w:rPr>
          <w:sz w:val="26"/>
          <w:szCs w:val="26"/>
        </w:rPr>
        <w:t xml:space="preserve"> Calling Services or does not want to establish an </w:t>
      </w:r>
      <w:r w:rsidRPr="003D2B99">
        <w:rPr>
          <w:sz w:val="26"/>
          <w:szCs w:val="26"/>
        </w:rPr>
        <w:lastRenderedPageBreak/>
        <w:t>account.”</w:t>
      </w:r>
      <w:r w:rsidRPr="003D2B99">
        <w:rPr>
          <w:rStyle w:val="FootnoteReference"/>
          <w:sz w:val="26"/>
          <w:szCs w:val="26"/>
        </w:rPr>
        <w:footnoteReference w:id="207"/>
      </w:r>
      <w:r w:rsidRPr="003D2B99">
        <w:rPr>
          <w:sz w:val="26"/>
          <w:szCs w:val="26"/>
        </w:rPr>
        <w:t xml:space="preserve">  The FCC</w:t>
      </w:r>
      <w:r w:rsidR="00A0009F">
        <w:rPr>
          <w:sz w:val="26"/>
          <w:szCs w:val="26"/>
        </w:rPr>
        <w:t>’s Third Order</w:t>
      </w:r>
      <w:r w:rsidRPr="003D2B99">
        <w:rPr>
          <w:sz w:val="26"/>
          <w:szCs w:val="26"/>
        </w:rPr>
        <w:t xml:space="preserve"> requires an IPCS provider to pass through the transaction fee charged by the third-party provider, with no markup, to their customers</w:t>
      </w:r>
      <w:r w:rsidR="00EE0697">
        <w:rPr>
          <w:sz w:val="26"/>
          <w:szCs w:val="26"/>
        </w:rPr>
        <w:t>, up to a limit of $6.95</w:t>
      </w:r>
      <w:r w:rsidRPr="003D2B99">
        <w:rPr>
          <w:sz w:val="26"/>
          <w:szCs w:val="26"/>
        </w:rPr>
        <w:t>.</w:t>
      </w:r>
      <w:r w:rsidRPr="003D2B99">
        <w:rPr>
          <w:rStyle w:val="FootnoteReference"/>
          <w:sz w:val="26"/>
          <w:szCs w:val="26"/>
        </w:rPr>
        <w:footnoteReference w:id="208"/>
      </w:r>
      <w:r w:rsidRPr="003D2B99">
        <w:rPr>
          <w:sz w:val="26"/>
          <w:szCs w:val="26"/>
        </w:rPr>
        <w:t xml:space="preserve">  </w:t>
      </w:r>
    </w:p>
    <w:p w:rsidR="00AA42DA" w:rsidP="00AA42DA" w:rsidRDefault="00C34449" w14:paraId="31427FD4" w14:textId="238C8309">
      <w:pPr>
        <w:pStyle w:val="Standard"/>
        <w:ind w:firstLine="720"/>
        <w:rPr>
          <w:sz w:val="26"/>
          <w:szCs w:val="26"/>
        </w:rPr>
      </w:pPr>
      <w:r w:rsidRPr="003D2B99">
        <w:rPr>
          <w:sz w:val="26"/>
          <w:szCs w:val="26"/>
        </w:rPr>
        <w:t>Cal Advocates states there are indications that IPCS providers “may have undisclosed contracts/agreements with third-party companies to inflate third</w:t>
      </w:r>
      <w:r w:rsidR="00C359D9">
        <w:rPr>
          <w:sz w:val="26"/>
          <w:szCs w:val="26"/>
        </w:rPr>
        <w:noBreakHyphen/>
      </w:r>
      <w:r w:rsidRPr="003D2B99">
        <w:rPr>
          <w:sz w:val="26"/>
          <w:szCs w:val="26"/>
        </w:rPr>
        <w:t>party transaction prices to their advantage.</w:t>
      </w:r>
      <w:r w:rsidRPr="003D2B99">
        <w:rPr>
          <w:rStyle w:val="FootnoteReference"/>
          <w:sz w:val="26"/>
          <w:szCs w:val="26"/>
        </w:rPr>
        <w:footnoteReference w:id="209"/>
      </w:r>
      <w:r w:rsidRPr="230C5864">
        <w:rPr>
          <w:rStyle w:val="FootnoteReference"/>
          <w:sz w:val="26"/>
          <w:szCs w:val="26"/>
        </w:rPr>
        <w:t xml:space="preserve"> </w:t>
      </w:r>
      <w:r>
        <w:rPr>
          <w:sz w:val="26"/>
          <w:szCs w:val="26"/>
        </w:rPr>
        <w:t xml:space="preserve"> </w:t>
      </w:r>
      <w:r w:rsidRPr="003D2B99">
        <w:rPr>
          <w:sz w:val="26"/>
          <w:szCs w:val="26"/>
        </w:rPr>
        <w:t>Cal Advocates recommends the Commission require IPCS providers to pass through th</w:t>
      </w:r>
      <w:r w:rsidR="009E51B5">
        <w:rPr>
          <w:sz w:val="26"/>
          <w:szCs w:val="26"/>
        </w:rPr>
        <w:t xml:space="preserve">e </w:t>
      </w:r>
      <w:r w:rsidR="00B43C2C">
        <w:rPr>
          <w:sz w:val="26"/>
          <w:szCs w:val="26"/>
        </w:rPr>
        <w:t>single-call</w:t>
      </w:r>
      <w:r w:rsidRPr="003D2B99">
        <w:rPr>
          <w:sz w:val="26"/>
          <w:szCs w:val="26"/>
        </w:rPr>
        <w:t xml:space="preserve"> fee with no additional markup, prohibit undisclosed deals</w:t>
      </w:r>
      <w:r w:rsidR="009E51B5">
        <w:rPr>
          <w:sz w:val="26"/>
          <w:szCs w:val="26"/>
        </w:rPr>
        <w:t xml:space="preserve"> that inflate third-party transaction prices</w:t>
      </w:r>
      <w:r w:rsidRPr="003D2B99">
        <w:rPr>
          <w:sz w:val="26"/>
          <w:szCs w:val="26"/>
        </w:rPr>
        <w:t>, and enforce this requirement by adopting robust enforcement provisions in Phase II of this proceeding.</w:t>
      </w:r>
    </w:p>
    <w:p w:rsidR="005B7882" w:rsidP="00AA42DA" w:rsidRDefault="00C34449" w14:paraId="3EDA49C2" w14:textId="7C789F81">
      <w:pPr>
        <w:pStyle w:val="Standard"/>
        <w:ind w:firstLine="720"/>
        <w:rPr>
          <w:sz w:val="26"/>
          <w:szCs w:val="26"/>
        </w:rPr>
      </w:pPr>
      <w:r w:rsidRPr="003D2B99">
        <w:rPr>
          <w:b/>
          <w:bCs/>
          <w:sz w:val="26"/>
          <w:szCs w:val="26"/>
        </w:rPr>
        <w:t>Robust Enforcement of Third-Party Financial Transaction Fees:</w:t>
      </w:r>
      <w:r w:rsidRPr="003D2B99">
        <w:rPr>
          <w:sz w:val="26"/>
          <w:szCs w:val="26"/>
        </w:rPr>
        <w:t xml:space="preserve">  Third</w:t>
      </w:r>
      <w:r w:rsidR="00C359D9">
        <w:rPr>
          <w:sz w:val="26"/>
          <w:szCs w:val="26"/>
        </w:rPr>
        <w:noBreakHyphen/>
      </w:r>
      <w:r w:rsidR="005B7882">
        <w:rPr>
          <w:sz w:val="26"/>
          <w:szCs w:val="26"/>
        </w:rPr>
        <w:t>p</w:t>
      </w:r>
      <w:r w:rsidRPr="003D2B99">
        <w:rPr>
          <w:sz w:val="26"/>
          <w:szCs w:val="26"/>
        </w:rPr>
        <w:t xml:space="preserve">arty </w:t>
      </w:r>
      <w:r w:rsidR="005B7882">
        <w:rPr>
          <w:sz w:val="26"/>
          <w:szCs w:val="26"/>
        </w:rPr>
        <w:t>f</w:t>
      </w:r>
      <w:r w:rsidRPr="003D2B99">
        <w:rPr>
          <w:sz w:val="26"/>
          <w:szCs w:val="26"/>
        </w:rPr>
        <w:t xml:space="preserve">inancial </w:t>
      </w:r>
      <w:r w:rsidR="005B7882">
        <w:rPr>
          <w:sz w:val="26"/>
          <w:szCs w:val="26"/>
        </w:rPr>
        <w:t>t</w:t>
      </w:r>
      <w:r w:rsidRPr="003D2B99">
        <w:rPr>
          <w:sz w:val="26"/>
          <w:szCs w:val="26"/>
        </w:rPr>
        <w:t xml:space="preserve">ransaction </w:t>
      </w:r>
      <w:r w:rsidR="005B7882">
        <w:rPr>
          <w:sz w:val="26"/>
          <w:szCs w:val="26"/>
        </w:rPr>
        <w:t>f</w:t>
      </w:r>
      <w:r w:rsidRPr="003D2B99">
        <w:rPr>
          <w:sz w:val="26"/>
          <w:szCs w:val="26"/>
        </w:rPr>
        <w:t>ees are fees “charged by third parties to transfer money or process financial transactions to facilitate a Consumer's ability to make account payments via a third</w:t>
      </w:r>
      <w:r w:rsidR="005D4AFC">
        <w:rPr>
          <w:sz w:val="26"/>
          <w:szCs w:val="26"/>
        </w:rPr>
        <w:t xml:space="preserve"> </w:t>
      </w:r>
      <w:r w:rsidRPr="003D2B99">
        <w:rPr>
          <w:sz w:val="26"/>
          <w:szCs w:val="26"/>
        </w:rPr>
        <w:t>party,”</w:t>
      </w:r>
      <w:r w:rsidRPr="003D2B99">
        <w:rPr>
          <w:rStyle w:val="FootnoteReference"/>
          <w:sz w:val="26"/>
          <w:szCs w:val="26"/>
        </w:rPr>
        <w:footnoteReference w:id="210"/>
      </w:r>
      <w:r w:rsidR="00AA42DA">
        <w:rPr>
          <w:sz w:val="26"/>
          <w:szCs w:val="26"/>
        </w:rPr>
        <w:t xml:space="preserve"> </w:t>
      </w:r>
      <w:r w:rsidRPr="003D2B99">
        <w:rPr>
          <w:sz w:val="26"/>
          <w:szCs w:val="26"/>
        </w:rPr>
        <w:t xml:space="preserve">such as Western Union or </w:t>
      </w:r>
      <w:proofErr w:type="spellStart"/>
      <w:r w:rsidRPr="003D2B99">
        <w:rPr>
          <w:sz w:val="26"/>
          <w:szCs w:val="26"/>
        </w:rPr>
        <w:t>Moneygram</w:t>
      </w:r>
      <w:proofErr w:type="spellEnd"/>
      <w:r w:rsidRPr="003D2B99">
        <w:rPr>
          <w:sz w:val="26"/>
          <w:szCs w:val="26"/>
        </w:rPr>
        <w:t xml:space="preserve">. </w:t>
      </w:r>
      <w:r w:rsidR="00C359D9">
        <w:rPr>
          <w:sz w:val="26"/>
          <w:szCs w:val="26"/>
        </w:rPr>
        <w:t xml:space="preserve"> </w:t>
      </w:r>
      <w:r w:rsidRPr="003D2B99">
        <w:rPr>
          <w:sz w:val="26"/>
          <w:szCs w:val="26"/>
        </w:rPr>
        <w:t xml:space="preserve">People who are incarcerated and their families may not have bank accounts and </w:t>
      </w:r>
      <w:r w:rsidR="009E51B5">
        <w:rPr>
          <w:sz w:val="26"/>
          <w:szCs w:val="26"/>
        </w:rPr>
        <w:t xml:space="preserve">sometimes </w:t>
      </w:r>
      <w:r w:rsidRPr="003D2B99">
        <w:rPr>
          <w:sz w:val="26"/>
          <w:szCs w:val="26"/>
        </w:rPr>
        <w:t xml:space="preserve">pay their bills by money transfer via Western Union or </w:t>
      </w:r>
      <w:proofErr w:type="spellStart"/>
      <w:r w:rsidRPr="003D2B99">
        <w:rPr>
          <w:sz w:val="26"/>
          <w:szCs w:val="26"/>
        </w:rPr>
        <w:t>Moneygram</w:t>
      </w:r>
      <w:proofErr w:type="spellEnd"/>
      <w:r w:rsidRPr="003D2B99">
        <w:rPr>
          <w:sz w:val="26"/>
          <w:szCs w:val="26"/>
        </w:rPr>
        <w:t xml:space="preserve">. </w:t>
      </w:r>
      <w:r w:rsidR="00C359D9">
        <w:rPr>
          <w:sz w:val="26"/>
          <w:szCs w:val="26"/>
        </w:rPr>
        <w:t xml:space="preserve"> </w:t>
      </w:r>
      <w:r w:rsidRPr="003D2B99">
        <w:rPr>
          <w:sz w:val="26"/>
          <w:szCs w:val="26"/>
        </w:rPr>
        <w:t>The FCC</w:t>
      </w:r>
      <w:r w:rsidR="00B2358B">
        <w:rPr>
          <w:sz w:val="26"/>
          <w:szCs w:val="26"/>
        </w:rPr>
        <w:t>’s Third Order</w:t>
      </w:r>
      <w:r w:rsidRPr="003D2B99">
        <w:rPr>
          <w:sz w:val="26"/>
          <w:szCs w:val="26"/>
        </w:rPr>
        <w:t xml:space="preserve"> requires IPCS providers to directly pass </w:t>
      </w:r>
      <w:r w:rsidRPr="003D2B99">
        <w:rPr>
          <w:sz w:val="26"/>
          <w:szCs w:val="26"/>
        </w:rPr>
        <w:lastRenderedPageBreak/>
        <w:t>through these third-party financial transaction fees to consumers with no markup</w:t>
      </w:r>
      <w:r w:rsidR="009E51B5">
        <w:rPr>
          <w:sz w:val="26"/>
          <w:szCs w:val="26"/>
        </w:rPr>
        <w:t>, up to a limit of $6.95 per transaction</w:t>
      </w:r>
      <w:r w:rsidRPr="003D2B99">
        <w:rPr>
          <w:sz w:val="26"/>
          <w:szCs w:val="26"/>
        </w:rPr>
        <w:t>.</w:t>
      </w:r>
      <w:r w:rsidRPr="003D2B99">
        <w:rPr>
          <w:rStyle w:val="FootnoteReference"/>
          <w:sz w:val="26"/>
          <w:szCs w:val="26"/>
        </w:rPr>
        <w:footnoteReference w:id="211"/>
      </w:r>
      <w:r w:rsidRPr="003D2B99">
        <w:rPr>
          <w:sz w:val="26"/>
          <w:szCs w:val="26"/>
        </w:rPr>
        <w:t xml:space="preserve">  </w:t>
      </w:r>
    </w:p>
    <w:p w:rsidRPr="003D2B99" w:rsidR="00C34449" w:rsidP="00AA42DA" w:rsidRDefault="005B7882" w14:paraId="718114B6" w14:textId="090CA212">
      <w:pPr>
        <w:pStyle w:val="Standard"/>
        <w:ind w:firstLine="720"/>
        <w:rPr>
          <w:sz w:val="26"/>
          <w:szCs w:val="26"/>
        </w:rPr>
      </w:pPr>
      <w:r>
        <w:rPr>
          <w:sz w:val="26"/>
          <w:szCs w:val="26"/>
        </w:rPr>
        <w:t>Cal Advocates states there a</w:t>
      </w:r>
      <w:r w:rsidRPr="003D2B99" w:rsidR="00C34449">
        <w:rPr>
          <w:sz w:val="26"/>
          <w:szCs w:val="26"/>
        </w:rPr>
        <w:t>re indications that “Western Union and MoneyGram collect a portion of this fee, which Western Union calls a ‘revenue share’ or ‘referral fee,’ on behalf of the I[P]CS providers.”</w:t>
      </w:r>
      <w:r w:rsidRPr="003D2B99" w:rsidR="00C34449">
        <w:rPr>
          <w:rStyle w:val="FootnoteReference"/>
          <w:sz w:val="26"/>
          <w:szCs w:val="26"/>
        </w:rPr>
        <w:footnoteReference w:id="212"/>
      </w:r>
      <w:r w:rsidRPr="003D2B99" w:rsidR="00C34449">
        <w:rPr>
          <w:sz w:val="26"/>
          <w:szCs w:val="26"/>
        </w:rPr>
        <w:t xml:space="preserve"> </w:t>
      </w:r>
      <w:r w:rsidR="00895C3E">
        <w:rPr>
          <w:sz w:val="26"/>
          <w:szCs w:val="26"/>
        </w:rPr>
        <w:t xml:space="preserve"> </w:t>
      </w:r>
      <w:r>
        <w:rPr>
          <w:sz w:val="26"/>
          <w:szCs w:val="26"/>
        </w:rPr>
        <w:t xml:space="preserve">Cal Advocates therefore recommends the </w:t>
      </w:r>
      <w:r w:rsidRPr="003D2B99" w:rsidR="00C34449">
        <w:rPr>
          <w:sz w:val="26"/>
          <w:szCs w:val="26"/>
        </w:rPr>
        <w:t xml:space="preserve">Commission require I[P]CS providers to pass through </w:t>
      </w:r>
      <w:r>
        <w:rPr>
          <w:sz w:val="26"/>
          <w:szCs w:val="26"/>
        </w:rPr>
        <w:t>t</w:t>
      </w:r>
      <w:r w:rsidRPr="003D2B99" w:rsidR="00C34449">
        <w:rPr>
          <w:sz w:val="26"/>
          <w:szCs w:val="26"/>
        </w:rPr>
        <w:t>hird-</w:t>
      </w:r>
      <w:r>
        <w:rPr>
          <w:sz w:val="26"/>
          <w:szCs w:val="26"/>
        </w:rPr>
        <w:t>p</w:t>
      </w:r>
      <w:r w:rsidRPr="003D2B99" w:rsidR="00C34449">
        <w:rPr>
          <w:sz w:val="26"/>
          <w:szCs w:val="26"/>
        </w:rPr>
        <w:t xml:space="preserve">arty </w:t>
      </w:r>
      <w:r>
        <w:rPr>
          <w:sz w:val="26"/>
          <w:szCs w:val="26"/>
        </w:rPr>
        <w:t>f</w:t>
      </w:r>
      <w:r w:rsidRPr="003D2B99" w:rsidR="00C34449">
        <w:rPr>
          <w:sz w:val="26"/>
          <w:szCs w:val="26"/>
        </w:rPr>
        <w:t xml:space="preserve">inancial </w:t>
      </w:r>
      <w:r>
        <w:rPr>
          <w:sz w:val="26"/>
          <w:szCs w:val="26"/>
        </w:rPr>
        <w:t>t</w:t>
      </w:r>
      <w:r w:rsidRPr="003D2B99" w:rsidR="00C34449">
        <w:rPr>
          <w:sz w:val="26"/>
          <w:szCs w:val="26"/>
        </w:rPr>
        <w:t xml:space="preserve">ransaction </w:t>
      </w:r>
      <w:r>
        <w:rPr>
          <w:sz w:val="26"/>
          <w:szCs w:val="26"/>
        </w:rPr>
        <w:t>f</w:t>
      </w:r>
      <w:r w:rsidRPr="003D2B99" w:rsidR="00C34449">
        <w:rPr>
          <w:sz w:val="26"/>
          <w:szCs w:val="26"/>
        </w:rPr>
        <w:t>ees with no additional markup, prohibit revenue sharing deals, and enforce this requirement through robust enforcement provisions in Phase II of this proceeding.</w:t>
      </w:r>
    </w:p>
    <w:p w:rsidRPr="00E15042" w:rsidR="0096061F" w:rsidP="0096061F" w:rsidRDefault="003E26B9" w14:paraId="1E8F226E" w14:textId="5B7CFA51">
      <w:pPr>
        <w:pStyle w:val="Heading3"/>
      </w:pPr>
      <w:bookmarkStart w:name="_Toc80089414" w:id="56"/>
      <w:r>
        <w:t>7.2.2</w:t>
      </w:r>
      <w:r>
        <w:tab/>
      </w:r>
      <w:r w:rsidR="0096061F">
        <w:t>TURN’s Proposal</w:t>
      </w:r>
      <w:bookmarkEnd w:id="56"/>
      <w:r w:rsidR="0096061F">
        <w:t xml:space="preserve"> </w:t>
      </w:r>
    </w:p>
    <w:p w:rsidR="004058D8" w:rsidP="0068388C" w:rsidRDefault="003170FF" w14:paraId="15999180" w14:textId="1B6DC602">
      <w:pPr>
        <w:pStyle w:val="Standard"/>
        <w:ind w:firstLine="720"/>
        <w:rPr>
          <w:sz w:val="26"/>
          <w:szCs w:val="26"/>
        </w:rPr>
      </w:pPr>
      <w:r>
        <w:t>TURN</w:t>
      </w:r>
      <w:r w:rsidR="0068388C">
        <w:t xml:space="preserve"> </w:t>
      </w:r>
      <w:r w:rsidR="0068388C">
        <w:rPr>
          <w:sz w:val="26"/>
          <w:szCs w:val="26"/>
        </w:rPr>
        <w:t xml:space="preserve">urges the Commission to </w:t>
      </w:r>
      <w:r w:rsidR="0096061F">
        <w:rPr>
          <w:sz w:val="26"/>
          <w:szCs w:val="26"/>
        </w:rPr>
        <w:t xml:space="preserve">“move independently” from </w:t>
      </w:r>
      <w:r w:rsidRPr="00667B4A" w:rsidR="0068388C">
        <w:rPr>
          <w:sz w:val="26"/>
          <w:szCs w:val="26"/>
        </w:rPr>
        <w:t>the FCC</w:t>
      </w:r>
      <w:r w:rsidR="005B7882">
        <w:rPr>
          <w:sz w:val="26"/>
          <w:szCs w:val="26"/>
        </w:rPr>
        <w:t xml:space="preserve"> on ancillary service fees</w:t>
      </w:r>
      <w:r w:rsidR="0068388C">
        <w:rPr>
          <w:sz w:val="26"/>
          <w:szCs w:val="26"/>
        </w:rPr>
        <w:t>.</w:t>
      </w:r>
      <w:r w:rsidR="0096061F">
        <w:rPr>
          <w:rStyle w:val="FootnoteReference"/>
          <w:sz w:val="26"/>
          <w:szCs w:val="26"/>
        </w:rPr>
        <w:footnoteReference w:id="213"/>
      </w:r>
      <w:r w:rsidR="0068388C">
        <w:rPr>
          <w:sz w:val="26"/>
          <w:szCs w:val="26"/>
        </w:rPr>
        <w:t xml:space="preserve">  </w:t>
      </w:r>
      <w:r w:rsidRPr="00C9244D" w:rsidR="0068388C">
        <w:rPr>
          <w:sz w:val="26"/>
          <w:szCs w:val="26"/>
        </w:rPr>
        <w:t xml:space="preserve">TURN recommends </w:t>
      </w:r>
      <w:r w:rsidR="0068388C">
        <w:rPr>
          <w:sz w:val="26"/>
          <w:szCs w:val="26"/>
        </w:rPr>
        <w:t xml:space="preserve">the Commission reduce </w:t>
      </w:r>
      <w:r w:rsidR="005B7882">
        <w:rPr>
          <w:sz w:val="26"/>
          <w:szCs w:val="26"/>
        </w:rPr>
        <w:t xml:space="preserve">the </w:t>
      </w:r>
      <w:r w:rsidR="0068388C">
        <w:rPr>
          <w:sz w:val="26"/>
          <w:szCs w:val="26"/>
        </w:rPr>
        <w:t>ancillary fee caps adopted by the FCC by 30 percent t</w:t>
      </w:r>
      <w:r w:rsidRPr="00C9244D" w:rsidR="0068388C">
        <w:rPr>
          <w:sz w:val="26"/>
          <w:szCs w:val="26"/>
        </w:rPr>
        <w:t xml:space="preserve">o account for the lower costs to provide intrastate services </w:t>
      </w:r>
      <w:r w:rsidR="00B2358B">
        <w:rPr>
          <w:sz w:val="26"/>
          <w:szCs w:val="26"/>
        </w:rPr>
        <w:t>as compared to</w:t>
      </w:r>
      <w:r w:rsidRPr="00C9244D" w:rsidR="0068388C">
        <w:rPr>
          <w:sz w:val="26"/>
          <w:szCs w:val="26"/>
        </w:rPr>
        <w:t xml:space="preserve"> interstate services</w:t>
      </w:r>
      <w:r w:rsidR="0068388C">
        <w:rPr>
          <w:sz w:val="26"/>
          <w:szCs w:val="26"/>
        </w:rPr>
        <w:t>, particularly those related to call set up or connection</w:t>
      </w:r>
      <w:r w:rsidRPr="00C9244D" w:rsidR="0068388C">
        <w:rPr>
          <w:sz w:val="26"/>
          <w:szCs w:val="26"/>
        </w:rPr>
        <w:t xml:space="preserve">. </w:t>
      </w:r>
      <w:r w:rsidR="00524E28">
        <w:rPr>
          <w:sz w:val="26"/>
          <w:szCs w:val="26"/>
        </w:rPr>
        <w:t xml:space="preserve"> </w:t>
      </w:r>
      <w:r w:rsidRPr="00C9244D" w:rsidR="0068388C">
        <w:rPr>
          <w:sz w:val="26"/>
          <w:szCs w:val="26"/>
        </w:rPr>
        <w:t xml:space="preserve">TURN </w:t>
      </w:r>
      <w:r w:rsidR="0068388C">
        <w:rPr>
          <w:sz w:val="26"/>
          <w:szCs w:val="26"/>
        </w:rPr>
        <w:t xml:space="preserve">recommends </w:t>
      </w:r>
      <w:r w:rsidRPr="00C9244D" w:rsidR="0068388C">
        <w:rPr>
          <w:sz w:val="26"/>
          <w:szCs w:val="26"/>
        </w:rPr>
        <w:t xml:space="preserve">the </w:t>
      </w:r>
      <w:r w:rsidR="0068388C">
        <w:rPr>
          <w:sz w:val="26"/>
          <w:szCs w:val="26"/>
        </w:rPr>
        <w:t xml:space="preserve">Commission clarify </w:t>
      </w:r>
      <w:r w:rsidRPr="00C9244D" w:rsidR="0068388C">
        <w:rPr>
          <w:sz w:val="26"/>
          <w:szCs w:val="26"/>
        </w:rPr>
        <w:t xml:space="preserve">that no other fees may be imposed or charged for </w:t>
      </w:r>
      <w:r w:rsidR="0068388C">
        <w:rPr>
          <w:sz w:val="26"/>
          <w:szCs w:val="26"/>
        </w:rPr>
        <w:t xml:space="preserve">any capped or prohibited </w:t>
      </w:r>
      <w:r w:rsidRPr="00C9244D" w:rsidR="0068388C">
        <w:rPr>
          <w:sz w:val="26"/>
          <w:szCs w:val="26"/>
        </w:rPr>
        <w:t>services</w:t>
      </w:r>
      <w:r w:rsidR="0068388C">
        <w:rPr>
          <w:sz w:val="26"/>
          <w:szCs w:val="26"/>
        </w:rPr>
        <w:t>.</w:t>
      </w:r>
      <w:r w:rsidR="0068388C">
        <w:rPr>
          <w:rStyle w:val="FootnoteReference"/>
          <w:sz w:val="26"/>
          <w:szCs w:val="26"/>
        </w:rPr>
        <w:footnoteReference w:id="214"/>
      </w:r>
      <w:r w:rsidR="0068388C">
        <w:rPr>
          <w:sz w:val="26"/>
          <w:szCs w:val="26"/>
        </w:rPr>
        <w:t xml:space="preserve">  </w:t>
      </w:r>
      <w:r w:rsidR="006441B1">
        <w:rPr>
          <w:sz w:val="26"/>
          <w:szCs w:val="26"/>
        </w:rPr>
        <w:t>TURN states that:</w:t>
      </w:r>
    </w:p>
    <w:p w:rsidRPr="00B51C87" w:rsidR="006441B1" w:rsidP="00C359D9" w:rsidRDefault="006441B1" w14:paraId="1A40077E" w14:textId="1E4C98CC">
      <w:pPr>
        <w:pStyle w:val="BlockQuote"/>
        <w:spacing w:line="240" w:lineRule="auto"/>
        <w:ind w:right="1440"/>
        <w:rPr>
          <w:sz w:val="26"/>
          <w:szCs w:val="26"/>
        </w:rPr>
      </w:pPr>
      <w:r w:rsidRPr="006441B1">
        <w:rPr>
          <w:sz w:val="26"/>
          <w:szCs w:val="26"/>
        </w:rPr>
        <w:t xml:space="preserve">Based on prior comments, public comment in the docket and numerous callers during the </w:t>
      </w:r>
      <w:r w:rsidR="009D315A">
        <w:rPr>
          <w:sz w:val="26"/>
          <w:szCs w:val="26"/>
        </w:rPr>
        <w:t>P</w:t>
      </w:r>
      <w:r w:rsidRPr="006441B1">
        <w:rPr>
          <w:sz w:val="26"/>
          <w:szCs w:val="26"/>
        </w:rPr>
        <w:t xml:space="preserve">ublic </w:t>
      </w:r>
      <w:r w:rsidR="009D315A">
        <w:rPr>
          <w:sz w:val="26"/>
          <w:szCs w:val="26"/>
        </w:rPr>
        <w:t>P</w:t>
      </w:r>
      <w:r w:rsidRPr="006441B1">
        <w:rPr>
          <w:sz w:val="26"/>
          <w:szCs w:val="26"/>
        </w:rPr>
        <w:t xml:space="preserve">articipation </w:t>
      </w:r>
      <w:r w:rsidR="009D315A">
        <w:rPr>
          <w:sz w:val="26"/>
          <w:szCs w:val="26"/>
        </w:rPr>
        <w:t>H</w:t>
      </w:r>
      <w:r w:rsidRPr="006441B1">
        <w:rPr>
          <w:sz w:val="26"/>
          <w:szCs w:val="26"/>
        </w:rPr>
        <w:t xml:space="preserve">earings, as discussed above, the Commission can and should acknowledge that the fees assessed on customers are creating hardship for Californian families. </w:t>
      </w:r>
      <w:r w:rsidRPr="006441B1" w:rsidR="0A046D8D">
        <w:rPr>
          <w:sz w:val="26"/>
          <w:szCs w:val="26"/>
        </w:rPr>
        <w:t xml:space="preserve"> </w:t>
      </w:r>
      <w:r w:rsidRPr="006441B1">
        <w:rPr>
          <w:sz w:val="26"/>
          <w:szCs w:val="26"/>
        </w:rPr>
        <w:t xml:space="preserve">The 2013 FCC rate caps are </w:t>
      </w:r>
      <w:r w:rsidRPr="006441B1">
        <w:rPr>
          <w:sz w:val="26"/>
          <w:szCs w:val="26"/>
        </w:rPr>
        <w:lastRenderedPageBreak/>
        <w:t>too high to address these hardships and are several years old.</w:t>
      </w:r>
      <w:r>
        <w:rPr>
          <w:rStyle w:val="FootnoteReference"/>
          <w:sz w:val="26"/>
          <w:szCs w:val="26"/>
        </w:rPr>
        <w:footnoteReference w:id="215"/>
      </w:r>
    </w:p>
    <w:p w:rsidRPr="009D422A" w:rsidR="009D422A" w:rsidP="00163734" w:rsidRDefault="003E26B9" w14:paraId="30B115EF" w14:textId="0901F036">
      <w:pPr>
        <w:pStyle w:val="Heading2"/>
      </w:pPr>
      <w:bookmarkStart w:name="_Toc80089415" w:id="57"/>
      <w:r>
        <w:t>7.3</w:t>
      </w:r>
      <w:r>
        <w:tab/>
      </w:r>
      <w:r w:rsidR="009D422A">
        <w:t xml:space="preserve">Party Comments on Staff </w:t>
      </w:r>
      <w:r w:rsidR="00197108">
        <w:br/>
      </w:r>
      <w:r w:rsidR="009D422A">
        <w:t>and Party Proposals</w:t>
      </w:r>
      <w:bookmarkEnd w:id="57"/>
    </w:p>
    <w:p w:rsidR="004A46BB" w:rsidP="0022098E" w:rsidRDefault="00602921" w14:paraId="36464555" w14:textId="77777777">
      <w:pPr>
        <w:pStyle w:val="Standard"/>
        <w:ind w:firstLine="720"/>
        <w:rPr>
          <w:sz w:val="26"/>
          <w:szCs w:val="26"/>
        </w:rPr>
      </w:pPr>
      <w:r w:rsidRPr="00667B4A">
        <w:rPr>
          <w:sz w:val="26"/>
          <w:szCs w:val="26"/>
        </w:rPr>
        <w:t xml:space="preserve">NCIC Inmate Communications supports Staff’s initial </w:t>
      </w:r>
      <w:r w:rsidR="00584436">
        <w:rPr>
          <w:sz w:val="26"/>
          <w:szCs w:val="26"/>
        </w:rPr>
        <w:t xml:space="preserve">ancillary fee cap </w:t>
      </w:r>
      <w:r w:rsidRPr="00667B4A">
        <w:rPr>
          <w:sz w:val="26"/>
          <w:szCs w:val="26"/>
        </w:rPr>
        <w:t xml:space="preserve">proposal </w:t>
      </w:r>
      <w:r w:rsidR="00584436">
        <w:rPr>
          <w:sz w:val="26"/>
          <w:szCs w:val="26"/>
        </w:rPr>
        <w:t xml:space="preserve">but </w:t>
      </w:r>
      <w:r w:rsidRPr="00667B4A" w:rsidR="00704240">
        <w:rPr>
          <w:sz w:val="26"/>
          <w:szCs w:val="26"/>
        </w:rPr>
        <w:t>urges the Commission to go further</w:t>
      </w:r>
      <w:r w:rsidR="00337078">
        <w:rPr>
          <w:sz w:val="26"/>
          <w:szCs w:val="26"/>
        </w:rPr>
        <w:t xml:space="preserve"> </w:t>
      </w:r>
      <w:r w:rsidR="00604A0D">
        <w:rPr>
          <w:sz w:val="26"/>
          <w:szCs w:val="26"/>
        </w:rPr>
        <w:t xml:space="preserve">in two ways.  First NCIC Inmate Communications urges the Commission </w:t>
      </w:r>
      <w:r w:rsidR="00337078">
        <w:rPr>
          <w:sz w:val="26"/>
          <w:szCs w:val="26"/>
        </w:rPr>
        <w:t xml:space="preserve">to clarify that “per-call transaction fees for single-payment calls will not be permitted. </w:t>
      </w:r>
      <w:r w:rsidR="4000F29F">
        <w:rPr>
          <w:sz w:val="26"/>
          <w:szCs w:val="26"/>
        </w:rPr>
        <w:t xml:space="preserve"> </w:t>
      </w:r>
      <w:r w:rsidR="00337078">
        <w:rPr>
          <w:sz w:val="26"/>
          <w:szCs w:val="26"/>
        </w:rPr>
        <w:t xml:space="preserve">This was an error on the part of the </w:t>
      </w:r>
      <w:proofErr w:type="gramStart"/>
      <w:r w:rsidR="00337078">
        <w:rPr>
          <w:sz w:val="26"/>
          <w:szCs w:val="26"/>
        </w:rPr>
        <w:t>FCC</w:t>
      </w:r>
      <w:proofErr w:type="gramEnd"/>
      <w:r w:rsidR="00337078">
        <w:rPr>
          <w:sz w:val="26"/>
          <w:szCs w:val="26"/>
        </w:rPr>
        <w:t xml:space="preserve"> an</w:t>
      </w:r>
      <w:r w:rsidR="005D1658">
        <w:rPr>
          <w:sz w:val="26"/>
          <w:szCs w:val="26"/>
        </w:rPr>
        <w:t xml:space="preserve">d </w:t>
      </w:r>
      <w:r w:rsidR="00171A0A">
        <w:rPr>
          <w:sz w:val="26"/>
          <w:szCs w:val="26"/>
        </w:rPr>
        <w:t xml:space="preserve">this </w:t>
      </w:r>
      <w:r w:rsidR="005D1658">
        <w:rPr>
          <w:sz w:val="26"/>
          <w:szCs w:val="26"/>
        </w:rPr>
        <w:t>has b</w:t>
      </w:r>
      <w:r w:rsidR="00337078">
        <w:rPr>
          <w:sz w:val="26"/>
          <w:szCs w:val="26"/>
        </w:rPr>
        <w:t xml:space="preserve">een abused by providers charging between $2.00 and $13.10 for a transaction fee on a </w:t>
      </w:r>
      <w:r w:rsidR="00B43C2C">
        <w:rPr>
          <w:sz w:val="26"/>
          <w:szCs w:val="26"/>
        </w:rPr>
        <w:t>single-call</w:t>
      </w:r>
      <w:r w:rsidR="00337078">
        <w:rPr>
          <w:sz w:val="26"/>
          <w:szCs w:val="26"/>
        </w:rPr>
        <w:t>.”</w:t>
      </w:r>
      <w:r w:rsidRPr="00667B4A" w:rsidR="005D1658">
        <w:rPr>
          <w:rStyle w:val="FootnoteReference"/>
          <w:sz w:val="26"/>
          <w:szCs w:val="26"/>
        </w:rPr>
        <w:footnoteReference w:id="216"/>
      </w:r>
      <w:r w:rsidR="00604A0D">
        <w:rPr>
          <w:sz w:val="26"/>
          <w:szCs w:val="26"/>
        </w:rPr>
        <w:t xml:space="preserve"> </w:t>
      </w:r>
      <w:r w:rsidR="19B2BD5C">
        <w:rPr>
          <w:sz w:val="26"/>
          <w:szCs w:val="26"/>
        </w:rPr>
        <w:t xml:space="preserve"> </w:t>
      </w:r>
      <w:r w:rsidRPr="00667B4A" w:rsidR="00704240">
        <w:rPr>
          <w:sz w:val="26"/>
          <w:szCs w:val="26"/>
        </w:rPr>
        <w:t xml:space="preserve">NCIC Inmate Communications </w:t>
      </w:r>
      <w:r w:rsidR="00171A0A">
        <w:rPr>
          <w:sz w:val="26"/>
          <w:szCs w:val="26"/>
        </w:rPr>
        <w:t xml:space="preserve">also </w:t>
      </w:r>
      <w:r w:rsidRPr="00667B4A" w:rsidR="00704240">
        <w:rPr>
          <w:sz w:val="26"/>
          <w:szCs w:val="26"/>
        </w:rPr>
        <w:t>s</w:t>
      </w:r>
      <w:r w:rsidRPr="00667B4A">
        <w:rPr>
          <w:sz w:val="26"/>
          <w:szCs w:val="26"/>
        </w:rPr>
        <w:t xml:space="preserve">tates that </w:t>
      </w:r>
      <w:r w:rsidRPr="00667B4A" w:rsidR="00704240">
        <w:rPr>
          <w:sz w:val="26"/>
          <w:szCs w:val="26"/>
        </w:rPr>
        <w:t>t</w:t>
      </w:r>
      <w:r w:rsidRPr="00667B4A">
        <w:rPr>
          <w:sz w:val="26"/>
          <w:szCs w:val="26"/>
        </w:rPr>
        <w:t xml:space="preserve">he </w:t>
      </w:r>
      <w:r w:rsidR="003373F0">
        <w:rPr>
          <w:sz w:val="26"/>
          <w:szCs w:val="26"/>
        </w:rPr>
        <w:t>“</w:t>
      </w:r>
      <w:r w:rsidRPr="00667B4A">
        <w:rPr>
          <w:sz w:val="26"/>
          <w:szCs w:val="26"/>
        </w:rPr>
        <w:t>FCC made an oversight when allowing providers to pass-through third-party transaction fees, such as Western Union's and MoneyGram's processing fees.  T</w:t>
      </w:r>
      <w:r w:rsidRPr="00667B4A" w:rsidR="005D3130">
        <w:rPr>
          <w:sz w:val="26"/>
          <w:szCs w:val="26"/>
        </w:rPr>
        <w:t>h</w:t>
      </w:r>
      <w:r w:rsidR="003373F0">
        <w:rPr>
          <w:sz w:val="26"/>
          <w:szCs w:val="26"/>
        </w:rPr>
        <w:t>ey</w:t>
      </w:r>
      <w:r w:rsidRPr="00667B4A" w:rsidR="005D3130">
        <w:rPr>
          <w:sz w:val="26"/>
          <w:szCs w:val="26"/>
        </w:rPr>
        <w:t xml:space="preserve"> </w:t>
      </w:r>
      <w:r w:rsidR="003373F0">
        <w:rPr>
          <w:sz w:val="26"/>
          <w:szCs w:val="26"/>
        </w:rPr>
        <w:t xml:space="preserve">opened the door to </w:t>
      </w:r>
      <w:r w:rsidRPr="00667B4A">
        <w:rPr>
          <w:sz w:val="26"/>
          <w:szCs w:val="26"/>
        </w:rPr>
        <w:t>allow</w:t>
      </w:r>
      <w:r w:rsidR="003373F0">
        <w:rPr>
          <w:sz w:val="26"/>
          <w:szCs w:val="26"/>
        </w:rPr>
        <w:t>ing</w:t>
      </w:r>
      <w:r w:rsidRPr="00667B4A">
        <w:rPr>
          <w:sz w:val="26"/>
          <w:szCs w:val="26"/>
        </w:rPr>
        <w:t xml:space="preserve"> providers to pass through credit card billing costs, which has resulted in some providers adding an additional 5</w:t>
      </w:r>
      <w:r w:rsidRPr="00667B4A" w:rsidR="005D3130">
        <w:rPr>
          <w:sz w:val="26"/>
          <w:szCs w:val="26"/>
        </w:rPr>
        <w:t xml:space="preserve"> percent fee</w:t>
      </w:r>
      <w:r w:rsidRPr="00667B4A">
        <w:rPr>
          <w:sz w:val="26"/>
          <w:szCs w:val="26"/>
        </w:rPr>
        <w:t xml:space="preserve"> on top of the transaction fees.</w:t>
      </w:r>
      <w:r w:rsidR="003373F0">
        <w:rPr>
          <w:sz w:val="26"/>
          <w:szCs w:val="26"/>
        </w:rPr>
        <w:t>”</w:t>
      </w:r>
      <w:r w:rsidR="00B622D8">
        <w:rPr>
          <w:rStyle w:val="FootnoteReference"/>
          <w:sz w:val="26"/>
          <w:szCs w:val="26"/>
        </w:rPr>
        <w:footnoteReference w:id="217"/>
      </w:r>
      <w:r w:rsidR="0068388C">
        <w:rPr>
          <w:sz w:val="26"/>
          <w:szCs w:val="26"/>
        </w:rPr>
        <w:t xml:space="preserve"> </w:t>
      </w:r>
      <w:r w:rsidR="595F4D7B">
        <w:rPr>
          <w:sz w:val="26"/>
          <w:szCs w:val="26"/>
        </w:rPr>
        <w:t xml:space="preserve"> </w:t>
      </w:r>
    </w:p>
    <w:p w:rsidR="00703767" w:rsidP="0022098E" w:rsidRDefault="00E73B6D" w14:paraId="36854C27" w14:textId="65D00CFE">
      <w:pPr>
        <w:pStyle w:val="Standard"/>
        <w:ind w:firstLine="720"/>
        <w:rPr>
          <w:sz w:val="26"/>
          <w:szCs w:val="26"/>
        </w:rPr>
      </w:pPr>
      <w:r>
        <w:rPr>
          <w:sz w:val="26"/>
          <w:szCs w:val="26"/>
        </w:rPr>
        <w:t xml:space="preserve">In comments on the </w:t>
      </w:r>
      <w:r w:rsidR="007651FD">
        <w:rPr>
          <w:sz w:val="26"/>
          <w:szCs w:val="26"/>
        </w:rPr>
        <w:t>proposed decision</w:t>
      </w:r>
      <w:r w:rsidRPr="2940AC6D" w:rsidR="19AFB6F7">
        <w:rPr>
          <w:sz w:val="26"/>
          <w:szCs w:val="26"/>
        </w:rPr>
        <w:t>,</w:t>
      </w:r>
      <w:r w:rsidR="007651FD">
        <w:rPr>
          <w:sz w:val="26"/>
          <w:szCs w:val="26"/>
        </w:rPr>
        <w:t xml:space="preserve"> NCIC Inmate Communi</w:t>
      </w:r>
      <w:r w:rsidR="0046299D">
        <w:rPr>
          <w:sz w:val="26"/>
          <w:szCs w:val="26"/>
        </w:rPr>
        <w:t>c</w:t>
      </w:r>
      <w:r w:rsidR="007651FD">
        <w:rPr>
          <w:sz w:val="26"/>
          <w:szCs w:val="26"/>
        </w:rPr>
        <w:t xml:space="preserve">ations </w:t>
      </w:r>
      <w:r w:rsidR="0046299D">
        <w:rPr>
          <w:sz w:val="26"/>
          <w:szCs w:val="26"/>
        </w:rPr>
        <w:t xml:space="preserve">states that </w:t>
      </w:r>
      <w:r w:rsidR="00523A04">
        <w:rPr>
          <w:sz w:val="26"/>
          <w:szCs w:val="26"/>
        </w:rPr>
        <w:t xml:space="preserve">third-party financial organizations </w:t>
      </w:r>
      <w:r w:rsidR="009B61E6">
        <w:rPr>
          <w:sz w:val="26"/>
          <w:szCs w:val="26"/>
        </w:rPr>
        <w:t xml:space="preserve">are charging anywhere from three to five percent credit card transaction fees directly to family members, not </w:t>
      </w:r>
      <w:r w:rsidR="00691803">
        <w:rPr>
          <w:sz w:val="26"/>
          <w:szCs w:val="26"/>
        </w:rPr>
        <w:t xml:space="preserve">IPCS providers, due to </w:t>
      </w:r>
      <w:r w:rsidR="005B5570">
        <w:rPr>
          <w:sz w:val="26"/>
          <w:szCs w:val="26"/>
        </w:rPr>
        <w:t xml:space="preserve">an </w:t>
      </w:r>
      <w:r w:rsidR="00691803">
        <w:rPr>
          <w:sz w:val="26"/>
          <w:szCs w:val="26"/>
        </w:rPr>
        <w:t xml:space="preserve">FCC </w:t>
      </w:r>
      <w:r w:rsidR="005D6C91">
        <w:rPr>
          <w:sz w:val="26"/>
          <w:szCs w:val="26"/>
        </w:rPr>
        <w:t xml:space="preserve">definitional </w:t>
      </w:r>
      <w:r w:rsidR="00691803">
        <w:rPr>
          <w:sz w:val="26"/>
          <w:szCs w:val="26"/>
        </w:rPr>
        <w:t xml:space="preserve">oversight </w:t>
      </w:r>
      <w:r w:rsidR="005B5570">
        <w:rPr>
          <w:sz w:val="26"/>
          <w:szCs w:val="26"/>
        </w:rPr>
        <w:t>that a</w:t>
      </w:r>
      <w:r w:rsidR="00691803">
        <w:rPr>
          <w:sz w:val="26"/>
          <w:szCs w:val="26"/>
        </w:rPr>
        <w:t>llow</w:t>
      </w:r>
      <w:r w:rsidR="005D6C91">
        <w:rPr>
          <w:sz w:val="26"/>
          <w:szCs w:val="26"/>
        </w:rPr>
        <w:t>s</w:t>
      </w:r>
      <w:r w:rsidR="00691803">
        <w:rPr>
          <w:sz w:val="26"/>
          <w:szCs w:val="26"/>
        </w:rPr>
        <w:t xml:space="preserve"> “credit card charges” to be passed through</w:t>
      </w:r>
      <w:r w:rsidR="005D6C91">
        <w:rPr>
          <w:sz w:val="26"/>
          <w:szCs w:val="26"/>
        </w:rPr>
        <w:t xml:space="preserve"> as part of </w:t>
      </w:r>
      <w:r w:rsidR="00691803">
        <w:rPr>
          <w:sz w:val="26"/>
          <w:szCs w:val="26"/>
        </w:rPr>
        <w:t>“financial transaction fees.”</w:t>
      </w:r>
      <w:r w:rsidR="00691803">
        <w:rPr>
          <w:rStyle w:val="FootnoteReference"/>
          <w:sz w:val="26"/>
          <w:szCs w:val="26"/>
        </w:rPr>
        <w:footnoteReference w:id="218"/>
      </w:r>
      <w:r w:rsidR="00205CDE">
        <w:rPr>
          <w:sz w:val="26"/>
          <w:szCs w:val="26"/>
        </w:rPr>
        <w:t xml:space="preserve">  </w:t>
      </w:r>
      <w:r w:rsidR="009C4822">
        <w:rPr>
          <w:sz w:val="26"/>
          <w:szCs w:val="26"/>
        </w:rPr>
        <w:t xml:space="preserve">NCIC Inmate Communications urges the Commission to prohibit this.  </w:t>
      </w:r>
      <w:r w:rsidR="00286963">
        <w:rPr>
          <w:sz w:val="26"/>
          <w:szCs w:val="26"/>
        </w:rPr>
        <w:t xml:space="preserve">NCIC Inmate Communications </w:t>
      </w:r>
      <w:r w:rsidR="009C4822">
        <w:rPr>
          <w:sz w:val="26"/>
          <w:szCs w:val="26"/>
        </w:rPr>
        <w:t xml:space="preserve">also </w:t>
      </w:r>
      <w:r w:rsidR="00286963">
        <w:rPr>
          <w:sz w:val="26"/>
          <w:szCs w:val="26"/>
        </w:rPr>
        <w:t xml:space="preserve">recommends that the Commission prohibit </w:t>
      </w:r>
      <w:r w:rsidRPr="00121EF2" w:rsidR="00286963">
        <w:rPr>
          <w:sz w:val="26"/>
          <w:szCs w:val="26"/>
        </w:rPr>
        <w:t xml:space="preserve">per-call </w:t>
      </w:r>
      <w:r w:rsidRPr="00121EF2" w:rsidR="00286963">
        <w:rPr>
          <w:sz w:val="26"/>
          <w:szCs w:val="26"/>
        </w:rPr>
        <w:lastRenderedPageBreak/>
        <w:t xml:space="preserve">transaction fees </w:t>
      </w:r>
      <w:r w:rsidR="009A7559">
        <w:rPr>
          <w:sz w:val="26"/>
          <w:szCs w:val="26"/>
        </w:rPr>
        <w:t>of any type</w:t>
      </w:r>
      <w:r w:rsidR="005A2FBF">
        <w:rPr>
          <w:sz w:val="26"/>
          <w:szCs w:val="26"/>
        </w:rPr>
        <w:t>, including</w:t>
      </w:r>
      <w:r w:rsidR="009A7559">
        <w:rPr>
          <w:sz w:val="26"/>
          <w:szCs w:val="26"/>
        </w:rPr>
        <w:t xml:space="preserve"> </w:t>
      </w:r>
      <w:r w:rsidRPr="00121EF2" w:rsidR="00286963">
        <w:rPr>
          <w:sz w:val="26"/>
          <w:szCs w:val="26"/>
        </w:rPr>
        <w:t>for single-payment calls.</w:t>
      </w:r>
      <w:r w:rsidR="00286963">
        <w:rPr>
          <w:rStyle w:val="FootnoteReference"/>
          <w:sz w:val="26"/>
          <w:szCs w:val="26"/>
        </w:rPr>
        <w:footnoteReference w:id="219"/>
      </w:r>
      <w:r w:rsidR="00286963">
        <w:rPr>
          <w:sz w:val="26"/>
          <w:szCs w:val="26"/>
        </w:rPr>
        <w:t xml:space="preserve">  </w:t>
      </w:r>
      <w:r w:rsidR="0068388C">
        <w:rPr>
          <w:sz w:val="26"/>
          <w:szCs w:val="26"/>
        </w:rPr>
        <w:t>NCIC did not comment on Cal Advocates’ proposal.</w:t>
      </w:r>
    </w:p>
    <w:p w:rsidR="000C50E0" w:rsidP="005E56AF" w:rsidRDefault="0022098E" w14:paraId="3F87C750" w14:textId="705AC792">
      <w:pPr>
        <w:pStyle w:val="Standard"/>
        <w:ind w:firstLine="720"/>
        <w:rPr>
          <w:sz w:val="26"/>
          <w:szCs w:val="26"/>
        </w:rPr>
      </w:pPr>
      <w:r>
        <w:rPr>
          <w:sz w:val="26"/>
          <w:szCs w:val="26"/>
        </w:rPr>
        <w:t xml:space="preserve">Prison Policy Institute </w:t>
      </w:r>
      <w:r w:rsidR="009A7559">
        <w:rPr>
          <w:sz w:val="26"/>
          <w:szCs w:val="26"/>
        </w:rPr>
        <w:t xml:space="preserve">states </w:t>
      </w:r>
      <w:r w:rsidR="00636E2D">
        <w:rPr>
          <w:sz w:val="26"/>
          <w:szCs w:val="26"/>
        </w:rPr>
        <w:t>that the Commission has jurisdiction t</w:t>
      </w:r>
      <w:r w:rsidR="00CD1843">
        <w:rPr>
          <w:sz w:val="26"/>
          <w:szCs w:val="26"/>
        </w:rPr>
        <w:t>o impose ancillary fees lower</w:t>
      </w:r>
      <w:r w:rsidR="00640824">
        <w:rPr>
          <w:sz w:val="26"/>
          <w:szCs w:val="26"/>
        </w:rPr>
        <w:t xml:space="preserve"> than those adopted by the FCC</w:t>
      </w:r>
      <w:r w:rsidR="009A7559">
        <w:rPr>
          <w:sz w:val="26"/>
          <w:szCs w:val="26"/>
        </w:rPr>
        <w:t xml:space="preserve"> and</w:t>
      </w:r>
      <w:r w:rsidR="005A2FBF">
        <w:rPr>
          <w:sz w:val="26"/>
          <w:szCs w:val="26"/>
        </w:rPr>
        <w:t xml:space="preserve">, </w:t>
      </w:r>
      <w:r w:rsidR="00CF43D1">
        <w:rPr>
          <w:sz w:val="26"/>
          <w:szCs w:val="26"/>
        </w:rPr>
        <w:t>with TURN,</w:t>
      </w:r>
      <w:r w:rsidR="005A2FBF">
        <w:rPr>
          <w:sz w:val="26"/>
          <w:szCs w:val="26"/>
        </w:rPr>
        <w:t xml:space="preserve"> observes</w:t>
      </w:r>
      <w:r w:rsidR="009A7559">
        <w:rPr>
          <w:sz w:val="26"/>
          <w:szCs w:val="26"/>
        </w:rPr>
        <w:t xml:space="preserve"> </w:t>
      </w:r>
      <w:r w:rsidR="00640824">
        <w:rPr>
          <w:sz w:val="26"/>
          <w:szCs w:val="26"/>
        </w:rPr>
        <w:t>that the FCC has affirmed this several times.</w:t>
      </w:r>
      <w:r w:rsidR="00640824">
        <w:rPr>
          <w:rStyle w:val="FootnoteReference"/>
          <w:sz w:val="26"/>
          <w:szCs w:val="26"/>
        </w:rPr>
        <w:footnoteReference w:id="220"/>
      </w:r>
      <w:r w:rsidR="00640824">
        <w:rPr>
          <w:sz w:val="26"/>
          <w:szCs w:val="26"/>
        </w:rPr>
        <w:t xml:space="preserve">  Prison Policy Institute </w:t>
      </w:r>
      <w:r w:rsidR="000C50E0">
        <w:rPr>
          <w:sz w:val="26"/>
          <w:szCs w:val="26"/>
        </w:rPr>
        <w:t xml:space="preserve">recommends the Commission </w:t>
      </w:r>
      <w:r w:rsidR="003105EE">
        <w:rPr>
          <w:sz w:val="26"/>
          <w:szCs w:val="26"/>
        </w:rPr>
        <w:t>prohibit single-call products</w:t>
      </w:r>
      <w:r w:rsidR="00952973">
        <w:rPr>
          <w:sz w:val="26"/>
          <w:szCs w:val="26"/>
        </w:rPr>
        <w:t xml:space="preserve"> that “</w:t>
      </w:r>
      <w:r w:rsidR="003105EE">
        <w:rPr>
          <w:sz w:val="26"/>
          <w:szCs w:val="26"/>
        </w:rPr>
        <w:t>steer end-users to incur automated payment fees on a per-call basis</w:t>
      </w:r>
      <w:r w:rsidR="00F45A5D">
        <w:rPr>
          <w:sz w:val="26"/>
          <w:szCs w:val="26"/>
        </w:rPr>
        <w:t>.</w:t>
      </w:r>
      <w:r w:rsidR="00952973">
        <w:rPr>
          <w:sz w:val="26"/>
          <w:szCs w:val="26"/>
        </w:rPr>
        <w:t>”</w:t>
      </w:r>
      <w:r w:rsidR="00952973">
        <w:rPr>
          <w:rStyle w:val="FootnoteReference"/>
          <w:sz w:val="26"/>
          <w:szCs w:val="26"/>
        </w:rPr>
        <w:footnoteReference w:id="221"/>
      </w:r>
      <w:r w:rsidR="001756CC">
        <w:rPr>
          <w:sz w:val="26"/>
          <w:szCs w:val="26"/>
        </w:rPr>
        <w:t xml:space="preserve">  </w:t>
      </w:r>
    </w:p>
    <w:p w:rsidR="004F4AAE" w:rsidP="005E56AF" w:rsidRDefault="00321526" w14:paraId="64C51C3E" w14:textId="6506A27D">
      <w:pPr>
        <w:pStyle w:val="Standard"/>
        <w:ind w:firstLine="720"/>
        <w:rPr>
          <w:sz w:val="26"/>
          <w:szCs w:val="26"/>
        </w:rPr>
      </w:pPr>
      <w:r>
        <w:rPr>
          <w:sz w:val="26"/>
          <w:szCs w:val="26"/>
        </w:rPr>
        <w:t xml:space="preserve">Prison Policy Institute </w:t>
      </w:r>
      <w:r w:rsidR="0022098E">
        <w:rPr>
          <w:sz w:val="26"/>
          <w:szCs w:val="26"/>
        </w:rPr>
        <w:t>discusses</w:t>
      </w:r>
      <w:r w:rsidR="00D56DB9">
        <w:rPr>
          <w:sz w:val="26"/>
          <w:szCs w:val="26"/>
        </w:rPr>
        <w:t xml:space="preserve"> what it calls</w:t>
      </w:r>
      <w:r w:rsidR="0022098E">
        <w:rPr>
          <w:sz w:val="26"/>
          <w:szCs w:val="26"/>
        </w:rPr>
        <w:t xml:space="preserve"> “loopholes” in the FCC ancillary service fee rules that allow “d</w:t>
      </w:r>
      <w:r w:rsidRPr="0022098E" w:rsidR="0022098E">
        <w:rPr>
          <w:sz w:val="26"/>
          <w:szCs w:val="26"/>
        </w:rPr>
        <w:t>ouble-dipping</w:t>
      </w:r>
      <w:r w:rsidR="0022098E">
        <w:rPr>
          <w:sz w:val="26"/>
          <w:szCs w:val="26"/>
        </w:rPr>
        <w:t>,</w:t>
      </w:r>
      <w:r w:rsidR="00D56DB9">
        <w:rPr>
          <w:sz w:val="26"/>
          <w:szCs w:val="26"/>
        </w:rPr>
        <w:t xml:space="preserve">” </w:t>
      </w:r>
      <w:r w:rsidR="0022098E">
        <w:rPr>
          <w:sz w:val="26"/>
          <w:szCs w:val="26"/>
        </w:rPr>
        <w:t xml:space="preserve">which </w:t>
      </w:r>
      <w:r w:rsidR="006438CA">
        <w:rPr>
          <w:sz w:val="26"/>
          <w:szCs w:val="26"/>
        </w:rPr>
        <w:t xml:space="preserve">it suggests </w:t>
      </w:r>
      <w:r w:rsidR="0022098E">
        <w:rPr>
          <w:sz w:val="26"/>
          <w:szCs w:val="26"/>
        </w:rPr>
        <w:t xml:space="preserve">the Commission should prohibit.  </w:t>
      </w:r>
      <w:r w:rsidR="008F74D9">
        <w:rPr>
          <w:sz w:val="26"/>
          <w:szCs w:val="26"/>
        </w:rPr>
        <w:t xml:space="preserve">Prison Policy Institute </w:t>
      </w:r>
      <w:r w:rsidR="004F4AAE">
        <w:rPr>
          <w:sz w:val="26"/>
          <w:szCs w:val="26"/>
        </w:rPr>
        <w:t xml:space="preserve">states that it has documented </w:t>
      </w:r>
      <w:r w:rsidR="00FE6350">
        <w:rPr>
          <w:sz w:val="26"/>
          <w:szCs w:val="26"/>
        </w:rPr>
        <w:t>a p</w:t>
      </w:r>
      <w:r w:rsidR="006A4A0A">
        <w:rPr>
          <w:sz w:val="26"/>
          <w:szCs w:val="26"/>
        </w:rPr>
        <w:t xml:space="preserve">rovider charging </w:t>
      </w:r>
      <w:r w:rsidRPr="0022098E" w:rsidR="0022098E">
        <w:rPr>
          <w:sz w:val="26"/>
          <w:szCs w:val="26"/>
        </w:rPr>
        <w:t>both a $3</w:t>
      </w:r>
      <w:r w:rsidR="006A4A0A">
        <w:rPr>
          <w:sz w:val="26"/>
          <w:szCs w:val="26"/>
        </w:rPr>
        <w:t>.00</w:t>
      </w:r>
      <w:r w:rsidRPr="0022098E" w:rsidR="0022098E">
        <w:rPr>
          <w:sz w:val="26"/>
          <w:szCs w:val="26"/>
        </w:rPr>
        <w:t xml:space="preserve"> automated payment fee and</w:t>
      </w:r>
      <w:r w:rsidR="00B458EC">
        <w:rPr>
          <w:sz w:val="26"/>
          <w:szCs w:val="26"/>
        </w:rPr>
        <w:t xml:space="preserve"> </w:t>
      </w:r>
      <w:r w:rsidR="00D3442C">
        <w:rPr>
          <w:sz w:val="26"/>
          <w:szCs w:val="26"/>
        </w:rPr>
        <w:t>pass</w:t>
      </w:r>
      <w:r w:rsidR="004F6C6C">
        <w:rPr>
          <w:sz w:val="26"/>
          <w:szCs w:val="26"/>
        </w:rPr>
        <w:t>ing</w:t>
      </w:r>
      <w:r w:rsidR="009D3C88">
        <w:rPr>
          <w:sz w:val="26"/>
          <w:szCs w:val="26"/>
        </w:rPr>
        <w:t xml:space="preserve"> through </w:t>
      </w:r>
      <w:r w:rsidR="00DD2BA1">
        <w:rPr>
          <w:sz w:val="26"/>
          <w:szCs w:val="26"/>
        </w:rPr>
        <w:t xml:space="preserve">their own </w:t>
      </w:r>
      <w:r w:rsidR="009D3C88">
        <w:rPr>
          <w:sz w:val="26"/>
          <w:szCs w:val="26"/>
        </w:rPr>
        <w:t>payment-card processing fees</w:t>
      </w:r>
      <w:r w:rsidR="006774D0">
        <w:rPr>
          <w:sz w:val="26"/>
          <w:szCs w:val="26"/>
        </w:rPr>
        <w:t>.</w:t>
      </w:r>
      <w:r w:rsidR="000C50E0">
        <w:rPr>
          <w:rStyle w:val="FootnoteReference"/>
          <w:sz w:val="26"/>
          <w:szCs w:val="26"/>
        </w:rPr>
        <w:footnoteReference w:id="222"/>
      </w:r>
    </w:p>
    <w:p w:rsidR="00B636D5" w:rsidP="005E56AF" w:rsidRDefault="0025209A" w14:paraId="5F49530E" w14:textId="4AB4B134">
      <w:pPr>
        <w:pStyle w:val="Standard"/>
        <w:ind w:firstLine="720"/>
        <w:rPr>
          <w:sz w:val="26"/>
          <w:szCs w:val="26"/>
        </w:rPr>
      </w:pPr>
      <w:r>
        <w:rPr>
          <w:sz w:val="26"/>
          <w:szCs w:val="26"/>
        </w:rPr>
        <w:t xml:space="preserve">Pay Tel and Verizon </w:t>
      </w:r>
      <w:r w:rsidR="00473ECC">
        <w:rPr>
          <w:sz w:val="26"/>
          <w:szCs w:val="26"/>
        </w:rPr>
        <w:t>support adopti</w:t>
      </w:r>
      <w:r w:rsidR="004F6C6C">
        <w:rPr>
          <w:sz w:val="26"/>
          <w:szCs w:val="26"/>
        </w:rPr>
        <w:t xml:space="preserve">ng </w:t>
      </w:r>
      <w:r w:rsidR="00473ECC">
        <w:rPr>
          <w:sz w:val="26"/>
          <w:szCs w:val="26"/>
        </w:rPr>
        <w:t xml:space="preserve">the </w:t>
      </w:r>
      <w:r w:rsidR="00414599">
        <w:rPr>
          <w:sz w:val="26"/>
          <w:szCs w:val="26"/>
        </w:rPr>
        <w:t>ancillary service</w:t>
      </w:r>
      <w:r w:rsidR="00473ECC">
        <w:rPr>
          <w:sz w:val="26"/>
          <w:szCs w:val="26"/>
        </w:rPr>
        <w:t xml:space="preserve"> caps</w:t>
      </w:r>
      <w:r w:rsidR="00414599">
        <w:rPr>
          <w:sz w:val="26"/>
          <w:szCs w:val="26"/>
        </w:rPr>
        <w:t xml:space="preserve"> adopted in the FCC’s Third Order</w:t>
      </w:r>
      <w:r w:rsidR="00473ECC">
        <w:rPr>
          <w:sz w:val="26"/>
          <w:szCs w:val="26"/>
        </w:rPr>
        <w:t xml:space="preserve">, with Verizon further urging the Commission to </w:t>
      </w:r>
      <w:r w:rsidR="0062271D">
        <w:rPr>
          <w:sz w:val="26"/>
          <w:szCs w:val="26"/>
        </w:rPr>
        <w:t>“</w:t>
      </w:r>
      <w:r w:rsidRPr="0062271D" w:rsidR="0062271D">
        <w:rPr>
          <w:sz w:val="26"/>
          <w:szCs w:val="26"/>
        </w:rPr>
        <w:t xml:space="preserve">find a long-term approach that prevents incarcerated individuals from paying fees that are </w:t>
      </w:r>
      <w:r w:rsidRPr="00472730" w:rsidR="0062271D">
        <w:rPr>
          <w:sz w:val="26"/>
          <w:szCs w:val="26"/>
        </w:rPr>
        <w:t>not connected with legitimate calling costs</w:t>
      </w:r>
      <w:r w:rsidRPr="0062271D" w:rsidR="0062271D">
        <w:rPr>
          <w:sz w:val="26"/>
          <w:szCs w:val="26"/>
        </w:rPr>
        <w:t>.</w:t>
      </w:r>
      <w:r w:rsidR="0062271D">
        <w:rPr>
          <w:sz w:val="26"/>
          <w:szCs w:val="26"/>
        </w:rPr>
        <w:t>”</w:t>
      </w:r>
      <w:r w:rsidR="0062271D">
        <w:rPr>
          <w:rStyle w:val="FootnoteReference"/>
          <w:sz w:val="26"/>
          <w:szCs w:val="26"/>
        </w:rPr>
        <w:footnoteReference w:id="223"/>
      </w:r>
      <w:r w:rsidR="00321526">
        <w:rPr>
          <w:sz w:val="26"/>
          <w:szCs w:val="26"/>
        </w:rPr>
        <w:t xml:space="preserve">  </w:t>
      </w:r>
      <w:proofErr w:type="spellStart"/>
      <w:r w:rsidR="002E6190">
        <w:rPr>
          <w:sz w:val="26"/>
          <w:szCs w:val="26"/>
        </w:rPr>
        <w:t>CforAT</w:t>
      </w:r>
      <w:proofErr w:type="spellEnd"/>
      <w:r w:rsidR="002E6190">
        <w:rPr>
          <w:sz w:val="26"/>
          <w:szCs w:val="26"/>
        </w:rPr>
        <w:t xml:space="preserve"> observes that “[p]</w:t>
      </w:r>
      <w:proofErr w:type="spellStart"/>
      <w:r w:rsidRPr="001826C2" w:rsidR="002E6190">
        <w:rPr>
          <w:sz w:val="26"/>
          <w:szCs w:val="26"/>
        </w:rPr>
        <w:t>articipants</w:t>
      </w:r>
      <w:proofErr w:type="spellEnd"/>
      <w:r w:rsidRPr="001826C2" w:rsidR="002E6190">
        <w:rPr>
          <w:sz w:val="26"/>
          <w:szCs w:val="26"/>
        </w:rPr>
        <w:t xml:space="preserve"> at the </w:t>
      </w:r>
      <w:r w:rsidR="009D315A">
        <w:rPr>
          <w:sz w:val="26"/>
          <w:szCs w:val="26"/>
        </w:rPr>
        <w:t>P</w:t>
      </w:r>
      <w:r w:rsidRPr="001826C2" w:rsidR="002E6190">
        <w:rPr>
          <w:sz w:val="26"/>
          <w:szCs w:val="26"/>
        </w:rPr>
        <w:t xml:space="preserve">ublic </w:t>
      </w:r>
      <w:r w:rsidR="009D315A">
        <w:rPr>
          <w:sz w:val="26"/>
          <w:szCs w:val="26"/>
        </w:rPr>
        <w:t>P</w:t>
      </w:r>
      <w:r w:rsidRPr="001826C2" w:rsidR="002E6190">
        <w:rPr>
          <w:sz w:val="26"/>
          <w:szCs w:val="26"/>
        </w:rPr>
        <w:t xml:space="preserve">articipation </w:t>
      </w:r>
      <w:r w:rsidR="009D315A">
        <w:rPr>
          <w:sz w:val="26"/>
          <w:szCs w:val="26"/>
        </w:rPr>
        <w:t>H</w:t>
      </w:r>
      <w:r w:rsidRPr="001826C2" w:rsidR="002E6190">
        <w:rPr>
          <w:sz w:val="26"/>
          <w:szCs w:val="26"/>
        </w:rPr>
        <w:t>earings described significant confusion and bill shock regarding ancillary service fees</w:t>
      </w:r>
      <w:r w:rsidR="002E6190">
        <w:rPr>
          <w:sz w:val="26"/>
          <w:szCs w:val="26"/>
        </w:rPr>
        <w:t>.”</w:t>
      </w:r>
      <w:r w:rsidR="002E6190">
        <w:rPr>
          <w:rStyle w:val="FootnoteReference"/>
          <w:sz w:val="26"/>
          <w:szCs w:val="26"/>
        </w:rPr>
        <w:footnoteReference w:id="224"/>
      </w:r>
    </w:p>
    <w:p w:rsidR="00A6341B" w:rsidP="00C44F72" w:rsidRDefault="00667B4A" w14:paraId="6FAA2A68" w14:textId="77777777">
      <w:pPr>
        <w:pStyle w:val="Standard"/>
        <w:ind w:firstLine="720"/>
        <w:rPr>
          <w:sz w:val="26"/>
          <w:szCs w:val="26"/>
        </w:rPr>
      </w:pPr>
      <w:r>
        <w:rPr>
          <w:sz w:val="26"/>
          <w:szCs w:val="26"/>
        </w:rPr>
        <w:t>Securus and GTL support Staff’s proposal</w:t>
      </w:r>
      <w:r w:rsidR="00414599">
        <w:rPr>
          <w:sz w:val="26"/>
          <w:szCs w:val="26"/>
        </w:rPr>
        <w:t xml:space="preserve"> to adopt the FCC’s 2013 Order ancillary fee cap</w:t>
      </w:r>
      <w:r w:rsidR="00402818">
        <w:rPr>
          <w:sz w:val="26"/>
          <w:szCs w:val="26"/>
        </w:rPr>
        <w:t xml:space="preserve">s but </w:t>
      </w:r>
      <w:r w:rsidR="00EC5823">
        <w:rPr>
          <w:sz w:val="26"/>
          <w:szCs w:val="26"/>
        </w:rPr>
        <w:t xml:space="preserve">argue that most ancillary service fees cannot be separated </w:t>
      </w:r>
      <w:r w:rsidR="00EC5823">
        <w:rPr>
          <w:sz w:val="26"/>
          <w:szCs w:val="26"/>
        </w:rPr>
        <w:lastRenderedPageBreak/>
        <w:t>between interstate versus intrastate calls</w:t>
      </w:r>
      <w:r w:rsidR="00402818">
        <w:rPr>
          <w:sz w:val="26"/>
          <w:szCs w:val="26"/>
        </w:rPr>
        <w:t xml:space="preserve">.  These providers </w:t>
      </w:r>
      <w:r w:rsidR="00474CA0">
        <w:rPr>
          <w:sz w:val="26"/>
          <w:szCs w:val="26"/>
        </w:rPr>
        <w:t xml:space="preserve">interpret this as meaning that </w:t>
      </w:r>
      <w:r w:rsidR="00C44F72">
        <w:rPr>
          <w:sz w:val="26"/>
          <w:szCs w:val="26"/>
        </w:rPr>
        <w:t xml:space="preserve">authority over most IPCS service fees is </w:t>
      </w:r>
      <w:r w:rsidR="00EC5823">
        <w:rPr>
          <w:sz w:val="26"/>
          <w:szCs w:val="26"/>
        </w:rPr>
        <w:t xml:space="preserve">“jurisdictionally mixed” </w:t>
      </w:r>
      <w:r w:rsidR="00C44F72">
        <w:rPr>
          <w:sz w:val="26"/>
          <w:szCs w:val="26"/>
        </w:rPr>
        <w:t>and therefore subject to the FCC’s rules.</w:t>
      </w:r>
      <w:r w:rsidR="0021606F">
        <w:rPr>
          <w:rStyle w:val="FootnoteReference"/>
          <w:sz w:val="26"/>
          <w:szCs w:val="26"/>
        </w:rPr>
        <w:footnoteReference w:id="225"/>
      </w:r>
      <w:r w:rsidR="00C44F72">
        <w:rPr>
          <w:sz w:val="26"/>
          <w:szCs w:val="26"/>
        </w:rPr>
        <w:t xml:space="preserve"> </w:t>
      </w:r>
    </w:p>
    <w:p w:rsidR="00DB5D6D" w:rsidP="00C44F72" w:rsidRDefault="007C5199" w14:paraId="4B99BD9A" w14:textId="2BFEF92E">
      <w:pPr>
        <w:pStyle w:val="Standard"/>
        <w:ind w:firstLine="720"/>
        <w:rPr>
          <w:sz w:val="26"/>
          <w:szCs w:val="26"/>
        </w:rPr>
      </w:pPr>
      <w:r>
        <w:rPr>
          <w:sz w:val="26"/>
          <w:szCs w:val="26"/>
        </w:rPr>
        <w:t xml:space="preserve"> </w:t>
      </w:r>
      <w:r w:rsidR="001908A1">
        <w:rPr>
          <w:sz w:val="26"/>
          <w:szCs w:val="26"/>
        </w:rPr>
        <w:t>GTL asserts that</w:t>
      </w:r>
      <w:r w:rsidR="009D18EE">
        <w:rPr>
          <w:sz w:val="26"/>
          <w:szCs w:val="26"/>
        </w:rPr>
        <w:t xml:space="preserve"> its billing systems “record and access ancillary service charges with respect to the underlying action… exclusive of how the deposited monies are ultimately used, i.e., for an interstate or intrastate call.”</w:t>
      </w:r>
      <w:r w:rsidR="009D18EE">
        <w:rPr>
          <w:rStyle w:val="FootnoteReference"/>
          <w:sz w:val="26"/>
          <w:szCs w:val="26"/>
        </w:rPr>
        <w:footnoteReference w:id="226"/>
      </w:r>
      <w:r w:rsidR="009D18EE">
        <w:rPr>
          <w:sz w:val="26"/>
          <w:szCs w:val="26"/>
        </w:rPr>
        <w:t xml:space="preserve">  </w:t>
      </w:r>
      <w:r>
        <w:rPr>
          <w:sz w:val="26"/>
          <w:szCs w:val="26"/>
        </w:rPr>
        <w:t xml:space="preserve">GTL </w:t>
      </w:r>
      <w:r w:rsidR="008D2251">
        <w:rPr>
          <w:sz w:val="26"/>
          <w:szCs w:val="26"/>
        </w:rPr>
        <w:t>states</w:t>
      </w:r>
      <w:r>
        <w:rPr>
          <w:sz w:val="26"/>
          <w:szCs w:val="26"/>
        </w:rPr>
        <w:t xml:space="preserve"> that </w:t>
      </w:r>
      <w:r w:rsidR="0079145E">
        <w:rPr>
          <w:sz w:val="26"/>
          <w:szCs w:val="26"/>
        </w:rPr>
        <w:t>it can only definitely classify</w:t>
      </w:r>
      <w:r w:rsidR="00DC40F3">
        <w:rPr>
          <w:sz w:val="26"/>
          <w:szCs w:val="26"/>
        </w:rPr>
        <w:t xml:space="preserve"> single-call and related service fees </w:t>
      </w:r>
      <w:r>
        <w:rPr>
          <w:sz w:val="26"/>
          <w:szCs w:val="26"/>
        </w:rPr>
        <w:t xml:space="preserve">as </w:t>
      </w:r>
      <w:r w:rsidR="008D2251">
        <w:rPr>
          <w:sz w:val="26"/>
          <w:szCs w:val="26"/>
        </w:rPr>
        <w:t>“</w:t>
      </w:r>
      <w:r>
        <w:rPr>
          <w:sz w:val="26"/>
          <w:szCs w:val="26"/>
        </w:rPr>
        <w:t>interstate</w:t>
      </w:r>
      <w:r w:rsidR="008D2251">
        <w:rPr>
          <w:sz w:val="26"/>
          <w:szCs w:val="26"/>
        </w:rPr>
        <w:t>”</w:t>
      </w:r>
      <w:r>
        <w:rPr>
          <w:sz w:val="26"/>
          <w:szCs w:val="26"/>
        </w:rPr>
        <w:t xml:space="preserve"> or </w:t>
      </w:r>
      <w:r w:rsidR="008D2251">
        <w:rPr>
          <w:sz w:val="26"/>
          <w:szCs w:val="26"/>
        </w:rPr>
        <w:t>“</w:t>
      </w:r>
      <w:r>
        <w:rPr>
          <w:sz w:val="26"/>
          <w:szCs w:val="26"/>
        </w:rPr>
        <w:t>intrastate</w:t>
      </w:r>
      <w:r w:rsidR="002D6D6B">
        <w:rPr>
          <w:sz w:val="26"/>
          <w:szCs w:val="26"/>
        </w:rPr>
        <w:t>,</w:t>
      </w:r>
      <w:r w:rsidR="008D2251">
        <w:rPr>
          <w:sz w:val="26"/>
          <w:szCs w:val="26"/>
        </w:rPr>
        <w:t>”</w:t>
      </w:r>
      <w:r w:rsidR="002D6D6B">
        <w:rPr>
          <w:sz w:val="26"/>
          <w:szCs w:val="26"/>
        </w:rPr>
        <w:t xml:space="preserve"> and therefore the Commission should adopt the FCC’s ancillary service caps.</w:t>
      </w:r>
      <w:r w:rsidR="003A3AEF">
        <w:rPr>
          <w:rStyle w:val="FootnoteReference"/>
          <w:sz w:val="26"/>
          <w:szCs w:val="26"/>
        </w:rPr>
        <w:footnoteReference w:id="227"/>
      </w:r>
      <w:r>
        <w:rPr>
          <w:sz w:val="26"/>
          <w:szCs w:val="26"/>
        </w:rPr>
        <w:t xml:space="preserve"> </w:t>
      </w:r>
    </w:p>
    <w:p w:rsidRPr="00484575" w:rsidR="0083635C" w:rsidP="00484575" w:rsidRDefault="00EF6803" w14:paraId="03400FA8" w14:textId="572128A7">
      <w:pPr>
        <w:pStyle w:val="Standard"/>
        <w:ind w:firstLine="720"/>
        <w:rPr>
          <w:sz w:val="26"/>
          <w:szCs w:val="26"/>
        </w:rPr>
      </w:pPr>
      <w:r>
        <w:rPr>
          <w:sz w:val="26"/>
          <w:szCs w:val="26"/>
        </w:rPr>
        <w:t xml:space="preserve">In reply comments, </w:t>
      </w:r>
      <w:proofErr w:type="spellStart"/>
      <w:r w:rsidR="00511588">
        <w:rPr>
          <w:sz w:val="26"/>
          <w:szCs w:val="26"/>
        </w:rPr>
        <w:t>CforAT</w:t>
      </w:r>
      <w:proofErr w:type="spellEnd"/>
      <w:r w:rsidR="00511588">
        <w:rPr>
          <w:sz w:val="26"/>
          <w:szCs w:val="26"/>
        </w:rPr>
        <w:t xml:space="preserve"> </w:t>
      </w:r>
      <w:r>
        <w:rPr>
          <w:sz w:val="26"/>
          <w:szCs w:val="26"/>
        </w:rPr>
        <w:t>asserts that</w:t>
      </w:r>
      <w:r w:rsidR="00DC40F3">
        <w:rPr>
          <w:sz w:val="26"/>
          <w:szCs w:val="26"/>
        </w:rPr>
        <w:t>,</w:t>
      </w:r>
      <w:r>
        <w:rPr>
          <w:sz w:val="26"/>
          <w:szCs w:val="26"/>
        </w:rPr>
        <w:t xml:space="preserve"> </w:t>
      </w:r>
      <w:r w:rsidR="00973916">
        <w:rPr>
          <w:sz w:val="26"/>
          <w:szCs w:val="26"/>
        </w:rPr>
        <w:t xml:space="preserve">contrary to the assertions of Securus and GTL, the </w:t>
      </w:r>
      <w:r w:rsidR="009D18EE">
        <w:rPr>
          <w:sz w:val="26"/>
          <w:szCs w:val="26"/>
        </w:rPr>
        <w:t>Commission</w:t>
      </w:r>
      <w:r w:rsidR="00973916">
        <w:rPr>
          <w:sz w:val="26"/>
          <w:szCs w:val="26"/>
        </w:rPr>
        <w:t xml:space="preserve"> can apply existing methods </w:t>
      </w:r>
      <w:r w:rsidR="00D3405E">
        <w:rPr>
          <w:sz w:val="26"/>
          <w:szCs w:val="26"/>
        </w:rPr>
        <w:t xml:space="preserve">other than the use of actual revenue data to </w:t>
      </w:r>
      <w:r w:rsidR="00973916">
        <w:rPr>
          <w:sz w:val="26"/>
          <w:szCs w:val="26"/>
        </w:rPr>
        <w:t>determine the percentage of ancillary service fees that are intrastate</w:t>
      </w:r>
      <w:r w:rsidR="002D6D6B">
        <w:rPr>
          <w:sz w:val="26"/>
          <w:szCs w:val="26"/>
        </w:rPr>
        <w:t>.</w:t>
      </w:r>
      <w:r w:rsidR="00973916">
        <w:rPr>
          <w:rStyle w:val="FootnoteReference"/>
          <w:sz w:val="26"/>
          <w:szCs w:val="26"/>
        </w:rPr>
        <w:footnoteReference w:id="228"/>
      </w:r>
      <w:r w:rsidR="002E6190">
        <w:rPr>
          <w:sz w:val="26"/>
          <w:szCs w:val="26"/>
        </w:rPr>
        <w:t xml:space="preserve"> </w:t>
      </w:r>
      <w:r w:rsidR="00002917">
        <w:rPr>
          <w:sz w:val="26"/>
          <w:szCs w:val="26"/>
        </w:rPr>
        <w:t xml:space="preserve"> </w:t>
      </w:r>
    </w:p>
    <w:p w:rsidRPr="00E71B59" w:rsidR="00E71B59" w:rsidP="00DB5D6D" w:rsidRDefault="003E26B9" w14:paraId="5369FF44" w14:textId="2DC6F48F">
      <w:pPr>
        <w:pStyle w:val="Heading2"/>
      </w:pPr>
      <w:bookmarkStart w:name="_Toc80089416" w:id="58"/>
      <w:r>
        <w:t>7.4</w:t>
      </w:r>
      <w:r>
        <w:tab/>
        <w:t xml:space="preserve">Discussion: </w:t>
      </w:r>
      <w:r w:rsidR="00E71B59">
        <w:t>Prohibiting</w:t>
      </w:r>
      <w:r w:rsidR="001478CE">
        <w:t xml:space="preserve"> </w:t>
      </w:r>
      <w:r w:rsidR="00E71B59">
        <w:t>A</w:t>
      </w:r>
      <w:r w:rsidR="001478CE">
        <w:t>ll A</w:t>
      </w:r>
      <w:r w:rsidR="00E71B59">
        <w:t>ncillary Service Fees</w:t>
      </w:r>
      <w:r w:rsidR="001478CE">
        <w:t xml:space="preserve"> Except for</w:t>
      </w:r>
      <w:r w:rsidR="00B85B9C">
        <w:t xml:space="preserve"> </w:t>
      </w:r>
      <w:r w:rsidR="001478CE">
        <w:t>Third</w:t>
      </w:r>
      <w:r w:rsidR="002D4E89">
        <w:t>-</w:t>
      </w:r>
      <w:r w:rsidR="001478CE">
        <w:t>Party Financial Transaction Fees</w:t>
      </w:r>
      <w:r w:rsidR="00B85B9C">
        <w:t xml:space="preserve"> and Government-Mandated Taxes and Fees</w:t>
      </w:r>
      <w:bookmarkEnd w:id="58"/>
    </w:p>
    <w:p w:rsidR="00EF45CF" w:rsidP="00CC02BF" w:rsidRDefault="00DF607F" w14:paraId="7B9D6D36" w14:textId="3A8C1FEF">
      <w:pPr>
        <w:pStyle w:val="Standard"/>
        <w:ind w:firstLine="720"/>
        <w:rPr>
          <w:sz w:val="26"/>
          <w:szCs w:val="26"/>
        </w:rPr>
      </w:pPr>
      <w:r>
        <w:rPr>
          <w:sz w:val="26"/>
          <w:szCs w:val="26"/>
        </w:rPr>
        <w:t xml:space="preserve">We </w:t>
      </w:r>
      <w:r w:rsidR="008D0AC8">
        <w:rPr>
          <w:sz w:val="26"/>
          <w:szCs w:val="26"/>
        </w:rPr>
        <w:t xml:space="preserve">adopt interim </w:t>
      </w:r>
      <w:r w:rsidRPr="00886E47" w:rsidR="008A2636">
        <w:rPr>
          <w:sz w:val="26"/>
          <w:szCs w:val="26"/>
        </w:rPr>
        <w:t>cap</w:t>
      </w:r>
      <w:r w:rsidR="00886E47">
        <w:rPr>
          <w:sz w:val="26"/>
          <w:szCs w:val="26"/>
        </w:rPr>
        <w:t>s</w:t>
      </w:r>
      <w:r w:rsidRPr="00886E47" w:rsidR="008A2636">
        <w:rPr>
          <w:sz w:val="26"/>
          <w:szCs w:val="26"/>
        </w:rPr>
        <w:t xml:space="preserve"> and prohibit</w:t>
      </w:r>
      <w:r w:rsidR="008D0AC8">
        <w:rPr>
          <w:sz w:val="26"/>
          <w:szCs w:val="26"/>
        </w:rPr>
        <w:t>ions on intrastate IPCS</w:t>
      </w:r>
      <w:r w:rsidRPr="00886E47" w:rsidR="008A2636">
        <w:rPr>
          <w:sz w:val="26"/>
          <w:szCs w:val="26"/>
        </w:rPr>
        <w:t xml:space="preserve"> ancillary service fees</w:t>
      </w:r>
      <w:r w:rsidRPr="00886E47" w:rsidR="00FA294C">
        <w:rPr>
          <w:sz w:val="26"/>
          <w:szCs w:val="26"/>
        </w:rPr>
        <w:t xml:space="preserve"> in several ways.  First, </w:t>
      </w:r>
      <w:r w:rsidRPr="00886E47" w:rsidR="002115EC">
        <w:rPr>
          <w:sz w:val="26"/>
          <w:szCs w:val="26"/>
        </w:rPr>
        <w:t xml:space="preserve">we </w:t>
      </w:r>
      <w:r w:rsidRPr="00886E47" w:rsidR="00FA294C">
        <w:rPr>
          <w:sz w:val="26"/>
          <w:szCs w:val="26"/>
        </w:rPr>
        <w:t>prohibit</w:t>
      </w:r>
      <w:r w:rsidRPr="00886E47" w:rsidR="002115EC">
        <w:rPr>
          <w:sz w:val="26"/>
          <w:szCs w:val="26"/>
        </w:rPr>
        <w:t xml:space="preserve"> </w:t>
      </w:r>
      <w:r w:rsidR="00760A1F">
        <w:rPr>
          <w:sz w:val="26"/>
          <w:szCs w:val="26"/>
        </w:rPr>
        <w:t xml:space="preserve">the imposition of any </w:t>
      </w:r>
      <w:r w:rsidRPr="00886E47" w:rsidR="00D059C0">
        <w:rPr>
          <w:sz w:val="26"/>
          <w:szCs w:val="26"/>
        </w:rPr>
        <w:t xml:space="preserve">automated payment fees, paper bill/statement fees, live agent fees, and single-call </w:t>
      </w:r>
      <w:r w:rsidRPr="00886E47" w:rsidR="00E64A89">
        <w:rPr>
          <w:sz w:val="26"/>
          <w:szCs w:val="26"/>
        </w:rPr>
        <w:t>fees</w:t>
      </w:r>
      <w:r w:rsidR="00760A1F">
        <w:rPr>
          <w:sz w:val="26"/>
          <w:szCs w:val="26"/>
        </w:rPr>
        <w:t xml:space="preserve"> in association with intrastate and jurisdictionally mixed calls</w:t>
      </w:r>
      <w:r w:rsidRPr="00886E47" w:rsidR="00E64A89">
        <w:rPr>
          <w:sz w:val="26"/>
          <w:szCs w:val="26"/>
        </w:rPr>
        <w:t xml:space="preserve">.  </w:t>
      </w:r>
      <w:r w:rsidRPr="00886E47" w:rsidR="002115EC">
        <w:rPr>
          <w:sz w:val="26"/>
          <w:szCs w:val="26"/>
        </w:rPr>
        <w:t xml:space="preserve">Second, we </w:t>
      </w:r>
      <w:r w:rsidRPr="00886E47" w:rsidR="00886E47">
        <w:rPr>
          <w:sz w:val="26"/>
          <w:szCs w:val="26"/>
        </w:rPr>
        <w:t xml:space="preserve">require </w:t>
      </w:r>
      <w:r w:rsidR="00804A5C">
        <w:rPr>
          <w:sz w:val="26"/>
          <w:szCs w:val="26"/>
        </w:rPr>
        <w:t xml:space="preserve">intrastate </w:t>
      </w:r>
      <w:r w:rsidRPr="00886E47" w:rsidR="00886E47">
        <w:rPr>
          <w:sz w:val="26"/>
          <w:szCs w:val="26"/>
        </w:rPr>
        <w:t>IPCS providers to directly pass through third-party financial transaction fees to consumers with no markup</w:t>
      </w:r>
      <w:r w:rsidR="008047B0">
        <w:rPr>
          <w:sz w:val="26"/>
          <w:szCs w:val="26"/>
        </w:rPr>
        <w:t>, and</w:t>
      </w:r>
      <w:r w:rsidR="007C23F3">
        <w:rPr>
          <w:sz w:val="26"/>
          <w:szCs w:val="26"/>
        </w:rPr>
        <w:t xml:space="preserve"> </w:t>
      </w:r>
      <w:r w:rsidR="00364DB3">
        <w:rPr>
          <w:sz w:val="26"/>
          <w:szCs w:val="26"/>
        </w:rPr>
        <w:t xml:space="preserve">excluding any credit card </w:t>
      </w:r>
      <w:r w:rsidR="00364DB3">
        <w:rPr>
          <w:sz w:val="26"/>
          <w:szCs w:val="26"/>
        </w:rPr>
        <w:lastRenderedPageBreak/>
        <w:t>charges,</w:t>
      </w:r>
      <w:r w:rsidR="008047B0">
        <w:rPr>
          <w:sz w:val="26"/>
          <w:szCs w:val="26"/>
        </w:rPr>
        <w:t xml:space="preserve"> and</w:t>
      </w:r>
      <w:r w:rsidR="007C23F3">
        <w:rPr>
          <w:sz w:val="26"/>
          <w:szCs w:val="26"/>
        </w:rPr>
        <w:t xml:space="preserve"> to</w:t>
      </w:r>
      <w:r w:rsidR="008047B0">
        <w:rPr>
          <w:sz w:val="26"/>
          <w:szCs w:val="26"/>
        </w:rPr>
        <w:t xml:space="preserve"> </w:t>
      </w:r>
      <w:r w:rsidR="00673D35">
        <w:rPr>
          <w:sz w:val="26"/>
          <w:szCs w:val="26"/>
        </w:rPr>
        <w:t xml:space="preserve">cap </w:t>
      </w:r>
      <w:r w:rsidR="00BB0EA2">
        <w:rPr>
          <w:sz w:val="26"/>
          <w:szCs w:val="26"/>
        </w:rPr>
        <w:t xml:space="preserve">these fees </w:t>
      </w:r>
      <w:r w:rsidR="006C1430">
        <w:rPr>
          <w:sz w:val="26"/>
          <w:szCs w:val="26"/>
        </w:rPr>
        <w:t xml:space="preserve">at </w:t>
      </w:r>
      <w:r w:rsidR="008047B0">
        <w:rPr>
          <w:sz w:val="26"/>
          <w:szCs w:val="26"/>
        </w:rPr>
        <w:t xml:space="preserve">a limit of $6.95 per </w:t>
      </w:r>
      <w:r w:rsidR="007A4F68">
        <w:rPr>
          <w:sz w:val="26"/>
          <w:szCs w:val="26"/>
        </w:rPr>
        <w:t>transaction</w:t>
      </w:r>
      <w:r w:rsidR="00B81A25">
        <w:rPr>
          <w:sz w:val="26"/>
          <w:szCs w:val="26"/>
        </w:rPr>
        <w:t xml:space="preserve">.  </w:t>
      </w:r>
      <w:r w:rsidR="0063648A">
        <w:rPr>
          <w:sz w:val="26"/>
          <w:szCs w:val="26"/>
        </w:rPr>
        <w:t xml:space="preserve">Third, we </w:t>
      </w:r>
      <w:r w:rsidR="007B4ACD">
        <w:rPr>
          <w:sz w:val="26"/>
          <w:szCs w:val="26"/>
        </w:rPr>
        <w:t xml:space="preserve">restrict collection of </w:t>
      </w:r>
      <w:r w:rsidR="001E54AF">
        <w:rPr>
          <w:sz w:val="26"/>
          <w:szCs w:val="26"/>
        </w:rPr>
        <w:t xml:space="preserve">mandatory government taxes and fees </w:t>
      </w:r>
      <w:r w:rsidR="00804A5C">
        <w:rPr>
          <w:sz w:val="26"/>
          <w:szCs w:val="26"/>
        </w:rPr>
        <w:t xml:space="preserve">in association </w:t>
      </w:r>
      <w:r w:rsidR="00F81FDD">
        <w:rPr>
          <w:sz w:val="26"/>
          <w:szCs w:val="26"/>
        </w:rPr>
        <w:t xml:space="preserve">with intrastate and jurisdictionally mixed calls </w:t>
      </w:r>
      <w:r w:rsidR="001E54AF">
        <w:rPr>
          <w:sz w:val="26"/>
          <w:szCs w:val="26"/>
        </w:rPr>
        <w:t>to pass through without markup</w:t>
      </w:r>
      <w:r w:rsidR="006758C3">
        <w:rPr>
          <w:sz w:val="26"/>
          <w:szCs w:val="26"/>
        </w:rPr>
        <w:t>.</w:t>
      </w:r>
      <w:r w:rsidR="001E54AF">
        <w:rPr>
          <w:sz w:val="26"/>
          <w:szCs w:val="26"/>
        </w:rPr>
        <w:t xml:space="preserve">  Fourth</w:t>
      </w:r>
      <w:r w:rsidR="00886E47">
        <w:rPr>
          <w:sz w:val="26"/>
          <w:szCs w:val="26"/>
        </w:rPr>
        <w:t xml:space="preserve">, we </w:t>
      </w:r>
      <w:r w:rsidR="00720604">
        <w:rPr>
          <w:sz w:val="26"/>
          <w:szCs w:val="26"/>
        </w:rPr>
        <w:t>prohibit</w:t>
      </w:r>
      <w:r w:rsidR="00886E47">
        <w:rPr>
          <w:sz w:val="26"/>
          <w:szCs w:val="26"/>
        </w:rPr>
        <w:t xml:space="preserve"> </w:t>
      </w:r>
      <w:r w:rsidR="005A4479">
        <w:rPr>
          <w:sz w:val="26"/>
          <w:szCs w:val="26"/>
        </w:rPr>
        <w:t>IPCS providers from charging any other ancillary service fees not identified</w:t>
      </w:r>
      <w:r w:rsidR="00C7408E">
        <w:rPr>
          <w:sz w:val="26"/>
          <w:szCs w:val="26"/>
        </w:rPr>
        <w:t xml:space="preserve"> and explicit</w:t>
      </w:r>
      <w:r w:rsidR="006C1430">
        <w:rPr>
          <w:sz w:val="26"/>
          <w:szCs w:val="26"/>
        </w:rPr>
        <w:t>l</w:t>
      </w:r>
      <w:r w:rsidR="00C7408E">
        <w:rPr>
          <w:sz w:val="26"/>
          <w:szCs w:val="26"/>
        </w:rPr>
        <w:t>y approved here</w:t>
      </w:r>
      <w:r w:rsidR="00110AFC">
        <w:rPr>
          <w:sz w:val="26"/>
          <w:szCs w:val="26"/>
        </w:rPr>
        <w:t xml:space="preserve"> in association with any intrastate or jurisdictionally mixed IPCS call</w:t>
      </w:r>
      <w:r w:rsidR="005A4479">
        <w:rPr>
          <w:sz w:val="26"/>
          <w:szCs w:val="26"/>
        </w:rPr>
        <w:t xml:space="preserve">. </w:t>
      </w:r>
    </w:p>
    <w:p w:rsidR="00832E00" w:rsidP="007634D2" w:rsidRDefault="00470C7A" w14:paraId="15992110" w14:textId="047D47C2">
      <w:pPr>
        <w:pStyle w:val="Standard"/>
        <w:ind w:firstLine="720"/>
        <w:rPr>
          <w:sz w:val="26"/>
          <w:szCs w:val="26"/>
        </w:rPr>
      </w:pPr>
      <w:r>
        <w:rPr>
          <w:sz w:val="26"/>
          <w:szCs w:val="26"/>
        </w:rPr>
        <w:t xml:space="preserve">There are no indications that </w:t>
      </w:r>
      <w:r w:rsidR="006C1430">
        <w:rPr>
          <w:sz w:val="26"/>
          <w:szCs w:val="26"/>
        </w:rPr>
        <w:t xml:space="preserve">the </w:t>
      </w:r>
      <w:r>
        <w:rPr>
          <w:sz w:val="26"/>
          <w:szCs w:val="26"/>
        </w:rPr>
        <w:t xml:space="preserve">current </w:t>
      </w:r>
      <w:r w:rsidR="006C1430">
        <w:rPr>
          <w:sz w:val="26"/>
          <w:szCs w:val="26"/>
        </w:rPr>
        <w:t xml:space="preserve">uncapped </w:t>
      </w:r>
      <w:r>
        <w:rPr>
          <w:sz w:val="26"/>
          <w:szCs w:val="26"/>
        </w:rPr>
        <w:t xml:space="preserve">ancillary fees </w:t>
      </w:r>
      <w:r w:rsidR="00DD4B5F">
        <w:rPr>
          <w:sz w:val="26"/>
          <w:szCs w:val="26"/>
        </w:rPr>
        <w:t xml:space="preserve">charged in connection with IPCS calls </w:t>
      </w:r>
      <w:r>
        <w:rPr>
          <w:sz w:val="26"/>
          <w:szCs w:val="26"/>
        </w:rPr>
        <w:t xml:space="preserve">are just or reasonable. </w:t>
      </w:r>
      <w:r w:rsidR="271219C3">
        <w:rPr>
          <w:sz w:val="26"/>
          <w:szCs w:val="26"/>
        </w:rPr>
        <w:t xml:space="preserve"> </w:t>
      </w:r>
      <w:r w:rsidR="007A1400">
        <w:rPr>
          <w:sz w:val="26"/>
          <w:szCs w:val="26"/>
        </w:rPr>
        <w:t>N</w:t>
      </w:r>
      <w:r w:rsidR="001F15DF">
        <w:rPr>
          <w:sz w:val="26"/>
          <w:szCs w:val="26"/>
        </w:rPr>
        <w:t>o party provided data on the record that</w:t>
      </w:r>
      <w:r w:rsidR="00764F03">
        <w:rPr>
          <w:sz w:val="26"/>
          <w:szCs w:val="26"/>
        </w:rPr>
        <w:t xml:space="preserve"> demonstrating this.  </w:t>
      </w:r>
      <w:r w:rsidR="005A4479">
        <w:rPr>
          <w:sz w:val="26"/>
          <w:szCs w:val="26"/>
        </w:rPr>
        <w:t xml:space="preserve">Prohibiting and capping </w:t>
      </w:r>
      <w:r w:rsidR="00110AFC">
        <w:rPr>
          <w:sz w:val="26"/>
          <w:szCs w:val="26"/>
        </w:rPr>
        <w:t xml:space="preserve">intrastate </w:t>
      </w:r>
      <w:r w:rsidR="00344C9A">
        <w:rPr>
          <w:sz w:val="26"/>
          <w:szCs w:val="26"/>
        </w:rPr>
        <w:t xml:space="preserve">ancillary fees </w:t>
      </w:r>
      <w:r w:rsidR="007634D2">
        <w:rPr>
          <w:sz w:val="26"/>
          <w:szCs w:val="26"/>
        </w:rPr>
        <w:t xml:space="preserve">on an interim basis </w:t>
      </w:r>
      <w:r w:rsidR="00344C9A">
        <w:rPr>
          <w:sz w:val="26"/>
          <w:szCs w:val="26"/>
        </w:rPr>
        <w:t xml:space="preserve">provides </w:t>
      </w:r>
      <w:r w:rsidR="007634D2">
        <w:rPr>
          <w:sz w:val="26"/>
          <w:szCs w:val="26"/>
        </w:rPr>
        <w:t xml:space="preserve">immediate and significant </w:t>
      </w:r>
      <w:r w:rsidR="00344C9A">
        <w:rPr>
          <w:sz w:val="26"/>
          <w:szCs w:val="26"/>
        </w:rPr>
        <w:t xml:space="preserve">relief to all incarcerated persons </w:t>
      </w:r>
      <w:r w:rsidR="007634D2">
        <w:rPr>
          <w:sz w:val="26"/>
          <w:szCs w:val="26"/>
        </w:rPr>
        <w:t xml:space="preserve">and their families </w:t>
      </w:r>
      <w:r w:rsidR="00344C9A">
        <w:rPr>
          <w:sz w:val="26"/>
          <w:szCs w:val="26"/>
        </w:rPr>
        <w:t>and is reasonable based on the record in this proceeding.</w:t>
      </w:r>
      <w:r w:rsidR="001A6DF2">
        <w:rPr>
          <w:sz w:val="26"/>
          <w:szCs w:val="26"/>
        </w:rPr>
        <w:t xml:space="preserve">  </w:t>
      </w:r>
      <w:r w:rsidR="00165296">
        <w:rPr>
          <w:sz w:val="26"/>
          <w:szCs w:val="26"/>
        </w:rPr>
        <w:t xml:space="preserve">As noted by </w:t>
      </w:r>
      <w:proofErr w:type="spellStart"/>
      <w:r w:rsidR="00165296">
        <w:rPr>
          <w:sz w:val="26"/>
          <w:szCs w:val="26"/>
        </w:rPr>
        <w:t>CforAT</w:t>
      </w:r>
      <w:proofErr w:type="spellEnd"/>
      <w:r w:rsidR="00165296">
        <w:rPr>
          <w:sz w:val="26"/>
          <w:szCs w:val="26"/>
        </w:rPr>
        <w:t>,</w:t>
      </w:r>
      <w:r w:rsidR="00CB373B">
        <w:rPr>
          <w:sz w:val="26"/>
          <w:szCs w:val="26"/>
        </w:rPr>
        <w:t xml:space="preserve"> this Commission</w:t>
      </w:r>
      <w:r w:rsidR="001A6DF2">
        <w:rPr>
          <w:sz w:val="26"/>
          <w:szCs w:val="26"/>
        </w:rPr>
        <w:t xml:space="preserve"> heard significant confusion </w:t>
      </w:r>
      <w:r w:rsidR="00CE159F">
        <w:rPr>
          <w:sz w:val="26"/>
          <w:szCs w:val="26"/>
        </w:rPr>
        <w:t xml:space="preserve">and customer complaints about IPCS ancillary fees during our April 28, </w:t>
      </w:r>
      <w:proofErr w:type="gramStart"/>
      <w:r w:rsidR="00CE159F">
        <w:rPr>
          <w:sz w:val="26"/>
          <w:szCs w:val="26"/>
        </w:rPr>
        <w:t>2021</w:t>
      </w:r>
      <w:proofErr w:type="gramEnd"/>
      <w:r w:rsidR="00CE159F">
        <w:rPr>
          <w:sz w:val="26"/>
          <w:szCs w:val="26"/>
        </w:rPr>
        <w:t xml:space="preserve"> and April 29, 2021 </w:t>
      </w:r>
      <w:r w:rsidR="00973EB5">
        <w:rPr>
          <w:sz w:val="26"/>
          <w:szCs w:val="26"/>
        </w:rPr>
        <w:t>PPH</w:t>
      </w:r>
      <w:r w:rsidR="00CE159F">
        <w:rPr>
          <w:sz w:val="26"/>
          <w:szCs w:val="26"/>
        </w:rPr>
        <w:t xml:space="preserve">s, making clear that </w:t>
      </w:r>
      <w:r w:rsidR="00545D73">
        <w:rPr>
          <w:sz w:val="26"/>
          <w:szCs w:val="26"/>
        </w:rPr>
        <w:t xml:space="preserve">the current </w:t>
      </w:r>
      <w:r w:rsidR="00CE159F">
        <w:rPr>
          <w:sz w:val="26"/>
          <w:szCs w:val="26"/>
        </w:rPr>
        <w:t xml:space="preserve">ancillary fees are a major burden to </w:t>
      </w:r>
      <w:r w:rsidR="00832E00">
        <w:rPr>
          <w:sz w:val="26"/>
          <w:szCs w:val="26"/>
        </w:rPr>
        <w:t>families of the incarcerated as they strive to stay in communication with their loved ones</w:t>
      </w:r>
      <w:r w:rsidR="00CE159F">
        <w:rPr>
          <w:sz w:val="26"/>
          <w:szCs w:val="26"/>
        </w:rPr>
        <w:t>.</w:t>
      </w:r>
      <w:r w:rsidR="00CE159F">
        <w:rPr>
          <w:rStyle w:val="FootnoteReference"/>
          <w:sz w:val="26"/>
          <w:szCs w:val="26"/>
        </w:rPr>
        <w:footnoteReference w:id="229"/>
      </w:r>
      <w:r w:rsidR="00CA79D0">
        <w:rPr>
          <w:sz w:val="26"/>
          <w:szCs w:val="26"/>
        </w:rPr>
        <w:t xml:space="preserve">  </w:t>
      </w:r>
    </w:p>
    <w:p w:rsidR="00826674" w:rsidP="00826674" w:rsidRDefault="00CA31F4" w14:paraId="15E12140" w14:textId="56295EF4">
      <w:pPr>
        <w:pStyle w:val="Standard"/>
        <w:ind w:firstLine="720"/>
        <w:rPr>
          <w:sz w:val="26"/>
          <w:szCs w:val="26"/>
        </w:rPr>
      </w:pPr>
      <w:r>
        <w:rPr>
          <w:sz w:val="26"/>
          <w:szCs w:val="26"/>
        </w:rPr>
        <w:t xml:space="preserve">We adopt </w:t>
      </w:r>
      <w:r w:rsidR="00B73647">
        <w:rPr>
          <w:sz w:val="26"/>
          <w:szCs w:val="26"/>
        </w:rPr>
        <w:t xml:space="preserve">several of </w:t>
      </w:r>
      <w:r>
        <w:rPr>
          <w:sz w:val="26"/>
          <w:szCs w:val="26"/>
        </w:rPr>
        <w:t xml:space="preserve">Cal Advocates’ proposed requirements as opposed to those contained in the Staff Proposal because </w:t>
      </w:r>
      <w:r w:rsidR="000B14B2">
        <w:rPr>
          <w:sz w:val="26"/>
          <w:szCs w:val="26"/>
        </w:rPr>
        <w:t xml:space="preserve">the record does not indicate </w:t>
      </w:r>
      <w:r w:rsidR="007C6884">
        <w:rPr>
          <w:sz w:val="26"/>
          <w:szCs w:val="26"/>
        </w:rPr>
        <w:t xml:space="preserve">why the incarcerated and their families should pay service fees not required in commercial calling services, including automated payment fees, paper bill/statement fees, </w:t>
      </w:r>
      <w:r w:rsidR="00B73647">
        <w:rPr>
          <w:sz w:val="26"/>
          <w:szCs w:val="26"/>
        </w:rPr>
        <w:t xml:space="preserve">and live operator fees. </w:t>
      </w:r>
      <w:r w:rsidR="2BB2CB7D">
        <w:rPr>
          <w:sz w:val="26"/>
          <w:szCs w:val="26"/>
        </w:rPr>
        <w:t xml:space="preserve"> </w:t>
      </w:r>
      <w:r w:rsidR="00B73647">
        <w:rPr>
          <w:sz w:val="26"/>
          <w:szCs w:val="26"/>
        </w:rPr>
        <w:t xml:space="preserve">The costs for these services are included in most </w:t>
      </w:r>
      <w:r w:rsidR="00B85B9C">
        <w:rPr>
          <w:sz w:val="26"/>
          <w:szCs w:val="26"/>
        </w:rPr>
        <w:t xml:space="preserve">commercial </w:t>
      </w:r>
      <w:r w:rsidR="00B73647">
        <w:rPr>
          <w:sz w:val="26"/>
          <w:szCs w:val="26"/>
        </w:rPr>
        <w:t xml:space="preserve">calling rates and we </w:t>
      </w:r>
      <w:r w:rsidR="00557551">
        <w:rPr>
          <w:sz w:val="26"/>
          <w:szCs w:val="26"/>
        </w:rPr>
        <w:t>have no record discussing</w:t>
      </w:r>
      <w:r w:rsidR="00497249">
        <w:rPr>
          <w:sz w:val="26"/>
          <w:szCs w:val="26"/>
        </w:rPr>
        <w:t xml:space="preserve"> why </w:t>
      </w:r>
      <w:r w:rsidR="00557551">
        <w:rPr>
          <w:sz w:val="26"/>
          <w:szCs w:val="26"/>
        </w:rPr>
        <w:t>such costs</w:t>
      </w:r>
      <w:r w:rsidR="00B73647">
        <w:rPr>
          <w:sz w:val="26"/>
          <w:szCs w:val="26"/>
        </w:rPr>
        <w:t xml:space="preserve"> should not be </w:t>
      </w:r>
      <w:r w:rsidR="0088037E">
        <w:rPr>
          <w:sz w:val="26"/>
          <w:szCs w:val="26"/>
        </w:rPr>
        <w:t xml:space="preserve">similarly included </w:t>
      </w:r>
      <w:r w:rsidR="00B73647">
        <w:rPr>
          <w:sz w:val="26"/>
          <w:szCs w:val="26"/>
        </w:rPr>
        <w:t xml:space="preserve">in intrastate IPCS calling rates.  </w:t>
      </w:r>
    </w:p>
    <w:p w:rsidR="00EC32A0" w:rsidP="007634D2" w:rsidRDefault="00B73647" w14:paraId="6320A82F" w14:textId="67660158">
      <w:pPr>
        <w:pStyle w:val="Standard"/>
        <w:ind w:firstLine="720"/>
        <w:rPr>
          <w:sz w:val="26"/>
          <w:szCs w:val="26"/>
        </w:rPr>
      </w:pPr>
      <w:r>
        <w:rPr>
          <w:sz w:val="26"/>
          <w:szCs w:val="26"/>
        </w:rPr>
        <w:lastRenderedPageBreak/>
        <w:t xml:space="preserve">We prohibit </w:t>
      </w:r>
      <w:r w:rsidR="00A8246D">
        <w:rPr>
          <w:sz w:val="26"/>
          <w:szCs w:val="26"/>
        </w:rPr>
        <w:t>all</w:t>
      </w:r>
      <w:r>
        <w:rPr>
          <w:sz w:val="26"/>
          <w:szCs w:val="26"/>
        </w:rPr>
        <w:t xml:space="preserve"> </w:t>
      </w:r>
      <w:r w:rsidR="00274D4B">
        <w:rPr>
          <w:sz w:val="26"/>
          <w:szCs w:val="26"/>
        </w:rPr>
        <w:t xml:space="preserve">per-call transaction fees for single-payment calls as recommended by </w:t>
      </w:r>
      <w:r w:rsidR="00DD5713">
        <w:rPr>
          <w:sz w:val="26"/>
          <w:szCs w:val="26"/>
        </w:rPr>
        <w:t>Staff’s Revised Proposal</w:t>
      </w:r>
      <w:r w:rsidR="00741252">
        <w:rPr>
          <w:sz w:val="26"/>
          <w:szCs w:val="26"/>
        </w:rPr>
        <w:t xml:space="preserve">, </w:t>
      </w:r>
      <w:r w:rsidR="00DD5713">
        <w:rPr>
          <w:sz w:val="26"/>
          <w:szCs w:val="26"/>
        </w:rPr>
        <w:t xml:space="preserve">NCIC Inmate Communications </w:t>
      </w:r>
      <w:r w:rsidR="00741252">
        <w:rPr>
          <w:sz w:val="26"/>
          <w:szCs w:val="26"/>
        </w:rPr>
        <w:t xml:space="preserve">and other parties </w:t>
      </w:r>
      <w:r w:rsidR="00DD5713">
        <w:rPr>
          <w:sz w:val="26"/>
          <w:szCs w:val="26"/>
        </w:rPr>
        <w:t xml:space="preserve">because of </w:t>
      </w:r>
      <w:r w:rsidR="00B56370">
        <w:rPr>
          <w:sz w:val="26"/>
          <w:szCs w:val="26"/>
        </w:rPr>
        <w:t xml:space="preserve">the </w:t>
      </w:r>
      <w:r w:rsidR="00DD5713">
        <w:rPr>
          <w:sz w:val="26"/>
          <w:szCs w:val="26"/>
        </w:rPr>
        <w:t xml:space="preserve">indications of </w:t>
      </w:r>
      <w:r w:rsidR="00364228">
        <w:rPr>
          <w:sz w:val="26"/>
          <w:szCs w:val="26"/>
        </w:rPr>
        <w:t xml:space="preserve">potential </w:t>
      </w:r>
      <w:r w:rsidR="00DD5713">
        <w:rPr>
          <w:sz w:val="26"/>
          <w:szCs w:val="26"/>
        </w:rPr>
        <w:t>abuse of this fee</w:t>
      </w:r>
      <w:r w:rsidR="00D14221">
        <w:rPr>
          <w:sz w:val="26"/>
          <w:szCs w:val="26"/>
        </w:rPr>
        <w:t xml:space="preserve"> as discussed </w:t>
      </w:r>
      <w:r w:rsidR="00B85B9C">
        <w:rPr>
          <w:sz w:val="26"/>
          <w:szCs w:val="26"/>
        </w:rPr>
        <w:t>above</w:t>
      </w:r>
      <w:r w:rsidR="007F76CE">
        <w:rPr>
          <w:sz w:val="26"/>
          <w:szCs w:val="26"/>
        </w:rPr>
        <w:t>.</w:t>
      </w:r>
    </w:p>
    <w:p w:rsidR="00197108" w:rsidP="00197108" w:rsidRDefault="00653E90" w14:paraId="23C0A8DF" w14:textId="24FB2153">
      <w:pPr>
        <w:pStyle w:val="Standard"/>
        <w:ind w:firstLine="720"/>
        <w:rPr>
          <w:sz w:val="26"/>
          <w:szCs w:val="26"/>
        </w:rPr>
      </w:pPr>
      <w:r>
        <w:rPr>
          <w:sz w:val="26"/>
          <w:szCs w:val="26"/>
        </w:rPr>
        <w:t xml:space="preserve">We </w:t>
      </w:r>
      <w:r w:rsidR="00994CFF">
        <w:rPr>
          <w:sz w:val="26"/>
          <w:szCs w:val="26"/>
        </w:rPr>
        <w:t>require</w:t>
      </w:r>
      <w:r w:rsidRPr="22DE9353" w:rsidR="00994CFF">
        <w:rPr>
          <w:sz w:val="26"/>
          <w:szCs w:val="26"/>
        </w:rPr>
        <w:t xml:space="preserve"> </w:t>
      </w:r>
      <w:r w:rsidR="00994CFF">
        <w:rPr>
          <w:sz w:val="26"/>
          <w:szCs w:val="26"/>
        </w:rPr>
        <w:t>the</w:t>
      </w:r>
      <w:r>
        <w:rPr>
          <w:sz w:val="26"/>
          <w:szCs w:val="26"/>
        </w:rPr>
        <w:t xml:space="preserve"> pass-through with no markup</w:t>
      </w:r>
      <w:r w:rsidRPr="3934F952" w:rsidR="00B3550E">
        <w:rPr>
          <w:sz w:val="26"/>
          <w:szCs w:val="26"/>
        </w:rPr>
        <w:t>, and excluding any credit card charges,</w:t>
      </w:r>
      <w:r>
        <w:rPr>
          <w:sz w:val="26"/>
          <w:szCs w:val="26"/>
        </w:rPr>
        <w:t xml:space="preserve"> of third-party financial transaction fees</w:t>
      </w:r>
      <w:r w:rsidR="00994CFF">
        <w:rPr>
          <w:sz w:val="26"/>
          <w:szCs w:val="26"/>
        </w:rPr>
        <w:t xml:space="preserve">, up to a limit of $6.95 per </w:t>
      </w:r>
      <w:r w:rsidRPr="22DE9353" w:rsidR="549F7CCA">
        <w:rPr>
          <w:sz w:val="26"/>
          <w:szCs w:val="26"/>
        </w:rPr>
        <w:t>transaction</w:t>
      </w:r>
      <w:r w:rsidR="00994CFF">
        <w:rPr>
          <w:sz w:val="26"/>
          <w:szCs w:val="26"/>
        </w:rPr>
        <w:t>,</w:t>
      </w:r>
      <w:r>
        <w:rPr>
          <w:sz w:val="26"/>
          <w:szCs w:val="26"/>
        </w:rPr>
        <w:t xml:space="preserve"> as </w:t>
      </w:r>
      <w:r w:rsidRPr="22DE9353" w:rsidR="0CFE116E">
        <w:rPr>
          <w:sz w:val="26"/>
          <w:szCs w:val="26"/>
        </w:rPr>
        <w:t>adopted</w:t>
      </w:r>
      <w:r>
        <w:rPr>
          <w:sz w:val="26"/>
          <w:szCs w:val="26"/>
        </w:rPr>
        <w:t xml:space="preserve"> </w:t>
      </w:r>
      <w:r w:rsidR="00994CFF">
        <w:rPr>
          <w:sz w:val="26"/>
          <w:szCs w:val="26"/>
        </w:rPr>
        <w:t xml:space="preserve">in the </w:t>
      </w:r>
      <w:r>
        <w:rPr>
          <w:sz w:val="26"/>
          <w:szCs w:val="26"/>
        </w:rPr>
        <w:t>FCC</w:t>
      </w:r>
      <w:r w:rsidR="00994CFF">
        <w:rPr>
          <w:sz w:val="26"/>
          <w:szCs w:val="26"/>
        </w:rPr>
        <w:t>’s</w:t>
      </w:r>
      <w:r>
        <w:rPr>
          <w:sz w:val="26"/>
          <w:szCs w:val="26"/>
        </w:rPr>
        <w:t xml:space="preserve"> Third Order.  </w:t>
      </w:r>
      <w:r w:rsidR="00C65104">
        <w:rPr>
          <w:sz w:val="26"/>
          <w:szCs w:val="26"/>
        </w:rPr>
        <w:t xml:space="preserve">The FCC adopted this limit based on indications that some providers were abusing the FCC’s 2013 Order by </w:t>
      </w:r>
      <w:r w:rsidR="00FE78D4">
        <w:rPr>
          <w:sz w:val="26"/>
          <w:szCs w:val="26"/>
        </w:rPr>
        <w:t xml:space="preserve">collaborating </w:t>
      </w:r>
      <w:r w:rsidR="00994CFF">
        <w:rPr>
          <w:sz w:val="26"/>
          <w:szCs w:val="26"/>
        </w:rPr>
        <w:t>with third</w:t>
      </w:r>
      <w:r w:rsidR="00BF113A">
        <w:rPr>
          <w:sz w:val="26"/>
          <w:szCs w:val="26"/>
        </w:rPr>
        <w:t xml:space="preserve"> </w:t>
      </w:r>
      <w:r w:rsidR="00994CFF">
        <w:rPr>
          <w:sz w:val="26"/>
          <w:szCs w:val="26"/>
        </w:rPr>
        <w:t xml:space="preserve">parties </w:t>
      </w:r>
      <w:r w:rsidR="00FE78D4">
        <w:rPr>
          <w:sz w:val="26"/>
          <w:szCs w:val="26"/>
        </w:rPr>
        <w:t xml:space="preserve">to </w:t>
      </w:r>
      <w:r w:rsidR="00BF195F">
        <w:rPr>
          <w:sz w:val="26"/>
          <w:szCs w:val="26"/>
        </w:rPr>
        <w:t>agree on h</w:t>
      </w:r>
      <w:r w:rsidR="00FE78D4">
        <w:rPr>
          <w:sz w:val="26"/>
          <w:szCs w:val="26"/>
        </w:rPr>
        <w:t>igher third-party transaction fees</w:t>
      </w:r>
      <w:r w:rsidR="00BF195F">
        <w:rPr>
          <w:sz w:val="26"/>
          <w:szCs w:val="26"/>
        </w:rPr>
        <w:t xml:space="preserve"> for IPCS</w:t>
      </w:r>
      <w:r w:rsidR="00FE78D4">
        <w:rPr>
          <w:sz w:val="26"/>
          <w:szCs w:val="26"/>
        </w:rPr>
        <w:t xml:space="preserve">, some portion of which the third-party </w:t>
      </w:r>
      <w:r w:rsidR="00BF195F">
        <w:rPr>
          <w:sz w:val="26"/>
          <w:szCs w:val="26"/>
        </w:rPr>
        <w:t xml:space="preserve">would </w:t>
      </w:r>
      <w:r w:rsidR="00FE78D4">
        <w:rPr>
          <w:sz w:val="26"/>
          <w:szCs w:val="26"/>
        </w:rPr>
        <w:t>return to the IPCS provider.</w:t>
      </w:r>
      <w:r w:rsidR="00BE7976">
        <w:rPr>
          <w:sz w:val="26"/>
          <w:szCs w:val="26"/>
        </w:rPr>
        <w:t xml:space="preserve"> </w:t>
      </w:r>
      <w:r w:rsidR="000A3F4F">
        <w:rPr>
          <w:sz w:val="26"/>
          <w:szCs w:val="26"/>
        </w:rPr>
        <w:t xml:space="preserve"> </w:t>
      </w:r>
      <w:r w:rsidRPr="3934F952" w:rsidR="00451DB5">
        <w:rPr>
          <w:sz w:val="26"/>
          <w:szCs w:val="26"/>
        </w:rPr>
        <w:t>We respon</w:t>
      </w:r>
      <w:r w:rsidRPr="3934F952" w:rsidR="00DB392A">
        <w:rPr>
          <w:sz w:val="26"/>
          <w:szCs w:val="26"/>
        </w:rPr>
        <w:t>d</w:t>
      </w:r>
      <w:r w:rsidRPr="3934F952" w:rsidR="00451DB5">
        <w:rPr>
          <w:sz w:val="26"/>
          <w:szCs w:val="26"/>
        </w:rPr>
        <w:t xml:space="preserve"> to NCIC Inmate Communication’s comments on the proposed decision by modifying the definition of this fee to clarify that it excludes the pass-through </w:t>
      </w:r>
      <w:r w:rsidRPr="3934F952" w:rsidR="1CFBC005">
        <w:rPr>
          <w:sz w:val="26"/>
          <w:szCs w:val="26"/>
        </w:rPr>
        <w:t xml:space="preserve">of </w:t>
      </w:r>
      <w:r w:rsidRPr="3934F952" w:rsidR="00451DB5">
        <w:rPr>
          <w:sz w:val="26"/>
          <w:szCs w:val="26"/>
        </w:rPr>
        <w:t xml:space="preserve">any credit card charges.  </w:t>
      </w:r>
      <w:r w:rsidRPr="3934F952" w:rsidR="00681EDA">
        <w:rPr>
          <w:sz w:val="26"/>
          <w:szCs w:val="26"/>
        </w:rPr>
        <w:t>Additionally,</w:t>
      </w:r>
      <w:r w:rsidR="000A3F4F">
        <w:rPr>
          <w:sz w:val="26"/>
          <w:szCs w:val="26"/>
        </w:rPr>
        <w:t xml:space="preserve"> </w:t>
      </w:r>
      <w:r w:rsidR="00B85B9C">
        <w:rPr>
          <w:sz w:val="26"/>
          <w:szCs w:val="26"/>
        </w:rPr>
        <w:t xml:space="preserve">although TURN recommended reducing this and other fees by 30 percent, </w:t>
      </w:r>
      <w:r w:rsidR="000A3F4F">
        <w:rPr>
          <w:sz w:val="26"/>
          <w:szCs w:val="26"/>
        </w:rPr>
        <w:t>n</w:t>
      </w:r>
      <w:r w:rsidR="00BE7976">
        <w:rPr>
          <w:sz w:val="26"/>
          <w:szCs w:val="26"/>
        </w:rPr>
        <w:t>o party</w:t>
      </w:r>
      <w:r w:rsidR="00B85B9C">
        <w:rPr>
          <w:sz w:val="26"/>
          <w:szCs w:val="26"/>
        </w:rPr>
        <w:t xml:space="preserve"> </w:t>
      </w:r>
      <w:r w:rsidR="00BE7976">
        <w:rPr>
          <w:sz w:val="26"/>
          <w:szCs w:val="26"/>
        </w:rPr>
        <w:t xml:space="preserve">recommended prohibiting this fee.  </w:t>
      </w:r>
      <w:r w:rsidR="00505485">
        <w:rPr>
          <w:sz w:val="26"/>
          <w:szCs w:val="26"/>
        </w:rPr>
        <w:t>Therefore, we allow this fee but apply the same constraints as adopted in the FCC’s Third Order.</w:t>
      </w:r>
      <w:r w:rsidR="00406C66">
        <w:rPr>
          <w:rStyle w:val="FootnoteReference"/>
          <w:sz w:val="26"/>
          <w:szCs w:val="26"/>
        </w:rPr>
        <w:footnoteReference w:id="230"/>
      </w:r>
      <w:r w:rsidR="00A342BE">
        <w:rPr>
          <w:sz w:val="26"/>
          <w:szCs w:val="26"/>
        </w:rPr>
        <w:t xml:space="preserve"> </w:t>
      </w:r>
      <w:r w:rsidR="00B85B9C">
        <w:rPr>
          <w:sz w:val="26"/>
          <w:szCs w:val="26"/>
        </w:rPr>
        <w:t>This is reasonable given the other requirements adopted here.</w:t>
      </w:r>
    </w:p>
    <w:p w:rsidR="001E54AF" w:rsidP="00197108" w:rsidRDefault="001E54AF" w14:paraId="33E2F77A" w14:textId="3F00FB97">
      <w:pPr>
        <w:pStyle w:val="Standard"/>
        <w:ind w:firstLine="720"/>
        <w:rPr>
          <w:sz w:val="26"/>
          <w:szCs w:val="26"/>
        </w:rPr>
      </w:pPr>
      <w:r>
        <w:rPr>
          <w:sz w:val="26"/>
          <w:szCs w:val="26"/>
        </w:rPr>
        <w:t xml:space="preserve">To avoid </w:t>
      </w:r>
      <w:r w:rsidR="000B154B">
        <w:rPr>
          <w:sz w:val="26"/>
          <w:szCs w:val="26"/>
        </w:rPr>
        <w:t xml:space="preserve">potential </w:t>
      </w:r>
      <w:r>
        <w:rPr>
          <w:sz w:val="26"/>
          <w:szCs w:val="26"/>
        </w:rPr>
        <w:t>abuse</w:t>
      </w:r>
      <w:r w:rsidR="00FF1596">
        <w:rPr>
          <w:sz w:val="26"/>
          <w:szCs w:val="26"/>
        </w:rPr>
        <w:t>,</w:t>
      </w:r>
      <w:r>
        <w:rPr>
          <w:sz w:val="26"/>
          <w:szCs w:val="26"/>
        </w:rPr>
        <w:t xml:space="preserve"> we also specify</w:t>
      </w:r>
      <w:r w:rsidR="003E7BFE">
        <w:rPr>
          <w:sz w:val="26"/>
          <w:szCs w:val="26"/>
        </w:rPr>
        <w:t xml:space="preserve"> </w:t>
      </w:r>
      <w:r>
        <w:rPr>
          <w:sz w:val="26"/>
          <w:szCs w:val="26"/>
        </w:rPr>
        <w:t xml:space="preserve">that </w:t>
      </w:r>
      <w:r w:rsidR="0087391F">
        <w:rPr>
          <w:sz w:val="26"/>
          <w:szCs w:val="26"/>
        </w:rPr>
        <w:t>government-specified mandatory taxes or fees must be passed-through without markup</w:t>
      </w:r>
      <w:r w:rsidR="00C1404D">
        <w:rPr>
          <w:sz w:val="26"/>
          <w:szCs w:val="26"/>
        </w:rPr>
        <w:t>.</w:t>
      </w:r>
      <w:r w:rsidR="000B154B">
        <w:rPr>
          <w:rStyle w:val="FootnoteReference"/>
          <w:sz w:val="26"/>
          <w:szCs w:val="26"/>
        </w:rPr>
        <w:footnoteReference w:id="231"/>
      </w:r>
      <w:r w:rsidR="00C1404D">
        <w:rPr>
          <w:sz w:val="26"/>
          <w:szCs w:val="26"/>
        </w:rPr>
        <w:t xml:space="preserve">  Although the FCC allow</w:t>
      </w:r>
      <w:r w:rsidR="00CC5F3C">
        <w:rPr>
          <w:sz w:val="26"/>
          <w:szCs w:val="26"/>
        </w:rPr>
        <w:t>s</w:t>
      </w:r>
      <w:r w:rsidR="00C1404D">
        <w:rPr>
          <w:sz w:val="26"/>
          <w:szCs w:val="26"/>
        </w:rPr>
        <w:t xml:space="preserve"> </w:t>
      </w:r>
      <w:r w:rsidR="00341B1E">
        <w:rPr>
          <w:sz w:val="26"/>
          <w:szCs w:val="26"/>
        </w:rPr>
        <w:t xml:space="preserve">markup of </w:t>
      </w:r>
      <w:r w:rsidR="00CC5F3C">
        <w:rPr>
          <w:sz w:val="26"/>
          <w:szCs w:val="26"/>
        </w:rPr>
        <w:t xml:space="preserve">passed-through </w:t>
      </w:r>
      <w:r w:rsidR="00341B1E">
        <w:rPr>
          <w:sz w:val="26"/>
          <w:szCs w:val="26"/>
        </w:rPr>
        <w:t>government</w:t>
      </w:r>
      <w:r w:rsidR="00CC5F3C">
        <w:rPr>
          <w:sz w:val="26"/>
          <w:szCs w:val="26"/>
        </w:rPr>
        <w:t xml:space="preserve"> </w:t>
      </w:r>
      <w:r w:rsidR="00341B1E">
        <w:rPr>
          <w:sz w:val="26"/>
          <w:szCs w:val="26"/>
        </w:rPr>
        <w:t xml:space="preserve">mandatory taxes or fees if the </w:t>
      </w:r>
      <w:r>
        <w:rPr>
          <w:sz w:val="26"/>
          <w:szCs w:val="26"/>
        </w:rPr>
        <w:t>markup is authorized by a local statute, rule, or regulation</w:t>
      </w:r>
      <w:r w:rsidR="00341B1E">
        <w:rPr>
          <w:sz w:val="26"/>
          <w:szCs w:val="26"/>
        </w:rPr>
        <w:t xml:space="preserve">, we are not </w:t>
      </w:r>
      <w:r w:rsidR="006758E6">
        <w:rPr>
          <w:sz w:val="26"/>
          <w:szCs w:val="26"/>
        </w:rPr>
        <w:t>aware o</w:t>
      </w:r>
      <w:r w:rsidR="00341B1E">
        <w:rPr>
          <w:sz w:val="26"/>
          <w:szCs w:val="26"/>
        </w:rPr>
        <w:t xml:space="preserve">f instances where such markup is permitted in California and so </w:t>
      </w:r>
      <w:r w:rsidR="00CC5F3C">
        <w:rPr>
          <w:sz w:val="26"/>
          <w:szCs w:val="26"/>
        </w:rPr>
        <w:t xml:space="preserve">prohibit </w:t>
      </w:r>
      <w:r w:rsidR="009E7546">
        <w:rPr>
          <w:sz w:val="26"/>
          <w:szCs w:val="26"/>
        </w:rPr>
        <w:t>this here</w:t>
      </w:r>
      <w:r w:rsidRPr="00F03213">
        <w:rPr>
          <w:sz w:val="26"/>
          <w:szCs w:val="26"/>
        </w:rPr>
        <w:t>.</w:t>
      </w:r>
      <w:r w:rsidR="0087391F">
        <w:rPr>
          <w:rStyle w:val="FootnoteReference"/>
          <w:sz w:val="26"/>
          <w:szCs w:val="26"/>
        </w:rPr>
        <w:footnoteReference w:id="232"/>
      </w:r>
    </w:p>
    <w:p w:rsidR="004C515A" w:rsidP="004C515A" w:rsidRDefault="004C515A" w14:paraId="5262918B" w14:textId="6EFCFD58">
      <w:pPr>
        <w:pStyle w:val="Standard"/>
        <w:ind w:firstLine="720"/>
        <w:rPr>
          <w:sz w:val="26"/>
          <w:szCs w:val="26"/>
        </w:rPr>
      </w:pPr>
      <w:r>
        <w:rPr>
          <w:sz w:val="26"/>
          <w:szCs w:val="26"/>
        </w:rPr>
        <w:lastRenderedPageBreak/>
        <w:t>Although providers prefer that we cap ancillary fees as done in the FCC’s 201</w:t>
      </w:r>
      <w:r w:rsidR="00B85B9C">
        <w:rPr>
          <w:sz w:val="26"/>
          <w:szCs w:val="26"/>
        </w:rPr>
        <w:t>5</w:t>
      </w:r>
      <w:r>
        <w:rPr>
          <w:sz w:val="26"/>
          <w:szCs w:val="26"/>
        </w:rPr>
        <w:t xml:space="preserve"> Order, we concur with Cal Advocates, the Prison Policy Institute, TURN, and </w:t>
      </w:r>
      <w:proofErr w:type="spellStart"/>
      <w:r>
        <w:rPr>
          <w:sz w:val="26"/>
          <w:szCs w:val="26"/>
        </w:rPr>
        <w:t>CforAT</w:t>
      </w:r>
      <w:proofErr w:type="spellEnd"/>
      <w:r>
        <w:rPr>
          <w:sz w:val="26"/>
          <w:szCs w:val="26"/>
        </w:rPr>
        <w:t xml:space="preserve"> that this Commission has the authority to act independently of the FCC to regulate intrastate IPCS ancillary service fees.  </w:t>
      </w:r>
    </w:p>
    <w:p w:rsidR="004C515A" w:rsidP="004C515A" w:rsidRDefault="004C515A" w14:paraId="2A767171" w14:textId="15F09F42">
      <w:pPr>
        <w:pStyle w:val="Standard"/>
        <w:ind w:firstLine="720"/>
        <w:rPr>
          <w:sz w:val="26"/>
          <w:szCs w:val="26"/>
        </w:rPr>
      </w:pPr>
      <w:r>
        <w:rPr>
          <w:sz w:val="26"/>
          <w:szCs w:val="26"/>
        </w:rPr>
        <w:t xml:space="preserve">As found by the FCC, </w:t>
      </w:r>
      <w:r w:rsidRPr="00EF01F0">
        <w:rPr>
          <w:sz w:val="26"/>
          <w:szCs w:val="26"/>
        </w:rPr>
        <w:t>ancillary service charges generally cannot be practically segregated between interstate and intrastate jurisdiction except in the limited number of cases where, at the time a charge is imposed and the consumer accepts the charge, the call to which the service is ancillary is clearly</w:t>
      </w:r>
      <w:r>
        <w:rPr>
          <w:sz w:val="26"/>
          <w:szCs w:val="26"/>
        </w:rPr>
        <w:t xml:space="preserve"> an interstate-only or an</w:t>
      </w:r>
      <w:r w:rsidRPr="00EF01F0">
        <w:rPr>
          <w:sz w:val="26"/>
          <w:szCs w:val="26"/>
        </w:rPr>
        <w:t xml:space="preserve"> intrastate-only call.</w:t>
      </w:r>
      <w:r>
        <w:rPr>
          <w:rStyle w:val="FootnoteReference"/>
          <w:sz w:val="26"/>
          <w:szCs w:val="26"/>
        </w:rPr>
        <w:footnoteReference w:id="233"/>
      </w:r>
      <w:r>
        <w:rPr>
          <w:sz w:val="26"/>
          <w:szCs w:val="26"/>
        </w:rPr>
        <w:t xml:space="preserve">  For “jurisdictionally mixed” services where it is impossible or impractical to separate the service’s intrastate from interstate components, the </w:t>
      </w:r>
      <w:r w:rsidR="00B85B9C">
        <w:rPr>
          <w:sz w:val="26"/>
          <w:szCs w:val="26"/>
        </w:rPr>
        <w:t xml:space="preserve">FCC has stated that </w:t>
      </w:r>
      <w:r w:rsidRPr="00886E47">
        <w:rPr>
          <w:sz w:val="26"/>
          <w:szCs w:val="26"/>
        </w:rPr>
        <w:t>state law or requirements that impose fees lower than the FCC are “specifically not preempted by [FCC] actions.”</w:t>
      </w:r>
      <w:r w:rsidRPr="00886E47">
        <w:rPr>
          <w:rStyle w:val="FootnoteReference"/>
          <w:sz w:val="26"/>
          <w:szCs w:val="26"/>
        </w:rPr>
        <w:footnoteReference w:id="234"/>
      </w:r>
      <w:r>
        <w:rPr>
          <w:sz w:val="26"/>
          <w:szCs w:val="26"/>
        </w:rPr>
        <w:t xml:space="preserve">  As the FCC state</w:t>
      </w:r>
      <w:r w:rsidR="00FD3C3B">
        <w:rPr>
          <w:sz w:val="26"/>
          <w:szCs w:val="26"/>
        </w:rPr>
        <w:t>s</w:t>
      </w:r>
      <w:r>
        <w:rPr>
          <w:sz w:val="26"/>
          <w:szCs w:val="26"/>
        </w:rPr>
        <w:t>:</w:t>
      </w:r>
    </w:p>
    <w:p w:rsidRPr="0097249C" w:rsidR="004C515A" w:rsidP="00197108" w:rsidRDefault="004C515A" w14:paraId="1CEABDC4" w14:textId="40DA0612">
      <w:pPr>
        <w:pStyle w:val="BlockQuote"/>
        <w:spacing w:line="240" w:lineRule="auto"/>
        <w:ind w:right="1440"/>
        <w:rPr>
          <w:sz w:val="26"/>
          <w:szCs w:val="26"/>
        </w:rPr>
      </w:pPr>
      <w:r w:rsidRPr="0097249C">
        <w:rPr>
          <w:sz w:val="26"/>
          <w:szCs w:val="26"/>
        </w:rPr>
        <w:t>The interim reforms we adopt in this Report and Order apply to interstate and international inmate calling services rates and certain ancillary services charges imposed for or in connection with interstate or international inmate calling services</w:t>
      </w:r>
      <w:r>
        <w:rPr>
          <w:sz w:val="26"/>
          <w:szCs w:val="26"/>
        </w:rPr>
        <w:t xml:space="preserve"> [footnote 680 omitted].</w:t>
      </w:r>
      <w:r w:rsidRPr="0097249C">
        <w:rPr>
          <w:sz w:val="26"/>
          <w:szCs w:val="26"/>
        </w:rPr>
        <w:t xml:space="preserve"> </w:t>
      </w:r>
      <w:r w:rsidRPr="0097249C" w:rsidR="45E5F374">
        <w:rPr>
          <w:sz w:val="26"/>
          <w:szCs w:val="26"/>
        </w:rPr>
        <w:t xml:space="preserve"> </w:t>
      </w:r>
      <w:r w:rsidRPr="0097249C">
        <w:rPr>
          <w:sz w:val="26"/>
          <w:szCs w:val="26"/>
        </w:rPr>
        <w:t>To the extent that a call has interstate as well as intrastate components, the federal requirements will operate as ceilings limiting potential state action</w:t>
      </w:r>
      <w:r>
        <w:rPr>
          <w:sz w:val="26"/>
          <w:szCs w:val="26"/>
        </w:rPr>
        <w:t xml:space="preserve"> [footnote </w:t>
      </w:r>
      <w:r w:rsidRPr="0097249C">
        <w:rPr>
          <w:sz w:val="26"/>
          <w:szCs w:val="26"/>
        </w:rPr>
        <w:t>681</w:t>
      </w:r>
      <w:r>
        <w:rPr>
          <w:sz w:val="26"/>
          <w:szCs w:val="26"/>
        </w:rPr>
        <w:t xml:space="preserve"> omitted].</w:t>
      </w:r>
      <w:r w:rsidRPr="0097249C">
        <w:rPr>
          <w:sz w:val="26"/>
          <w:szCs w:val="26"/>
        </w:rPr>
        <w:t xml:space="preserve"> </w:t>
      </w:r>
      <w:r w:rsidRPr="0097249C" w:rsidR="1F9AEC78">
        <w:rPr>
          <w:sz w:val="26"/>
          <w:szCs w:val="26"/>
        </w:rPr>
        <w:t xml:space="preserve"> </w:t>
      </w:r>
      <w:r w:rsidRPr="0097249C">
        <w:rPr>
          <w:sz w:val="26"/>
          <w:szCs w:val="26"/>
        </w:rPr>
        <w:t>To the extent a state allows or requires providers to impose or charge per-minute rates or fees for the affected ancillary services higher than the caps imposed by our rules, that state law or requirement is preempted except where a call or ancillary service fee is purely intrastate in nature</w:t>
      </w:r>
      <w:r>
        <w:rPr>
          <w:sz w:val="26"/>
          <w:szCs w:val="26"/>
        </w:rPr>
        <w:t xml:space="preserve">… [footnote </w:t>
      </w:r>
      <w:r w:rsidRPr="0097249C">
        <w:rPr>
          <w:sz w:val="26"/>
          <w:szCs w:val="26"/>
        </w:rPr>
        <w:t>682</w:t>
      </w:r>
      <w:r>
        <w:rPr>
          <w:sz w:val="26"/>
          <w:szCs w:val="26"/>
        </w:rPr>
        <w:t xml:space="preserve"> omitted].</w:t>
      </w:r>
      <w:r w:rsidRPr="0097249C">
        <w:rPr>
          <w:sz w:val="26"/>
          <w:szCs w:val="26"/>
        </w:rPr>
        <w:t xml:space="preserve">  </w:t>
      </w:r>
      <w:r w:rsidRPr="003F6ED0">
        <w:rPr>
          <w:i/>
          <w:iCs/>
          <w:sz w:val="26"/>
          <w:szCs w:val="26"/>
        </w:rPr>
        <w:t xml:space="preserve">To the </w:t>
      </w:r>
      <w:r w:rsidRPr="003F6ED0">
        <w:rPr>
          <w:i/>
          <w:iCs/>
          <w:sz w:val="26"/>
          <w:szCs w:val="26"/>
        </w:rPr>
        <w:lastRenderedPageBreak/>
        <w:t>extent that state law allows or requires providers to impose rates or fees lower than those in our rules, that state law or requirement is specifically not preempted by our actions here</w:t>
      </w:r>
      <w:r>
        <w:rPr>
          <w:sz w:val="26"/>
          <w:szCs w:val="26"/>
        </w:rPr>
        <w:t xml:space="preserve"> [footnote </w:t>
      </w:r>
      <w:r w:rsidRPr="0097249C">
        <w:rPr>
          <w:sz w:val="26"/>
          <w:szCs w:val="26"/>
        </w:rPr>
        <w:t>683</w:t>
      </w:r>
      <w:r>
        <w:rPr>
          <w:sz w:val="26"/>
          <w:szCs w:val="26"/>
        </w:rPr>
        <w:t xml:space="preserve"> omitted].</w:t>
      </w:r>
      <w:r>
        <w:rPr>
          <w:rStyle w:val="FootnoteReference"/>
          <w:sz w:val="26"/>
          <w:szCs w:val="26"/>
        </w:rPr>
        <w:footnoteReference w:id="235"/>
      </w:r>
    </w:p>
    <w:p w:rsidR="000C7000" w:rsidRDefault="00E53FBF" w14:paraId="576CAC8E" w14:textId="4BF26B67">
      <w:pPr>
        <w:pStyle w:val="Standard"/>
        <w:ind w:firstLine="720"/>
        <w:rPr>
          <w:sz w:val="26"/>
          <w:szCs w:val="26"/>
        </w:rPr>
      </w:pPr>
      <w:r>
        <w:rPr>
          <w:sz w:val="26"/>
          <w:szCs w:val="26"/>
        </w:rPr>
        <w:t xml:space="preserve">We conclude that </w:t>
      </w:r>
      <w:r w:rsidR="002A1576">
        <w:rPr>
          <w:sz w:val="26"/>
          <w:szCs w:val="26"/>
        </w:rPr>
        <w:t xml:space="preserve">the </w:t>
      </w:r>
      <w:r w:rsidRPr="002A1576" w:rsidR="002A1576">
        <w:rPr>
          <w:sz w:val="26"/>
          <w:szCs w:val="26"/>
        </w:rPr>
        <w:t>Commission is not preempted from imposing intrastate rates or fees lower than those adopted by the FCC, including with regards to calls with interstate and intrastate components, where federal requirements operate as ceilings.</w:t>
      </w:r>
      <w:r w:rsidR="002A1576">
        <w:rPr>
          <w:sz w:val="26"/>
          <w:szCs w:val="26"/>
        </w:rPr>
        <w:t xml:space="preserve">  </w:t>
      </w:r>
      <w:r w:rsidR="00D85588">
        <w:rPr>
          <w:sz w:val="26"/>
          <w:szCs w:val="26"/>
        </w:rPr>
        <w:t>We find that a</w:t>
      </w:r>
      <w:r w:rsidRPr="00E52683" w:rsidR="004C515A">
        <w:rPr>
          <w:sz w:val="26"/>
          <w:szCs w:val="26"/>
        </w:rPr>
        <w:t xml:space="preserve">ncillary service charges generally cannot be practically segregated </w:t>
      </w:r>
      <w:proofErr w:type="gramStart"/>
      <w:r w:rsidRPr="00E52683" w:rsidR="004C515A">
        <w:rPr>
          <w:sz w:val="26"/>
          <w:szCs w:val="26"/>
        </w:rPr>
        <w:t>between  interstate</w:t>
      </w:r>
      <w:proofErr w:type="gramEnd"/>
      <w:r w:rsidRPr="00E52683" w:rsidR="004C515A">
        <w:rPr>
          <w:sz w:val="26"/>
          <w:szCs w:val="26"/>
        </w:rPr>
        <w:t xml:space="preserve"> and intrastate jurisdiction except where, at the time a charge is imposed and the consumer accepts the charge, the call to which the service is ancillary is a clearly int</w:t>
      </w:r>
      <w:r w:rsidR="004C515A">
        <w:rPr>
          <w:sz w:val="26"/>
          <w:szCs w:val="26"/>
        </w:rPr>
        <w:t>er</w:t>
      </w:r>
      <w:r w:rsidRPr="00E52683" w:rsidR="004C515A">
        <w:rPr>
          <w:sz w:val="26"/>
          <w:szCs w:val="26"/>
        </w:rPr>
        <w:t xml:space="preserve">state-only </w:t>
      </w:r>
      <w:r w:rsidR="004C515A">
        <w:rPr>
          <w:sz w:val="26"/>
          <w:szCs w:val="26"/>
        </w:rPr>
        <w:t xml:space="preserve">or an intrastate-only </w:t>
      </w:r>
      <w:r w:rsidRPr="00E52683" w:rsidR="004C515A">
        <w:rPr>
          <w:sz w:val="26"/>
          <w:szCs w:val="26"/>
        </w:rPr>
        <w:t>call</w:t>
      </w:r>
      <w:r w:rsidR="004C515A">
        <w:rPr>
          <w:sz w:val="26"/>
          <w:szCs w:val="26"/>
        </w:rPr>
        <w:t xml:space="preserve">.  </w:t>
      </w:r>
      <w:r w:rsidR="00D85588">
        <w:rPr>
          <w:sz w:val="26"/>
          <w:szCs w:val="26"/>
        </w:rPr>
        <w:t xml:space="preserve">It is within this Commission’s authority and jurisdiction to adopt lower ancillary fee caps than those adopted for interstate IPCS and to require IPCS providers to adhere to our adopted fee requirements for intrastate and jurisdictionally mixed ancillary services.  </w:t>
      </w:r>
    </w:p>
    <w:p w:rsidR="004C515A" w:rsidP="004C515A" w:rsidRDefault="004C515A" w14:paraId="747EC724" w14:textId="14DBF0EC">
      <w:pPr>
        <w:pStyle w:val="Standard"/>
        <w:ind w:firstLine="720"/>
        <w:rPr>
          <w:sz w:val="26"/>
          <w:szCs w:val="26"/>
        </w:rPr>
      </w:pPr>
      <w:r>
        <w:rPr>
          <w:sz w:val="26"/>
          <w:szCs w:val="26"/>
        </w:rPr>
        <w:t xml:space="preserve">To our knowledge, </w:t>
      </w:r>
      <w:r w:rsidR="00FC7AF0">
        <w:rPr>
          <w:sz w:val="26"/>
          <w:szCs w:val="26"/>
        </w:rPr>
        <w:t xml:space="preserve">and as stated by GTL, </w:t>
      </w:r>
      <w:r>
        <w:rPr>
          <w:sz w:val="26"/>
          <w:szCs w:val="26"/>
        </w:rPr>
        <w:t>the only ancillary fee that c</w:t>
      </w:r>
      <w:r w:rsidR="00FC7AF0">
        <w:rPr>
          <w:sz w:val="26"/>
          <w:szCs w:val="26"/>
        </w:rPr>
        <w:t>an</w:t>
      </w:r>
      <w:r>
        <w:rPr>
          <w:sz w:val="26"/>
          <w:szCs w:val="26"/>
        </w:rPr>
        <w:t xml:space="preserve"> practicably be identified with a particular call is the </w:t>
      </w:r>
      <w:r w:rsidR="00B43C2C">
        <w:rPr>
          <w:sz w:val="26"/>
          <w:szCs w:val="26"/>
        </w:rPr>
        <w:t>single-call</w:t>
      </w:r>
      <w:r>
        <w:rPr>
          <w:sz w:val="26"/>
          <w:szCs w:val="26"/>
        </w:rPr>
        <w:t xml:space="preserve"> service fee, which we prohibit here in association with intrastate calls. </w:t>
      </w:r>
      <w:r w:rsidRPr="0F8708A6" w:rsidR="079A7BF3">
        <w:rPr>
          <w:sz w:val="26"/>
          <w:szCs w:val="26"/>
        </w:rPr>
        <w:t xml:space="preserve"> </w:t>
      </w:r>
      <w:r>
        <w:rPr>
          <w:sz w:val="26"/>
          <w:szCs w:val="26"/>
        </w:rPr>
        <w:t>Therefore, the only ancillary fees that IPCS providers operating in California may impose are the third-party financial transaction fee,</w:t>
      </w:r>
      <w:r w:rsidR="00854FED">
        <w:rPr>
          <w:sz w:val="26"/>
          <w:szCs w:val="26"/>
        </w:rPr>
        <w:t xml:space="preserve"> with the restrictions adopted here</w:t>
      </w:r>
      <w:r>
        <w:rPr>
          <w:sz w:val="26"/>
          <w:szCs w:val="26"/>
        </w:rPr>
        <w:t xml:space="preserve">, and </w:t>
      </w:r>
      <w:r w:rsidR="00B43C2C">
        <w:rPr>
          <w:sz w:val="26"/>
          <w:szCs w:val="26"/>
        </w:rPr>
        <w:t>single-call</w:t>
      </w:r>
      <w:r>
        <w:rPr>
          <w:sz w:val="26"/>
          <w:szCs w:val="26"/>
        </w:rPr>
        <w:t xml:space="preserve"> fees clearly associated with an interstate call.</w:t>
      </w:r>
      <w:r w:rsidR="005231FE">
        <w:rPr>
          <w:sz w:val="26"/>
          <w:szCs w:val="26"/>
        </w:rPr>
        <w:t xml:space="preserve">  </w:t>
      </w:r>
      <w:r w:rsidR="00FA7030">
        <w:rPr>
          <w:sz w:val="26"/>
          <w:szCs w:val="26"/>
        </w:rPr>
        <w:t xml:space="preserve">Our prohibition of </w:t>
      </w:r>
      <w:r w:rsidRPr="00886E47" w:rsidR="00450932">
        <w:rPr>
          <w:sz w:val="26"/>
          <w:szCs w:val="26"/>
        </w:rPr>
        <w:t>automated payment fees, paper bill/statement fees, live agent fees, and single-call fees</w:t>
      </w:r>
      <w:r w:rsidR="00450932">
        <w:rPr>
          <w:sz w:val="26"/>
          <w:szCs w:val="26"/>
        </w:rPr>
        <w:t xml:space="preserve"> in association with intrastate and juris</w:t>
      </w:r>
      <w:r w:rsidR="0056282D">
        <w:rPr>
          <w:sz w:val="26"/>
          <w:szCs w:val="26"/>
        </w:rPr>
        <w:t>dictionally mixed IPCS effectively “caps” these fees at zero ($0.0) dollars</w:t>
      </w:r>
      <w:r w:rsidR="000C7000">
        <w:rPr>
          <w:sz w:val="26"/>
          <w:szCs w:val="26"/>
        </w:rPr>
        <w:t xml:space="preserve"> and thus any imposition of these fees in association with jurisdictionally mixed IPCS services is prohibited. </w:t>
      </w:r>
    </w:p>
    <w:p w:rsidR="001D2C38" w:rsidP="004C515A" w:rsidRDefault="001D2C38" w14:paraId="3A56F586" w14:textId="26DDFD88">
      <w:pPr>
        <w:pStyle w:val="Standard"/>
        <w:ind w:firstLine="720"/>
        <w:rPr>
          <w:sz w:val="26"/>
          <w:szCs w:val="26"/>
        </w:rPr>
      </w:pPr>
      <w:r>
        <w:rPr>
          <w:sz w:val="26"/>
          <w:szCs w:val="26"/>
        </w:rPr>
        <w:lastRenderedPageBreak/>
        <w:t xml:space="preserve">Following the FCC, we define ancillary </w:t>
      </w:r>
      <w:r w:rsidR="00356080">
        <w:rPr>
          <w:sz w:val="26"/>
          <w:szCs w:val="26"/>
        </w:rPr>
        <w:t>service charges</w:t>
      </w:r>
      <w:r w:rsidR="006D08A0">
        <w:rPr>
          <w:sz w:val="26"/>
          <w:szCs w:val="26"/>
        </w:rPr>
        <w:t xml:space="preserve"> as</w:t>
      </w:r>
      <w:r w:rsidR="003D69C1">
        <w:rPr>
          <w:sz w:val="26"/>
          <w:szCs w:val="26"/>
        </w:rPr>
        <w:t xml:space="preserve"> </w:t>
      </w:r>
      <w:r w:rsidRPr="003D69C1" w:rsidR="003D69C1">
        <w:rPr>
          <w:sz w:val="26"/>
          <w:szCs w:val="26"/>
        </w:rPr>
        <w:t xml:space="preserve">any charge </w:t>
      </w:r>
      <w:r w:rsidR="006D08A0">
        <w:rPr>
          <w:sz w:val="26"/>
          <w:szCs w:val="26"/>
        </w:rPr>
        <w:t>c</w:t>
      </w:r>
      <w:r w:rsidRPr="003D69C1" w:rsidR="003D69C1">
        <w:rPr>
          <w:sz w:val="26"/>
          <w:szCs w:val="26"/>
        </w:rPr>
        <w:t xml:space="preserve">onsumers may be assessed for, or in connection with, </w:t>
      </w:r>
      <w:r w:rsidR="006D08A0">
        <w:rPr>
          <w:sz w:val="26"/>
          <w:szCs w:val="26"/>
        </w:rPr>
        <w:t xml:space="preserve">IPCS </w:t>
      </w:r>
      <w:r w:rsidRPr="003D69C1" w:rsidR="003D69C1">
        <w:rPr>
          <w:sz w:val="26"/>
          <w:szCs w:val="26"/>
        </w:rPr>
        <w:t>that are not included in the per-minute charges assessed for such individual calls.</w:t>
      </w:r>
      <w:r w:rsidR="006D08A0">
        <w:rPr>
          <w:sz w:val="26"/>
          <w:szCs w:val="26"/>
        </w:rPr>
        <w:t xml:space="preserve">  </w:t>
      </w:r>
      <w:r w:rsidR="006737A1">
        <w:rPr>
          <w:sz w:val="26"/>
          <w:szCs w:val="26"/>
        </w:rPr>
        <w:t>Specifically:</w:t>
      </w:r>
    </w:p>
    <w:p w:rsidR="002D0FB4" w:rsidP="00D30381" w:rsidRDefault="00356080" w14:paraId="45A7F8A5" w14:textId="45E936FB">
      <w:pPr>
        <w:pStyle w:val="Standard"/>
        <w:numPr>
          <w:ilvl w:val="0"/>
          <w:numId w:val="44"/>
        </w:numPr>
        <w:spacing w:after="120" w:line="240" w:lineRule="auto"/>
        <w:ind w:left="1080" w:right="1440"/>
        <w:rPr>
          <w:sz w:val="26"/>
          <w:szCs w:val="26"/>
        </w:rPr>
      </w:pPr>
      <w:r w:rsidRPr="00356080">
        <w:rPr>
          <w:sz w:val="26"/>
          <w:szCs w:val="26"/>
        </w:rPr>
        <w:t xml:space="preserve">Automated </w:t>
      </w:r>
      <w:r w:rsidR="002D0FB4">
        <w:rPr>
          <w:sz w:val="26"/>
          <w:szCs w:val="26"/>
        </w:rPr>
        <w:t>p</w:t>
      </w:r>
      <w:r w:rsidRPr="00356080">
        <w:rPr>
          <w:sz w:val="26"/>
          <w:szCs w:val="26"/>
        </w:rPr>
        <w:t xml:space="preserve">ayment </w:t>
      </w:r>
      <w:proofErr w:type="gramStart"/>
      <w:r w:rsidR="002D0FB4">
        <w:rPr>
          <w:sz w:val="26"/>
          <w:szCs w:val="26"/>
        </w:rPr>
        <w:t>f</w:t>
      </w:r>
      <w:r w:rsidRPr="00356080">
        <w:rPr>
          <w:sz w:val="26"/>
          <w:szCs w:val="26"/>
        </w:rPr>
        <w:t>ees</w:t>
      </w:r>
      <w:r w:rsidR="002D0FB4">
        <w:rPr>
          <w:sz w:val="26"/>
          <w:szCs w:val="26"/>
        </w:rPr>
        <w:t>:</w:t>
      </w:r>
      <w:proofErr w:type="gramEnd"/>
      <w:r w:rsidRPr="00356080">
        <w:rPr>
          <w:sz w:val="26"/>
          <w:szCs w:val="26"/>
        </w:rPr>
        <w:t xml:space="preserve"> means credit card payment, debit card payment, and bill processing fees, including fees for payments made by interactive voice response, web, or kiosk;</w:t>
      </w:r>
    </w:p>
    <w:p w:rsidRPr="003D1A80" w:rsidR="003D1A80" w:rsidP="00D30381" w:rsidRDefault="00356080" w14:paraId="132C0BD7" w14:textId="513A29EB">
      <w:pPr>
        <w:pStyle w:val="Standard"/>
        <w:numPr>
          <w:ilvl w:val="0"/>
          <w:numId w:val="44"/>
        </w:numPr>
        <w:spacing w:after="120" w:line="240" w:lineRule="auto"/>
        <w:ind w:left="1080" w:right="1440"/>
        <w:rPr>
          <w:rFonts w:asciiTheme="minorHAnsi" w:hAnsiTheme="minorHAnsi" w:eastAsiaTheme="minorEastAsia" w:cstheme="minorBidi"/>
          <w:sz w:val="26"/>
          <w:szCs w:val="26"/>
        </w:rPr>
      </w:pPr>
      <w:r w:rsidRPr="00356080">
        <w:rPr>
          <w:sz w:val="26"/>
          <w:szCs w:val="26"/>
        </w:rPr>
        <w:t>Single</w:t>
      </w:r>
      <w:r w:rsidR="00B43C2C">
        <w:rPr>
          <w:sz w:val="26"/>
          <w:szCs w:val="26"/>
        </w:rPr>
        <w:t>-</w:t>
      </w:r>
      <w:r w:rsidR="002D0FB4">
        <w:rPr>
          <w:sz w:val="26"/>
          <w:szCs w:val="26"/>
        </w:rPr>
        <w:t>c</w:t>
      </w:r>
      <w:r w:rsidRPr="00356080">
        <w:rPr>
          <w:sz w:val="26"/>
          <w:szCs w:val="26"/>
        </w:rPr>
        <w:t xml:space="preserve">all </w:t>
      </w:r>
      <w:r w:rsidR="002D0FB4">
        <w:rPr>
          <w:sz w:val="26"/>
          <w:szCs w:val="26"/>
        </w:rPr>
        <w:t>fees (</w:t>
      </w:r>
      <w:r w:rsidRPr="00356080">
        <w:rPr>
          <w:sz w:val="26"/>
          <w:szCs w:val="26"/>
        </w:rPr>
        <w:t xml:space="preserve">and </w:t>
      </w:r>
      <w:r w:rsidR="002D0FB4">
        <w:rPr>
          <w:sz w:val="26"/>
          <w:szCs w:val="26"/>
        </w:rPr>
        <w:t>r</w:t>
      </w:r>
      <w:r w:rsidRPr="00356080">
        <w:rPr>
          <w:sz w:val="26"/>
          <w:szCs w:val="26"/>
        </w:rPr>
        <w:t xml:space="preserve">elated </w:t>
      </w:r>
      <w:r w:rsidR="002D0FB4">
        <w:rPr>
          <w:sz w:val="26"/>
          <w:szCs w:val="26"/>
        </w:rPr>
        <w:t>s</w:t>
      </w:r>
      <w:r w:rsidRPr="00356080">
        <w:rPr>
          <w:sz w:val="26"/>
          <w:szCs w:val="26"/>
        </w:rPr>
        <w:t>ervices</w:t>
      </w:r>
      <w:r w:rsidR="002D0FB4">
        <w:rPr>
          <w:sz w:val="26"/>
          <w:szCs w:val="26"/>
        </w:rPr>
        <w:t>):</w:t>
      </w:r>
      <w:r w:rsidR="00D30381">
        <w:rPr>
          <w:sz w:val="26"/>
          <w:szCs w:val="26"/>
        </w:rPr>
        <w:t xml:space="preserve"> </w:t>
      </w:r>
      <w:r w:rsidRPr="00356080">
        <w:rPr>
          <w:sz w:val="26"/>
          <w:szCs w:val="26"/>
        </w:rPr>
        <w:t xml:space="preserve"> means billing arrangements whereby an </w:t>
      </w:r>
      <w:r w:rsidR="002D0FB4">
        <w:rPr>
          <w:sz w:val="26"/>
          <w:szCs w:val="26"/>
        </w:rPr>
        <w:t xml:space="preserve">incarcerated person’s </w:t>
      </w:r>
      <w:r w:rsidRPr="00356080">
        <w:rPr>
          <w:sz w:val="26"/>
          <w:szCs w:val="26"/>
        </w:rPr>
        <w:t>collect calls are billed through a third</w:t>
      </w:r>
      <w:r w:rsidR="009C6DBB">
        <w:rPr>
          <w:sz w:val="26"/>
          <w:szCs w:val="26"/>
        </w:rPr>
        <w:t>-</w:t>
      </w:r>
      <w:r w:rsidRPr="00356080">
        <w:rPr>
          <w:sz w:val="26"/>
          <w:szCs w:val="26"/>
        </w:rPr>
        <w:t xml:space="preserve">party on a per-call basis, where the called party does not have an account with </w:t>
      </w:r>
      <w:r w:rsidR="002D0FB4">
        <w:rPr>
          <w:sz w:val="26"/>
          <w:szCs w:val="26"/>
        </w:rPr>
        <w:t xml:space="preserve">the IPCS provider </w:t>
      </w:r>
      <w:r w:rsidRPr="00356080">
        <w:rPr>
          <w:sz w:val="26"/>
          <w:szCs w:val="26"/>
        </w:rPr>
        <w:t xml:space="preserve">or does not want to establish an </w:t>
      </w:r>
      <w:proofErr w:type="gramStart"/>
      <w:r w:rsidRPr="00356080">
        <w:rPr>
          <w:sz w:val="26"/>
          <w:szCs w:val="26"/>
        </w:rPr>
        <w:t>account;</w:t>
      </w:r>
      <w:proofErr w:type="gramEnd"/>
    </w:p>
    <w:p w:rsidRPr="003D1A80" w:rsidR="003D1A80" w:rsidP="00D30381" w:rsidRDefault="00356080" w14:paraId="22311621" w14:textId="2F766317">
      <w:pPr>
        <w:pStyle w:val="Standard"/>
        <w:numPr>
          <w:ilvl w:val="0"/>
          <w:numId w:val="44"/>
        </w:numPr>
        <w:spacing w:after="120" w:line="240" w:lineRule="auto"/>
        <w:ind w:left="1080" w:right="1440"/>
        <w:rPr>
          <w:rFonts w:asciiTheme="minorHAnsi" w:hAnsiTheme="minorHAnsi" w:eastAsiaTheme="minorEastAsia" w:cstheme="minorBidi"/>
          <w:sz w:val="26"/>
          <w:szCs w:val="26"/>
        </w:rPr>
      </w:pPr>
      <w:r w:rsidRPr="00356080">
        <w:rPr>
          <w:sz w:val="26"/>
          <w:szCs w:val="26"/>
        </w:rPr>
        <w:t xml:space="preserve">Live </w:t>
      </w:r>
      <w:r w:rsidR="002D0FB4">
        <w:rPr>
          <w:sz w:val="26"/>
          <w:szCs w:val="26"/>
        </w:rPr>
        <w:t>a</w:t>
      </w:r>
      <w:r w:rsidRPr="00356080">
        <w:rPr>
          <w:sz w:val="26"/>
          <w:szCs w:val="26"/>
        </w:rPr>
        <w:t xml:space="preserve">gent </w:t>
      </w:r>
      <w:proofErr w:type="gramStart"/>
      <w:r w:rsidR="002D0FB4">
        <w:rPr>
          <w:sz w:val="26"/>
          <w:szCs w:val="26"/>
        </w:rPr>
        <w:t>f</w:t>
      </w:r>
      <w:r w:rsidRPr="00356080">
        <w:rPr>
          <w:sz w:val="26"/>
          <w:szCs w:val="26"/>
        </w:rPr>
        <w:t>ee</w:t>
      </w:r>
      <w:r w:rsidR="002D0FB4">
        <w:rPr>
          <w:sz w:val="26"/>
          <w:szCs w:val="26"/>
        </w:rPr>
        <w:t>:</w:t>
      </w:r>
      <w:proofErr w:type="gramEnd"/>
      <w:r w:rsidRPr="00356080">
        <w:rPr>
          <w:sz w:val="26"/>
          <w:szCs w:val="26"/>
        </w:rPr>
        <w:t xml:space="preserve"> </w:t>
      </w:r>
      <w:r w:rsidR="00D30381">
        <w:rPr>
          <w:sz w:val="26"/>
          <w:szCs w:val="26"/>
        </w:rPr>
        <w:t xml:space="preserve"> </w:t>
      </w:r>
      <w:r w:rsidRPr="00356080">
        <w:rPr>
          <w:sz w:val="26"/>
          <w:szCs w:val="26"/>
        </w:rPr>
        <w:t xml:space="preserve">means a fee associated with the optional use of a live operator to complete </w:t>
      </w:r>
      <w:r w:rsidR="007A1462">
        <w:rPr>
          <w:sz w:val="26"/>
          <w:szCs w:val="26"/>
        </w:rPr>
        <w:t xml:space="preserve">IPCS </w:t>
      </w:r>
      <w:r w:rsidRPr="00356080">
        <w:rPr>
          <w:sz w:val="26"/>
          <w:szCs w:val="26"/>
        </w:rPr>
        <w:t>transactions;</w:t>
      </w:r>
    </w:p>
    <w:p w:rsidRPr="003D1A80" w:rsidR="003D1A80" w:rsidP="00D30381" w:rsidRDefault="00356080" w14:paraId="0DF531A6" w14:textId="77777777">
      <w:pPr>
        <w:pStyle w:val="Standard"/>
        <w:numPr>
          <w:ilvl w:val="0"/>
          <w:numId w:val="44"/>
        </w:numPr>
        <w:spacing w:after="120" w:line="240" w:lineRule="auto"/>
        <w:ind w:left="1080" w:right="1440"/>
        <w:rPr>
          <w:rFonts w:asciiTheme="minorHAnsi" w:hAnsiTheme="minorHAnsi" w:eastAsiaTheme="minorEastAsia" w:cstheme="minorBidi"/>
          <w:sz w:val="26"/>
          <w:szCs w:val="26"/>
        </w:rPr>
      </w:pPr>
      <w:r w:rsidRPr="00356080">
        <w:rPr>
          <w:sz w:val="26"/>
          <w:szCs w:val="26"/>
        </w:rPr>
        <w:t xml:space="preserve">Paper </w:t>
      </w:r>
      <w:r w:rsidR="007A1462">
        <w:rPr>
          <w:sz w:val="26"/>
          <w:szCs w:val="26"/>
        </w:rPr>
        <w:t>b</w:t>
      </w:r>
      <w:r w:rsidRPr="00356080">
        <w:rPr>
          <w:sz w:val="26"/>
          <w:szCs w:val="26"/>
        </w:rPr>
        <w:t>ill/</w:t>
      </w:r>
      <w:r w:rsidR="007A1462">
        <w:rPr>
          <w:sz w:val="26"/>
          <w:szCs w:val="26"/>
        </w:rPr>
        <w:t>s</w:t>
      </w:r>
      <w:r w:rsidRPr="00356080">
        <w:rPr>
          <w:sz w:val="26"/>
          <w:szCs w:val="26"/>
        </w:rPr>
        <w:t xml:space="preserve">tatement </w:t>
      </w:r>
      <w:proofErr w:type="gramStart"/>
      <w:r w:rsidR="007A1462">
        <w:rPr>
          <w:sz w:val="26"/>
          <w:szCs w:val="26"/>
        </w:rPr>
        <w:t>f</w:t>
      </w:r>
      <w:r w:rsidRPr="00356080">
        <w:rPr>
          <w:sz w:val="26"/>
          <w:szCs w:val="26"/>
        </w:rPr>
        <w:t>ee</w:t>
      </w:r>
      <w:r w:rsidR="007A1462">
        <w:rPr>
          <w:sz w:val="26"/>
          <w:szCs w:val="26"/>
        </w:rPr>
        <w:t>:</w:t>
      </w:r>
      <w:proofErr w:type="gramEnd"/>
      <w:r w:rsidRPr="00356080">
        <w:rPr>
          <w:sz w:val="26"/>
          <w:szCs w:val="26"/>
        </w:rPr>
        <w:t xml:space="preserve"> means fees associated with providing customers of </w:t>
      </w:r>
      <w:r w:rsidR="007A1462">
        <w:rPr>
          <w:sz w:val="26"/>
          <w:szCs w:val="26"/>
        </w:rPr>
        <w:t xml:space="preserve">IPCS </w:t>
      </w:r>
      <w:r w:rsidRPr="00356080">
        <w:rPr>
          <w:sz w:val="26"/>
          <w:szCs w:val="26"/>
        </w:rPr>
        <w:t>an optional paper billing statement;</w:t>
      </w:r>
    </w:p>
    <w:p w:rsidRPr="003D1A80" w:rsidR="003D1A80" w:rsidP="00D30381" w:rsidRDefault="00356080" w14:paraId="15ADFDA2" w14:textId="3319709C">
      <w:pPr>
        <w:pStyle w:val="Standard"/>
        <w:numPr>
          <w:ilvl w:val="0"/>
          <w:numId w:val="44"/>
        </w:numPr>
        <w:spacing w:after="120" w:line="240" w:lineRule="auto"/>
        <w:ind w:left="1080" w:right="1440"/>
        <w:rPr>
          <w:rFonts w:asciiTheme="minorHAnsi" w:hAnsiTheme="minorHAnsi" w:eastAsiaTheme="minorEastAsia" w:cstheme="minorBidi"/>
          <w:sz w:val="26"/>
          <w:szCs w:val="26"/>
        </w:rPr>
      </w:pPr>
      <w:r w:rsidRPr="00356080">
        <w:rPr>
          <w:sz w:val="26"/>
          <w:szCs w:val="26"/>
        </w:rPr>
        <w:t>Third-</w:t>
      </w:r>
      <w:r w:rsidR="007A1462">
        <w:rPr>
          <w:sz w:val="26"/>
          <w:szCs w:val="26"/>
        </w:rPr>
        <w:t>p</w:t>
      </w:r>
      <w:r w:rsidRPr="00356080">
        <w:rPr>
          <w:sz w:val="26"/>
          <w:szCs w:val="26"/>
        </w:rPr>
        <w:t xml:space="preserve">arty </w:t>
      </w:r>
      <w:r w:rsidR="007A1462">
        <w:rPr>
          <w:sz w:val="26"/>
          <w:szCs w:val="26"/>
        </w:rPr>
        <w:t>f</w:t>
      </w:r>
      <w:r w:rsidRPr="00356080">
        <w:rPr>
          <w:sz w:val="26"/>
          <w:szCs w:val="26"/>
        </w:rPr>
        <w:t xml:space="preserve">inancial </w:t>
      </w:r>
      <w:r w:rsidR="007A1462">
        <w:rPr>
          <w:sz w:val="26"/>
          <w:szCs w:val="26"/>
        </w:rPr>
        <w:t>t</w:t>
      </w:r>
      <w:r w:rsidRPr="00356080">
        <w:rPr>
          <w:sz w:val="26"/>
          <w:szCs w:val="26"/>
        </w:rPr>
        <w:t xml:space="preserve">ransaction </w:t>
      </w:r>
      <w:proofErr w:type="gramStart"/>
      <w:r w:rsidR="007A1462">
        <w:rPr>
          <w:sz w:val="26"/>
          <w:szCs w:val="26"/>
        </w:rPr>
        <w:t>f</w:t>
      </w:r>
      <w:r w:rsidRPr="00356080">
        <w:rPr>
          <w:sz w:val="26"/>
          <w:szCs w:val="26"/>
        </w:rPr>
        <w:t>ee</w:t>
      </w:r>
      <w:r w:rsidR="007A1462">
        <w:rPr>
          <w:sz w:val="26"/>
          <w:szCs w:val="26"/>
        </w:rPr>
        <w:t>:</w:t>
      </w:r>
      <w:proofErr w:type="gramEnd"/>
      <w:r w:rsidRPr="00356080">
        <w:rPr>
          <w:sz w:val="26"/>
          <w:szCs w:val="26"/>
        </w:rPr>
        <w:t xml:space="preserve"> </w:t>
      </w:r>
      <w:r w:rsidR="00D30381">
        <w:rPr>
          <w:sz w:val="26"/>
          <w:szCs w:val="26"/>
        </w:rPr>
        <w:t xml:space="preserve"> </w:t>
      </w:r>
      <w:r w:rsidRPr="00356080">
        <w:rPr>
          <w:sz w:val="26"/>
          <w:szCs w:val="26"/>
        </w:rPr>
        <w:t>means the exact fees, with no markup</w:t>
      </w:r>
      <w:r w:rsidR="00B26C92">
        <w:rPr>
          <w:sz w:val="26"/>
          <w:szCs w:val="26"/>
        </w:rPr>
        <w:t>, and excluding any credit card charges,</w:t>
      </w:r>
      <w:r w:rsidR="003717C6">
        <w:rPr>
          <w:sz w:val="26"/>
          <w:szCs w:val="26"/>
        </w:rPr>
        <w:t xml:space="preserve"> up to a cap of $6.95 per transaction</w:t>
      </w:r>
      <w:r w:rsidRPr="00356080">
        <w:rPr>
          <w:sz w:val="26"/>
          <w:szCs w:val="26"/>
        </w:rPr>
        <w:t xml:space="preserve">, that </w:t>
      </w:r>
      <w:r w:rsidR="007A1462">
        <w:rPr>
          <w:sz w:val="26"/>
          <w:szCs w:val="26"/>
        </w:rPr>
        <w:t xml:space="preserve">IPCS providers </w:t>
      </w:r>
      <w:r w:rsidRPr="00356080">
        <w:rPr>
          <w:sz w:val="26"/>
          <w:szCs w:val="26"/>
        </w:rPr>
        <w:t>are charged by thir</w:t>
      </w:r>
      <w:r w:rsidR="003717C6">
        <w:rPr>
          <w:sz w:val="26"/>
          <w:szCs w:val="26"/>
        </w:rPr>
        <w:t>d-</w:t>
      </w:r>
      <w:r w:rsidRPr="00356080">
        <w:rPr>
          <w:sz w:val="26"/>
          <w:szCs w:val="26"/>
        </w:rPr>
        <w:t xml:space="preserve"> parties to transfer money to </w:t>
      </w:r>
      <w:r w:rsidR="0036767F">
        <w:rPr>
          <w:sz w:val="26"/>
          <w:szCs w:val="26"/>
        </w:rPr>
        <w:t xml:space="preserve">an IPCS customer </w:t>
      </w:r>
      <w:r w:rsidRPr="00356080">
        <w:rPr>
          <w:sz w:val="26"/>
          <w:szCs w:val="26"/>
        </w:rPr>
        <w:t>account</w:t>
      </w:r>
      <w:r w:rsidR="003717C6">
        <w:rPr>
          <w:sz w:val="26"/>
          <w:szCs w:val="26"/>
        </w:rPr>
        <w:t>;</w:t>
      </w:r>
      <w:r w:rsidR="00DA2842">
        <w:rPr>
          <w:sz w:val="26"/>
          <w:szCs w:val="26"/>
        </w:rPr>
        <w:t xml:space="preserve"> and,</w:t>
      </w:r>
    </w:p>
    <w:p w:rsidRPr="00E52683" w:rsidR="00356080" w:rsidP="00D30381" w:rsidRDefault="00DD5C46" w14:paraId="74EB6EAE" w14:textId="638C243F">
      <w:pPr>
        <w:pStyle w:val="Standard"/>
        <w:numPr>
          <w:ilvl w:val="0"/>
          <w:numId w:val="44"/>
        </w:numPr>
        <w:spacing w:after="120" w:line="240" w:lineRule="auto"/>
        <w:ind w:left="1080" w:right="1440"/>
        <w:rPr>
          <w:rFonts w:asciiTheme="minorHAnsi" w:hAnsiTheme="minorHAnsi" w:eastAsiaTheme="minorEastAsia" w:cstheme="minorBidi"/>
          <w:sz w:val="26"/>
          <w:szCs w:val="26"/>
        </w:rPr>
      </w:pPr>
      <w:r>
        <w:rPr>
          <w:sz w:val="26"/>
          <w:szCs w:val="26"/>
        </w:rPr>
        <w:t xml:space="preserve">Mandatory government taxes or </w:t>
      </w:r>
      <w:proofErr w:type="gramStart"/>
      <w:r>
        <w:rPr>
          <w:sz w:val="26"/>
          <w:szCs w:val="26"/>
        </w:rPr>
        <w:t>fee:</w:t>
      </w:r>
      <w:proofErr w:type="gramEnd"/>
      <w:r>
        <w:rPr>
          <w:sz w:val="26"/>
          <w:szCs w:val="26"/>
        </w:rPr>
        <w:t xml:space="preserve"> </w:t>
      </w:r>
      <w:r w:rsidR="00D30381">
        <w:rPr>
          <w:sz w:val="26"/>
          <w:szCs w:val="26"/>
        </w:rPr>
        <w:t xml:space="preserve"> </w:t>
      </w:r>
      <w:r>
        <w:rPr>
          <w:sz w:val="26"/>
          <w:szCs w:val="26"/>
        </w:rPr>
        <w:t>means a</w:t>
      </w:r>
      <w:r w:rsidRPr="00356080" w:rsidR="00356080">
        <w:rPr>
          <w:sz w:val="26"/>
          <w:szCs w:val="26"/>
        </w:rPr>
        <w:t xml:space="preserve"> government authorized, but discretionary, fee which a</w:t>
      </w:r>
      <w:r>
        <w:rPr>
          <w:sz w:val="26"/>
          <w:szCs w:val="26"/>
        </w:rPr>
        <w:t>n IPCS provider</w:t>
      </w:r>
      <w:r w:rsidRPr="00356080" w:rsidR="00356080">
        <w:rPr>
          <w:sz w:val="26"/>
          <w:szCs w:val="26"/>
        </w:rPr>
        <w:t xml:space="preserve"> must remit to a federal, state, or local government, and which a</w:t>
      </w:r>
      <w:r>
        <w:rPr>
          <w:sz w:val="26"/>
          <w:szCs w:val="26"/>
        </w:rPr>
        <w:t>n IPCS provider</w:t>
      </w:r>
      <w:r w:rsidRPr="00356080" w:rsidR="00356080">
        <w:rPr>
          <w:sz w:val="26"/>
          <w:szCs w:val="26"/>
        </w:rPr>
        <w:t xml:space="preserve"> is permitted, but not required, to pass through to </w:t>
      </w:r>
      <w:r>
        <w:rPr>
          <w:sz w:val="26"/>
          <w:szCs w:val="26"/>
        </w:rPr>
        <w:t>c</w:t>
      </w:r>
      <w:r w:rsidRPr="00356080" w:rsidR="00356080">
        <w:rPr>
          <w:sz w:val="26"/>
          <w:szCs w:val="26"/>
        </w:rPr>
        <w:t xml:space="preserve">onsumers for or in connection with </w:t>
      </w:r>
      <w:r w:rsidR="00DA2842">
        <w:rPr>
          <w:sz w:val="26"/>
          <w:szCs w:val="26"/>
        </w:rPr>
        <w:t xml:space="preserve">intrastate IPCS, with no markup. </w:t>
      </w:r>
    </w:p>
    <w:p w:rsidR="00DD5D1B" w:rsidP="00DD5D1B" w:rsidRDefault="00445CEC" w14:paraId="3F126EAC" w14:textId="2763EA32">
      <w:pPr>
        <w:pStyle w:val="Standard"/>
        <w:ind w:firstLine="720"/>
        <w:rPr>
          <w:sz w:val="26"/>
          <w:szCs w:val="26"/>
        </w:rPr>
      </w:pPr>
      <w:r>
        <w:rPr>
          <w:sz w:val="26"/>
          <w:szCs w:val="26"/>
        </w:rPr>
        <w:t xml:space="preserve">As with our adopted rate cap, we choose a 45-day implementation timeline because this is a reasonable period that allows for contract renegotiations and noticing, where required, while timely providing relief to the incarcerated and their families on an issue of longstanding importance.  </w:t>
      </w:r>
    </w:p>
    <w:p w:rsidR="00DD5D1B" w:rsidP="00DD5D1B" w:rsidRDefault="00DD5D1B" w14:paraId="53303F1E" w14:textId="0503A677">
      <w:pPr>
        <w:pStyle w:val="Standard"/>
        <w:ind w:firstLine="720"/>
        <w:rPr>
          <w:sz w:val="26"/>
          <w:szCs w:val="26"/>
        </w:rPr>
      </w:pPr>
      <w:r>
        <w:rPr>
          <w:sz w:val="26"/>
          <w:szCs w:val="26"/>
        </w:rPr>
        <w:lastRenderedPageBreak/>
        <w:t xml:space="preserve">We direct all </w:t>
      </w:r>
      <w:r w:rsidR="00F73228">
        <w:rPr>
          <w:sz w:val="26"/>
          <w:szCs w:val="26"/>
        </w:rPr>
        <w:t xml:space="preserve">telephone corporations providing </w:t>
      </w:r>
      <w:r w:rsidRPr="00DD5D1B">
        <w:rPr>
          <w:sz w:val="26"/>
          <w:szCs w:val="26"/>
        </w:rPr>
        <w:t xml:space="preserve">intrastate </w:t>
      </w:r>
      <w:r w:rsidR="00F73228">
        <w:rPr>
          <w:sz w:val="26"/>
          <w:szCs w:val="26"/>
        </w:rPr>
        <w:t xml:space="preserve">IPCS </w:t>
      </w:r>
      <w:r>
        <w:rPr>
          <w:sz w:val="26"/>
          <w:szCs w:val="26"/>
        </w:rPr>
        <w:t xml:space="preserve">to </w:t>
      </w:r>
      <w:r w:rsidRPr="00DD5D1B">
        <w:rPr>
          <w:sz w:val="26"/>
          <w:szCs w:val="26"/>
        </w:rPr>
        <w:t xml:space="preserve">implement our adopted rate </w:t>
      </w:r>
      <w:r>
        <w:rPr>
          <w:sz w:val="26"/>
          <w:szCs w:val="26"/>
        </w:rPr>
        <w:t xml:space="preserve">ancillary fee requirements </w:t>
      </w:r>
      <w:r w:rsidRPr="00DD5D1B">
        <w:rPr>
          <w:sz w:val="26"/>
          <w:szCs w:val="26"/>
        </w:rPr>
        <w:t xml:space="preserve">across </w:t>
      </w:r>
      <w:proofErr w:type="gramStart"/>
      <w:r w:rsidRPr="00DD5D1B">
        <w:rPr>
          <w:sz w:val="26"/>
          <w:szCs w:val="26"/>
        </w:rPr>
        <w:t>all of</w:t>
      </w:r>
      <w:proofErr w:type="gramEnd"/>
      <w:r w:rsidRPr="00DD5D1B">
        <w:rPr>
          <w:sz w:val="26"/>
          <w:szCs w:val="26"/>
        </w:rPr>
        <w:t xml:space="preserve"> their IPCS contracts, accounts, and facilities in California, no later than 45 days from Commission issuance of this decision.  The </w:t>
      </w:r>
      <w:r>
        <w:rPr>
          <w:sz w:val="26"/>
          <w:szCs w:val="26"/>
        </w:rPr>
        <w:t xml:space="preserve">ancillary fee requirements must </w:t>
      </w:r>
      <w:r w:rsidRPr="00DD5D1B">
        <w:rPr>
          <w:sz w:val="26"/>
          <w:szCs w:val="26"/>
        </w:rPr>
        <w:t xml:space="preserve">be applied to any existing account balances as of the date of implementation, as well as any new account balances or new accounts opened after that date. </w:t>
      </w:r>
      <w:r w:rsidR="00765F36">
        <w:rPr>
          <w:sz w:val="26"/>
          <w:szCs w:val="26"/>
        </w:rPr>
        <w:t xml:space="preserve"> </w:t>
      </w:r>
      <w:r w:rsidRPr="782815F2" w:rsidR="7A3555E1">
        <w:rPr>
          <w:sz w:val="26"/>
          <w:szCs w:val="26"/>
        </w:rPr>
        <w:t>I</w:t>
      </w:r>
      <w:r w:rsidR="00DA21A1">
        <w:rPr>
          <w:sz w:val="26"/>
          <w:szCs w:val="26"/>
        </w:rPr>
        <w:t>ntrastate IPCS providers are p</w:t>
      </w:r>
      <w:r w:rsidRPr="00765F36" w:rsidR="00765F36">
        <w:rPr>
          <w:sz w:val="26"/>
          <w:szCs w:val="26"/>
        </w:rPr>
        <w:t>rohibited from applying any other type of ancillary or service fee or charge other than those explicitly approved here</w:t>
      </w:r>
      <w:r w:rsidRPr="059C227C" w:rsidR="62DC4C8E">
        <w:rPr>
          <w:sz w:val="26"/>
          <w:szCs w:val="26"/>
        </w:rPr>
        <w:t>.</w:t>
      </w:r>
    </w:p>
    <w:p w:rsidR="00413303" w:rsidP="00587A3B" w:rsidRDefault="00DA21A1" w14:paraId="664CDBDF" w14:textId="6DBE9E16">
      <w:pPr>
        <w:pStyle w:val="Standard"/>
        <w:ind w:firstLine="720"/>
        <w:rPr>
          <w:sz w:val="26"/>
          <w:szCs w:val="26"/>
        </w:rPr>
      </w:pPr>
      <w:r>
        <w:rPr>
          <w:sz w:val="26"/>
          <w:szCs w:val="26"/>
        </w:rPr>
        <w:t>W</w:t>
      </w:r>
      <w:r w:rsidR="00924EEB">
        <w:rPr>
          <w:sz w:val="26"/>
          <w:szCs w:val="26"/>
        </w:rPr>
        <w:t xml:space="preserve">e direct </w:t>
      </w:r>
      <w:r w:rsidR="00587A3B">
        <w:rPr>
          <w:sz w:val="26"/>
          <w:szCs w:val="26"/>
        </w:rPr>
        <w:t xml:space="preserve">all </w:t>
      </w:r>
      <w:r w:rsidR="00F73228">
        <w:rPr>
          <w:sz w:val="26"/>
          <w:szCs w:val="26"/>
        </w:rPr>
        <w:t xml:space="preserve">telephone corporations providing </w:t>
      </w:r>
      <w:r w:rsidR="00587A3B">
        <w:rPr>
          <w:sz w:val="26"/>
          <w:szCs w:val="26"/>
        </w:rPr>
        <w:t xml:space="preserve">intrastate </w:t>
      </w:r>
      <w:r w:rsidRPr="00587A3B" w:rsidR="00C26548">
        <w:rPr>
          <w:sz w:val="26"/>
          <w:szCs w:val="26"/>
        </w:rPr>
        <w:t>IPCS</w:t>
      </w:r>
      <w:r w:rsidRPr="00587A3B" w:rsidR="00587A3B">
        <w:rPr>
          <w:sz w:val="26"/>
          <w:szCs w:val="26"/>
        </w:rPr>
        <w:t xml:space="preserve"> </w:t>
      </w:r>
      <w:r w:rsidR="00924EEB">
        <w:rPr>
          <w:sz w:val="26"/>
          <w:szCs w:val="26"/>
        </w:rPr>
        <w:t xml:space="preserve">to </w:t>
      </w:r>
      <w:r w:rsidR="00507477">
        <w:rPr>
          <w:sz w:val="26"/>
          <w:szCs w:val="26"/>
        </w:rPr>
        <w:t xml:space="preserve">submit a </w:t>
      </w:r>
      <w:r w:rsidR="00413303">
        <w:rPr>
          <w:sz w:val="26"/>
          <w:szCs w:val="26"/>
        </w:rPr>
        <w:t xml:space="preserve">Notice of Compliance </w:t>
      </w:r>
      <w:r w:rsidR="00B47EFB">
        <w:rPr>
          <w:sz w:val="26"/>
          <w:szCs w:val="26"/>
        </w:rPr>
        <w:t>within 45 days of Commission issuance of this decision confirming implementation of the</w:t>
      </w:r>
      <w:r w:rsidR="000B19EB">
        <w:rPr>
          <w:sz w:val="26"/>
          <w:szCs w:val="26"/>
        </w:rPr>
        <w:t xml:space="preserve"> interim ancillary fee requirements adopted here across </w:t>
      </w:r>
      <w:proofErr w:type="gramStart"/>
      <w:r w:rsidR="000B19EB">
        <w:rPr>
          <w:sz w:val="26"/>
          <w:szCs w:val="26"/>
        </w:rPr>
        <w:t>all of</w:t>
      </w:r>
      <w:proofErr w:type="gramEnd"/>
      <w:r w:rsidR="000B19EB">
        <w:rPr>
          <w:sz w:val="26"/>
          <w:szCs w:val="26"/>
        </w:rPr>
        <w:t xml:space="preserve"> their intrastate IPCS </w:t>
      </w:r>
      <w:r w:rsidR="00910934">
        <w:rPr>
          <w:sz w:val="26"/>
          <w:szCs w:val="26"/>
        </w:rPr>
        <w:t>contracts, accounts, and facilities in California</w:t>
      </w:r>
      <w:r w:rsidR="0027615A">
        <w:rPr>
          <w:sz w:val="26"/>
          <w:szCs w:val="26"/>
        </w:rPr>
        <w:t xml:space="preserve">.  The </w:t>
      </w:r>
      <w:r w:rsidR="00D36FD2">
        <w:rPr>
          <w:sz w:val="26"/>
          <w:szCs w:val="26"/>
        </w:rPr>
        <w:t xml:space="preserve">Notice of Compliance should be </w:t>
      </w:r>
      <w:bookmarkStart w:name="_Hlk76121576" w:id="59"/>
      <w:r w:rsidR="00D36FD2">
        <w:rPr>
          <w:sz w:val="26"/>
          <w:szCs w:val="26"/>
        </w:rPr>
        <w:t xml:space="preserve">emailed to the </w:t>
      </w:r>
      <w:r w:rsidR="008E51ED">
        <w:rPr>
          <w:sz w:val="26"/>
          <w:szCs w:val="26"/>
        </w:rPr>
        <w:t>Director</w:t>
      </w:r>
      <w:r w:rsidR="00D36FD2">
        <w:rPr>
          <w:sz w:val="26"/>
          <w:szCs w:val="26"/>
        </w:rPr>
        <w:t xml:space="preserve"> of the Communications Division</w:t>
      </w:r>
      <w:r w:rsidR="00BC6CC2">
        <w:rPr>
          <w:sz w:val="26"/>
          <w:szCs w:val="26"/>
        </w:rPr>
        <w:t xml:space="preserve"> at </w:t>
      </w:r>
      <w:r w:rsidR="00A60508">
        <w:rPr>
          <w:sz w:val="26"/>
          <w:szCs w:val="26"/>
        </w:rPr>
        <w:t>cddirector</w:t>
      </w:r>
      <w:r w:rsidR="002A61DC">
        <w:rPr>
          <w:sz w:val="26"/>
          <w:szCs w:val="26"/>
        </w:rPr>
        <w:t>@cpuc.c</w:t>
      </w:r>
      <w:r w:rsidR="00E752A8">
        <w:rPr>
          <w:sz w:val="26"/>
          <w:szCs w:val="26"/>
        </w:rPr>
        <w:t>a.gov</w:t>
      </w:r>
      <w:bookmarkEnd w:id="59"/>
      <w:r w:rsidR="00D36FD2">
        <w:rPr>
          <w:sz w:val="26"/>
          <w:szCs w:val="26"/>
        </w:rPr>
        <w:t xml:space="preserve">, </w:t>
      </w:r>
      <w:r w:rsidR="00C56F00">
        <w:rPr>
          <w:sz w:val="26"/>
          <w:szCs w:val="26"/>
        </w:rPr>
        <w:t xml:space="preserve">and </w:t>
      </w:r>
      <w:r w:rsidR="00C63503">
        <w:rPr>
          <w:sz w:val="26"/>
          <w:szCs w:val="26"/>
        </w:rPr>
        <w:t xml:space="preserve">must </w:t>
      </w:r>
      <w:r w:rsidR="00413303">
        <w:rPr>
          <w:sz w:val="26"/>
          <w:szCs w:val="26"/>
        </w:rPr>
        <w:t>includ</w:t>
      </w:r>
      <w:r w:rsidR="00C63503">
        <w:rPr>
          <w:sz w:val="26"/>
          <w:szCs w:val="26"/>
        </w:rPr>
        <w:t>e</w:t>
      </w:r>
      <w:r w:rsidR="00413303">
        <w:rPr>
          <w:sz w:val="26"/>
          <w:szCs w:val="26"/>
        </w:rPr>
        <w:t xml:space="preserve"> the following information:</w:t>
      </w:r>
    </w:p>
    <w:p w:rsidRPr="00D30381" w:rsidR="00413303" w:rsidP="00D30381" w:rsidRDefault="00413303" w14:paraId="1076D1C6" w14:textId="048BA6EF">
      <w:pPr>
        <w:pStyle w:val="Standard"/>
        <w:numPr>
          <w:ilvl w:val="0"/>
          <w:numId w:val="18"/>
        </w:numPr>
        <w:spacing w:after="120" w:line="240" w:lineRule="auto"/>
        <w:ind w:right="1440"/>
        <w:rPr>
          <w:sz w:val="26"/>
          <w:szCs w:val="26"/>
        </w:rPr>
      </w:pPr>
      <w:r w:rsidRPr="00D30381">
        <w:rPr>
          <w:sz w:val="26"/>
          <w:szCs w:val="26"/>
        </w:rPr>
        <w:t xml:space="preserve">Attestation that the interim intrastate ancillary service fee requirements adopted here have been implemented at </w:t>
      </w:r>
      <w:proofErr w:type="gramStart"/>
      <w:r w:rsidRPr="00D30381">
        <w:rPr>
          <w:sz w:val="26"/>
          <w:szCs w:val="26"/>
        </w:rPr>
        <w:t>any and all</w:t>
      </w:r>
      <w:proofErr w:type="gramEnd"/>
      <w:r w:rsidRPr="00D30381">
        <w:rPr>
          <w:sz w:val="26"/>
          <w:szCs w:val="26"/>
        </w:rPr>
        <w:t xml:space="preserve"> facilities served by the carrier in California.</w:t>
      </w:r>
    </w:p>
    <w:p w:rsidRPr="00D30381" w:rsidR="00413303" w:rsidP="00D30381" w:rsidRDefault="00413303" w14:paraId="395A5D27" w14:textId="03AE45A3">
      <w:pPr>
        <w:pStyle w:val="Standard"/>
        <w:numPr>
          <w:ilvl w:val="0"/>
          <w:numId w:val="18"/>
        </w:numPr>
        <w:spacing w:after="120" w:line="240" w:lineRule="auto"/>
        <w:ind w:right="1440"/>
        <w:rPr>
          <w:sz w:val="26"/>
          <w:szCs w:val="26"/>
        </w:rPr>
      </w:pPr>
      <w:r w:rsidRPr="00D30381">
        <w:rPr>
          <w:sz w:val="26"/>
          <w:szCs w:val="26"/>
        </w:rPr>
        <w:t>Copies of or links to carrier webpages where the interim intrastate ancillary service fee requirements adopted here are presented for facilities located in California.</w:t>
      </w:r>
    </w:p>
    <w:p w:rsidRPr="00D30381" w:rsidR="00413303" w:rsidP="00D30381" w:rsidRDefault="00413303" w14:paraId="5AB4768C" w14:textId="304CF46F">
      <w:pPr>
        <w:pStyle w:val="Standard"/>
        <w:numPr>
          <w:ilvl w:val="0"/>
          <w:numId w:val="18"/>
        </w:numPr>
        <w:spacing w:after="120" w:line="240" w:lineRule="auto"/>
        <w:ind w:right="1440"/>
        <w:rPr>
          <w:sz w:val="26"/>
          <w:szCs w:val="26"/>
        </w:rPr>
      </w:pPr>
      <w:r w:rsidRPr="00D30381">
        <w:rPr>
          <w:sz w:val="26"/>
          <w:szCs w:val="26"/>
        </w:rPr>
        <w:t>Copies of notices provided to facilities of the interim intrastate ancillary service fee requirements adopted here.</w:t>
      </w:r>
    </w:p>
    <w:p w:rsidRPr="00D30381" w:rsidR="00413303" w:rsidP="00D30381" w:rsidRDefault="00413303" w14:paraId="5834C50E" w14:textId="4DC35253">
      <w:pPr>
        <w:pStyle w:val="Standard"/>
        <w:numPr>
          <w:ilvl w:val="0"/>
          <w:numId w:val="18"/>
        </w:numPr>
        <w:spacing w:after="120" w:line="240" w:lineRule="auto"/>
        <w:ind w:right="1440"/>
        <w:rPr>
          <w:sz w:val="26"/>
          <w:szCs w:val="26"/>
        </w:rPr>
      </w:pPr>
      <w:r w:rsidRPr="00D30381">
        <w:rPr>
          <w:sz w:val="26"/>
          <w:szCs w:val="26"/>
        </w:rPr>
        <w:t>Copies of notices to incarcerated people of the interim intrastate ancillary service fee requirements adopted here.</w:t>
      </w:r>
    </w:p>
    <w:p w:rsidR="00931571" w:rsidP="00FB0A79" w:rsidRDefault="00054D6D" w14:paraId="004E906A" w14:textId="7C63B7EC">
      <w:pPr>
        <w:pStyle w:val="Standard"/>
        <w:ind w:firstLine="720"/>
        <w:rPr>
          <w:sz w:val="26"/>
          <w:szCs w:val="26"/>
        </w:rPr>
      </w:pPr>
      <w:r>
        <w:rPr>
          <w:sz w:val="26"/>
          <w:szCs w:val="26"/>
        </w:rPr>
        <w:t>We direct all</w:t>
      </w:r>
      <w:r w:rsidR="00F73228">
        <w:rPr>
          <w:sz w:val="26"/>
          <w:szCs w:val="26"/>
        </w:rPr>
        <w:t xml:space="preserve"> telephone corporations providing intrastate</w:t>
      </w:r>
      <w:r>
        <w:rPr>
          <w:sz w:val="26"/>
          <w:szCs w:val="26"/>
        </w:rPr>
        <w:t xml:space="preserve"> IPCS to fully disclose the</w:t>
      </w:r>
      <w:r w:rsidR="00F73228">
        <w:rPr>
          <w:sz w:val="26"/>
          <w:szCs w:val="26"/>
        </w:rPr>
        <w:t xml:space="preserve"> adopted </w:t>
      </w:r>
      <w:r>
        <w:rPr>
          <w:sz w:val="26"/>
          <w:szCs w:val="26"/>
        </w:rPr>
        <w:t xml:space="preserve">ancillary fee schedules on their websites, bills, and in marketing material by no later than 45 days from Commission issuance of this </w:t>
      </w:r>
      <w:r>
        <w:rPr>
          <w:sz w:val="26"/>
          <w:szCs w:val="26"/>
        </w:rPr>
        <w:lastRenderedPageBreak/>
        <w:t>decision</w:t>
      </w:r>
      <w:r w:rsidR="00F73228">
        <w:rPr>
          <w:sz w:val="26"/>
          <w:szCs w:val="26"/>
        </w:rPr>
        <w:t xml:space="preserve"> and </w:t>
      </w:r>
      <w:r w:rsidR="002B665B">
        <w:rPr>
          <w:sz w:val="26"/>
          <w:szCs w:val="26"/>
        </w:rPr>
        <w:t xml:space="preserve">to </w:t>
      </w:r>
      <w:r w:rsidRPr="002B665B" w:rsidR="002B665B">
        <w:rPr>
          <w:sz w:val="26"/>
          <w:szCs w:val="26"/>
        </w:rPr>
        <w:t xml:space="preserve">maintain </w:t>
      </w:r>
      <w:r w:rsidR="00194900">
        <w:rPr>
          <w:sz w:val="26"/>
          <w:szCs w:val="26"/>
        </w:rPr>
        <w:t>the adopted ancillary fee requirements clearly and prominently</w:t>
      </w:r>
      <w:r w:rsidRPr="002B665B" w:rsidR="002B665B">
        <w:rPr>
          <w:sz w:val="26"/>
          <w:szCs w:val="26"/>
        </w:rPr>
        <w:t xml:space="preserve"> on their websites</w:t>
      </w:r>
      <w:r w:rsidR="00194900">
        <w:rPr>
          <w:sz w:val="26"/>
          <w:szCs w:val="26"/>
        </w:rPr>
        <w:t>.</w:t>
      </w:r>
      <w:r w:rsidR="00FA3D22">
        <w:rPr>
          <w:sz w:val="26"/>
          <w:szCs w:val="26"/>
        </w:rPr>
        <w:t xml:space="preserve">  Disclosures of fee schedules and all related </w:t>
      </w:r>
      <w:r w:rsidRPr="00FA3D22" w:rsidR="00FA3D22">
        <w:rPr>
          <w:sz w:val="26"/>
          <w:szCs w:val="26"/>
        </w:rPr>
        <w:t>notices shall provide service-related information in English, Spanish and any other languages prevalent in incarceration facilities</w:t>
      </w:r>
      <w:r w:rsidR="003E719F">
        <w:rPr>
          <w:sz w:val="26"/>
          <w:szCs w:val="26"/>
        </w:rPr>
        <w:t xml:space="preserve"> </w:t>
      </w:r>
      <w:r w:rsidRPr="003E719F" w:rsidR="003E719F">
        <w:rPr>
          <w:sz w:val="26"/>
          <w:szCs w:val="26"/>
        </w:rPr>
        <w:t>and shall inform the incarcerated of methods to lodge service quality complaints with the Commission as discussed in section 11 below</w:t>
      </w:r>
      <w:r w:rsidRPr="00FA3D22" w:rsidR="00FA3D22">
        <w:rPr>
          <w:sz w:val="26"/>
          <w:szCs w:val="26"/>
        </w:rPr>
        <w:t xml:space="preserve">.  </w:t>
      </w:r>
    </w:p>
    <w:p w:rsidR="0028041D" w:rsidP="00472730" w:rsidRDefault="0028041D" w14:paraId="7CC1E968" w14:textId="1F6EF369">
      <w:pPr>
        <w:pStyle w:val="Standard"/>
        <w:ind w:firstLine="720"/>
        <w:rPr>
          <w:sz w:val="26"/>
          <w:szCs w:val="26"/>
        </w:rPr>
      </w:pPr>
      <w:r>
        <w:rPr>
          <w:sz w:val="26"/>
          <w:szCs w:val="26"/>
        </w:rPr>
        <w:t xml:space="preserve">We direct all </w:t>
      </w:r>
      <w:r w:rsidR="00F73228">
        <w:rPr>
          <w:sz w:val="26"/>
          <w:szCs w:val="26"/>
        </w:rPr>
        <w:t xml:space="preserve">telephone corporations providing </w:t>
      </w:r>
      <w:r>
        <w:rPr>
          <w:sz w:val="26"/>
          <w:szCs w:val="26"/>
        </w:rPr>
        <w:t xml:space="preserve">IPCS to </w:t>
      </w:r>
      <w:r w:rsidR="00BB0228">
        <w:rPr>
          <w:sz w:val="26"/>
          <w:szCs w:val="26"/>
        </w:rPr>
        <w:t xml:space="preserve">submit </w:t>
      </w:r>
      <w:r w:rsidRPr="0029395F" w:rsidR="0029395F">
        <w:rPr>
          <w:sz w:val="26"/>
          <w:szCs w:val="26"/>
        </w:rPr>
        <w:t xml:space="preserve">an Interim Rate </w:t>
      </w:r>
      <w:r w:rsidR="0029395F">
        <w:rPr>
          <w:sz w:val="26"/>
          <w:szCs w:val="26"/>
        </w:rPr>
        <w:t>C</w:t>
      </w:r>
      <w:r w:rsidRPr="0029395F" w:rsidR="0029395F">
        <w:rPr>
          <w:sz w:val="26"/>
          <w:szCs w:val="26"/>
        </w:rPr>
        <w:t xml:space="preserve">ompliance </w:t>
      </w:r>
      <w:r w:rsidR="0029395F">
        <w:rPr>
          <w:sz w:val="26"/>
          <w:szCs w:val="26"/>
        </w:rPr>
        <w:t>R</w:t>
      </w:r>
      <w:r w:rsidRPr="0029395F" w:rsidR="0029395F">
        <w:rPr>
          <w:sz w:val="26"/>
          <w:szCs w:val="26"/>
        </w:rPr>
        <w:t xml:space="preserve">eport </w:t>
      </w:r>
      <w:r w:rsidR="00A32EF4">
        <w:rPr>
          <w:sz w:val="26"/>
          <w:szCs w:val="26"/>
        </w:rPr>
        <w:t xml:space="preserve">to the Commission’s </w:t>
      </w:r>
      <w:r w:rsidRPr="0029395F" w:rsidR="00A32EF4">
        <w:rPr>
          <w:sz w:val="26"/>
          <w:szCs w:val="26"/>
        </w:rPr>
        <w:t xml:space="preserve">Director of the Communications Division </w:t>
      </w:r>
      <w:r w:rsidR="00484ACA">
        <w:rPr>
          <w:sz w:val="26"/>
          <w:szCs w:val="26"/>
        </w:rPr>
        <w:t>at cddirector@cpuc.ca.gov</w:t>
      </w:r>
      <w:r w:rsidRPr="0029395F" w:rsidR="00A32EF4">
        <w:rPr>
          <w:sz w:val="26"/>
          <w:szCs w:val="26"/>
        </w:rPr>
        <w:t xml:space="preserve"> </w:t>
      </w:r>
      <w:r w:rsidR="0029395F">
        <w:rPr>
          <w:sz w:val="26"/>
          <w:szCs w:val="26"/>
        </w:rPr>
        <w:t xml:space="preserve">no later than </w:t>
      </w:r>
      <w:r w:rsidRPr="0029395F" w:rsidR="0029395F">
        <w:rPr>
          <w:sz w:val="26"/>
          <w:szCs w:val="26"/>
        </w:rPr>
        <w:t xml:space="preserve">45 days </w:t>
      </w:r>
      <w:r w:rsidR="0029395F">
        <w:rPr>
          <w:sz w:val="26"/>
          <w:szCs w:val="26"/>
        </w:rPr>
        <w:t>from Commission issuance of this d</w:t>
      </w:r>
      <w:r w:rsidRPr="0029395F" w:rsidR="0029395F">
        <w:rPr>
          <w:sz w:val="26"/>
          <w:szCs w:val="26"/>
        </w:rPr>
        <w:t>ecision</w:t>
      </w:r>
      <w:r w:rsidR="00A32EF4">
        <w:rPr>
          <w:sz w:val="26"/>
          <w:szCs w:val="26"/>
        </w:rPr>
        <w:t xml:space="preserve"> and </w:t>
      </w:r>
      <w:r w:rsidRPr="0029395F" w:rsidR="00BB0228">
        <w:rPr>
          <w:sz w:val="26"/>
          <w:szCs w:val="26"/>
        </w:rPr>
        <w:t>on a quarterly basis thereafter whil</w:t>
      </w:r>
      <w:r w:rsidR="00BB0228">
        <w:rPr>
          <w:sz w:val="26"/>
          <w:szCs w:val="26"/>
        </w:rPr>
        <w:t>e the i</w:t>
      </w:r>
      <w:r w:rsidRPr="0029395F" w:rsidR="00BB0228">
        <w:rPr>
          <w:sz w:val="26"/>
          <w:szCs w:val="26"/>
        </w:rPr>
        <w:t xml:space="preserve">nterim </w:t>
      </w:r>
      <w:r w:rsidR="00BB0228">
        <w:rPr>
          <w:sz w:val="26"/>
          <w:szCs w:val="26"/>
        </w:rPr>
        <w:t>r</w:t>
      </w:r>
      <w:r w:rsidRPr="0029395F" w:rsidR="00BB0228">
        <w:rPr>
          <w:sz w:val="26"/>
          <w:szCs w:val="26"/>
        </w:rPr>
        <w:t xml:space="preserve">ates </w:t>
      </w:r>
      <w:r w:rsidR="00BB0228">
        <w:rPr>
          <w:sz w:val="26"/>
          <w:szCs w:val="26"/>
        </w:rPr>
        <w:t xml:space="preserve">adopted here </w:t>
      </w:r>
      <w:r w:rsidRPr="0029395F" w:rsidR="00BB0228">
        <w:rPr>
          <w:sz w:val="26"/>
          <w:szCs w:val="26"/>
        </w:rPr>
        <w:t>are in effect.</w:t>
      </w:r>
      <w:r w:rsidR="0029395F">
        <w:rPr>
          <w:sz w:val="26"/>
          <w:szCs w:val="26"/>
        </w:rPr>
        <w:t xml:space="preserve"> </w:t>
      </w:r>
      <w:r w:rsidR="00A32EF4">
        <w:rPr>
          <w:sz w:val="26"/>
          <w:szCs w:val="26"/>
        </w:rPr>
        <w:t xml:space="preserve"> </w:t>
      </w:r>
      <w:r w:rsidR="0029395F">
        <w:rPr>
          <w:sz w:val="26"/>
          <w:szCs w:val="26"/>
        </w:rPr>
        <w:t xml:space="preserve">Each </w:t>
      </w:r>
      <w:r w:rsidR="00950C08">
        <w:rPr>
          <w:sz w:val="26"/>
          <w:szCs w:val="26"/>
        </w:rPr>
        <w:t xml:space="preserve">IPCS provider’s </w:t>
      </w:r>
      <w:r w:rsidRPr="00B63CC0" w:rsidR="0069390F">
        <w:rPr>
          <w:sz w:val="26"/>
          <w:szCs w:val="26"/>
        </w:rPr>
        <w:t xml:space="preserve">Interim Rate Compliance </w:t>
      </w:r>
      <w:r w:rsidR="00950C08">
        <w:rPr>
          <w:sz w:val="26"/>
          <w:szCs w:val="26"/>
        </w:rPr>
        <w:t xml:space="preserve">Report must </w:t>
      </w:r>
      <w:r w:rsidRPr="0029395F" w:rsidR="0029395F">
        <w:rPr>
          <w:sz w:val="26"/>
          <w:szCs w:val="26"/>
        </w:rPr>
        <w:t xml:space="preserve">include a revenue breakdown of billed interstate and intrastate minutes of use, and a revenue breakdown of billed </w:t>
      </w:r>
      <w:r w:rsidR="00950C08">
        <w:rPr>
          <w:sz w:val="26"/>
          <w:szCs w:val="26"/>
        </w:rPr>
        <w:t>a</w:t>
      </w:r>
      <w:r w:rsidRPr="0029395F" w:rsidR="0029395F">
        <w:rPr>
          <w:sz w:val="26"/>
          <w:szCs w:val="26"/>
        </w:rPr>
        <w:t xml:space="preserve">ncillary interstate and intrastate </w:t>
      </w:r>
      <w:r w:rsidR="00950C08">
        <w:rPr>
          <w:sz w:val="26"/>
          <w:szCs w:val="26"/>
        </w:rPr>
        <w:t xml:space="preserve">fees </w:t>
      </w:r>
      <w:r w:rsidRPr="0029395F" w:rsidR="0029395F">
        <w:rPr>
          <w:sz w:val="26"/>
          <w:szCs w:val="26"/>
        </w:rPr>
        <w:t xml:space="preserve">over a period of thirty days. </w:t>
      </w:r>
    </w:p>
    <w:p w:rsidR="00054D6D" w:rsidP="008E5C05" w:rsidRDefault="00FB0A79" w14:paraId="62265622" w14:textId="2FF11B86">
      <w:pPr>
        <w:pStyle w:val="Standard"/>
        <w:ind w:firstLine="720"/>
        <w:rPr>
          <w:sz w:val="26"/>
          <w:szCs w:val="26"/>
        </w:rPr>
      </w:pPr>
      <w:r>
        <w:rPr>
          <w:sz w:val="26"/>
          <w:szCs w:val="26"/>
        </w:rPr>
        <w:t xml:space="preserve">We direct all </w:t>
      </w:r>
      <w:r w:rsidR="00F73228">
        <w:rPr>
          <w:sz w:val="26"/>
          <w:szCs w:val="26"/>
        </w:rPr>
        <w:t xml:space="preserve">telephone corporations providing </w:t>
      </w:r>
      <w:r>
        <w:rPr>
          <w:sz w:val="26"/>
          <w:szCs w:val="26"/>
        </w:rPr>
        <w:t xml:space="preserve">IPCS to </w:t>
      </w:r>
      <w:r w:rsidRPr="001D42F6">
        <w:rPr>
          <w:sz w:val="26"/>
          <w:szCs w:val="26"/>
        </w:rPr>
        <w:t xml:space="preserve">provide </w:t>
      </w:r>
      <w:r w:rsidR="007A5814">
        <w:rPr>
          <w:sz w:val="26"/>
          <w:szCs w:val="26"/>
        </w:rPr>
        <w:t>a P</w:t>
      </w:r>
      <w:r w:rsidRPr="001D42F6" w:rsidR="007A5814">
        <w:rPr>
          <w:sz w:val="26"/>
          <w:szCs w:val="26"/>
        </w:rPr>
        <w:t xml:space="preserve">lan for </w:t>
      </w:r>
      <w:r w:rsidR="007A5814">
        <w:rPr>
          <w:sz w:val="26"/>
          <w:szCs w:val="26"/>
        </w:rPr>
        <w:t>N</w:t>
      </w:r>
      <w:r w:rsidRPr="001D42F6" w:rsidR="007A5814">
        <w:rPr>
          <w:sz w:val="26"/>
          <w:szCs w:val="26"/>
        </w:rPr>
        <w:t>otification to all current and prospective customers and account holders</w:t>
      </w:r>
      <w:r w:rsidR="007A5814">
        <w:rPr>
          <w:sz w:val="26"/>
          <w:szCs w:val="26"/>
        </w:rPr>
        <w:t xml:space="preserve"> and </w:t>
      </w:r>
      <w:r>
        <w:rPr>
          <w:sz w:val="26"/>
          <w:szCs w:val="26"/>
        </w:rPr>
        <w:t xml:space="preserve">their </w:t>
      </w:r>
      <w:r w:rsidRPr="001D42F6">
        <w:rPr>
          <w:sz w:val="26"/>
          <w:szCs w:val="26"/>
        </w:rPr>
        <w:t xml:space="preserve">draft notices of the adopted </w:t>
      </w:r>
      <w:r w:rsidR="00194900">
        <w:rPr>
          <w:sz w:val="26"/>
          <w:szCs w:val="26"/>
        </w:rPr>
        <w:t>ancillary fee requirements</w:t>
      </w:r>
      <w:r w:rsidRPr="001D42F6">
        <w:rPr>
          <w:sz w:val="26"/>
          <w:szCs w:val="26"/>
        </w:rPr>
        <w:t xml:space="preserve">, terms and conditions, refund policies and customer service contacts for websites, bill inserts, </w:t>
      </w:r>
      <w:r>
        <w:rPr>
          <w:sz w:val="26"/>
          <w:szCs w:val="26"/>
        </w:rPr>
        <w:t xml:space="preserve">and </w:t>
      </w:r>
      <w:r w:rsidRPr="001D42F6">
        <w:rPr>
          <w:sz w:val="26"/>
          <w:szCs w:val="26"/>
        </w:rPr>
        <w:t xml:space="preserve">marketing materials to </w:t>
      </w:r>
      <w:r>
        <w:rPr>
          <w:sz w:val="26"/>
          <w:szCs w:val="26"/>
        </w:rPr>
        <w:t xml:space="preserve">the </w:t>
      </w:r>
      <w:r w:rsidRPr="001D42F6">
        <w:rPr>
          <w:sz w:val="26"/>
          <w:szCs w:val="26"/>
        </w:rPr>
        <w:t xml:space="preserve">Commission for review </w:t>
      </w:r>
      <w:r>
        <w:rPr>
          <w:sz w:val="26"/>
          <w:szCs w:val="26"/>
        </w:rPr>
        <w:t xml:space="preserve">no later than </w:t>
      </w:r>
      <w:r w:rsidRPr="001D42F6">
        <w:rPr>
          <w:sz w:val="26"/>
          <w:szCs w:val="26"/>
        </w:rPr>
        <w:t xml:space="preserve">30 days </w:t>
      </w:r>
      <w:r>
        <w:rPr>
          <w:sz w:val="26"/>
          <w:szCs w:val="26"/>
        </w:rPr>
        <w:t xml:space="preserve">from Commission issuance of this decision.  </w:t>
      </w:r>
      <w:r w:rsidR="00B47B4A">
        <w:rPr>
          <w:sz w:val="26"/>
          <w:szCs w:val="26"/>
        </w:rPr>
        <w:t>The Plan and draft notices shall include d</w:t>
      </w:r>
      <w:r w:rsidRPr="00B47B4A" w:rsidR="00B47B4A">
        <w:rPr>
          <w:sz w:val="26"/>
          <w:szCs w:val="26"/>
        </w:rPr>
        <w:t>isclosures of fee schedules and service-related information in English, Spanish and any other languages prevalent in incarceration facilities</w:t>
      </w:r>
      <w:r w:rsidR="006E6FBA">
        <w:rPr>
          <w:sz w:val="26"/>
          <w:szCs w:val="26"/>
        </w:rPr>
        <w:t xml:space="preserve"> and shall </w:t>
      </w:r>
      <w:r w:rsidRPr="73BF4038" w:rsidR="006E6FBA">
        <w:rPr>
          <w:rFonts w:eastAsiaTheme="majorEastAsia" w:cstheme="majorBidi"/>
          <w:sz w:val="26"/>
          <w:szCs w:val="26"/>
        </w:rPr>
        <w:t>inform the incarcerated of methods to lodge service quality complaints with the Commission</w:t>
      </w:r>
      <w:r w:rsidR="006E6FBA">
        <w:rPr>
          <w:sz w:val="26"/>
          <w:szCs w:val="26"/>
        </w:rPr>
        <w:t xml:space="preserve"> as discussed in section 11 below. </w:t>
      </w:r>
      <w:r w:rsidRPr="00B47B4A" w:rsidR="00B47B4A">
        <w:rPr>
          <w:sz w:val="26"/>
          <w:szCs w:val="26"/>
        </w:rPr>
        <w:t xml:space="preserve">  </w:t>
      </w:r>
    </w:p>
    <w:p w:rsidR="00E3684A" w:rsidRDefault="000D417C" w14:paraId="739D8A61" w14:textId="77777777">
      <w:pPr>
        <w:pStyle w:val="Standard"/>
        <w:ind w:firstLine="720"/>
        <w:rPr>
          <w:sz w:val="26"/>
          <w:szCs w:val="26"/>
        </w:rPr>
      </w:pPr>
      <w:r>
        <w:rPr>
          <w:sz w:val="26"/>
          <w:szCs w:val="26"/>
        </w:rPr>
        <w:t>A</w:t>
      </w:r>
      <w:r w:rsidR="00F73228">
        <w:rPr>
          <w:sz w:val="26"/>
          <w:szCs w:val="26"/>
        </w:rPr>
        <w:t xml:space="preserve">ll </w:t>
      </w:r>
      <w:r>
        <w:rPr>
          <w:sz w:val="26"/>
          <w:szCs w:val="26"/>
        </w:rPr>
        <w:t xml:space="preserve">IPCS providers operating in California </w:t>
      </w:r>
      <w:r w:rsidR="00241F4F">
        <w:rPr>
          <w:sz w:val="26"/>
          <w:szCs w:val="26"/>
        </w:rPr>
        <w:t xml:space="preserve">as defined here </w:t>
      </w:r>
      <w:r>
        <w:rPr>
          <w:sz w:val="26"/>
          <w:szCs w:val="26"/>
        </w:rPr>
        <w:t xml:space="preserve">must comply with the requirements of this decision.  IPCS providers not explicitly identified in </w:t>
      </w:r>
      <w:r>
        <w:rPr>
          <w:sz w:val="26"/>
          <w:szCs w:val="26"/>
        </w:rPr>
        <w:lastRenderedPageBreak/>
        <w:t xml:space="preserve">this decision must provide a Notice of Compliance to the Commission no later than 45 days after executing a contract to provide IPCS in California, and must provide </w:t>
      </w:r>
      <w:r w:rsidR="00560BCB">
        <w:rPr>
          <w:sz w:val="26"/>
          <w:szCs w:val="26"/>
        </w:rPr>
        <w:t xml:space="preserve">a Plan for Notification, </w:t>
      </w:r>
      <w:r w:rsidRPr="001D42F6">
        <w:rPr>
          <w:sz w:val="26"/>
          <w:szCs w:val="26"/>
        </w:rPr>
        <w:t xml:space="preserve">draft notices of the adopted rates, terms and conditions, refund policies and customer service contacts for websites, bill inserts, </w:t>
      </w:r>
      <w:r>
        <w:rPr>
          <w:sz w:val="26"/>
          <w:szCs w:val="26"/>
        </w:rPr>
        <w:t xml:space="preserve">and </w:t>
      </w:r>
      <w:r w:rsidRPr="001D42F6">
        <w:rPr>
          <w:sz w:val="26"/>
          <w:szCs w:val="26"/>
        </w:rPr>
        <w:t xml:space="preserve">marketing materials to the Commission for review </w:t>
      </w:r>
      <w:r>
        <w:rPr>
          <w:sz w:val="26"/>
          <w:szCs w:val="26"/>
        </w:rPr>
        <w:t xml:space="preserve">no later than </w:t>
      </w:r>
      <w:r w:rsidRPr="001D42F6">
        <w:rPr>
          <w:sz w:val="26"/>
          <w:szCs w:val="26"/>
        </w:rPr>
        <w:t>30</w:t>
      </w:r>
      <w:r w:rsidR="009B44CC">
        <w:rPr>
          <w:sz w:val="26"/>
          <w:szCs w:val="26"/>
        </w:rPr>
        <w:t> </w:t>
      </w:r>
      <w:r w:rsidRPr="001D42F6">
        <w:rPr>
          <w:sz w:val="26"/>
          <w:szCs w:val="26"/>
        </w:rPr>
        <w:t xml:space="preserve">days </w:t>
      </w:r>
      <w:r>
        <w:rPr>
          <w:sz w:val="26"/>
          <w:szCs w:val="26"/>
        </w:rPr>
        <w:t xml:space="preserve">after executing a contract to provide IPCS in California.  </w:t>
      </w:r>
      <w:r w:rsidR="00B07180">
        <w:rPr>
          <w:sz w:val="26"/>
          <w:szCs w:val="26"/>
        </w:rPr>
        <w:t>The Plan and notices shall include d</w:t>
      </w:r>
      <w:r w:rsidRPr="00B47B4A" w:rsidR="00B07180">
        <w:rPr>
          <w:sz w:val="26"/>
          <w:szCs w:val="26"/>
        </w:rPr>
        <w:t>isclosures of fee schedules and service-related information in English, Spanish and any other languages prevalent in incarceration facilities</w:t>
      </w:r>
      <w:r w:rsidR="00135203">
        <w:rPr>
          <w:sz w:val="26"/>
          <w:szCs w:val="26"/>
        </w:rPr>
        <w:t xml:space="preserve">, and shall </w:t>
      </w:r>
      <w:r w:rsidRPr="73BF4038" w:rsidR="00135203">
        <w:rPr>
          <w:rFonts w:eastAsiaTheme="majorEastAsia" w:cstheme="majorBidi"/>
          <w:sz w:val="26"/>
          <w:szCs w:val="26"/>
        </w:rPr>
        <w:t>inform the incarcerated of methods to lodge service quality complaints with the Commission</w:t>
      </w:r>
      <w:r w:rsidR="00135203">
        <w:rPr>
          <w:rFonts w:eastAsiaTheme="majorEastAsia" w:cstheme="majorBidi"/>
          <w:sz w:val="26"/>
          <w:szCs w:val="26"/>
        </w:rPr>
        <w:t xml:space="preserve"> as discussed in section 11 below</w:t>
      </w:r>
      <w:r w:rsidRPr="00B47B4A" w:rsidR="00B07180">
        <w:rPr>
          <w:sz w:val="26"/>
          <w:szCs w:val="26"/>
        </w:rPr>
        <w:t xml:space="preserve">.  </w:t>
      </w:r>
    </w:p>
    <w:p w:rsidRPr="004652CC" w:rsidR="000D417C" w:rsidRDefault="00C92540" w14:paraId="33C8B617" w14:textId="22856C6E">
      <w:pPr>
        <w:pStyle w:val="Standard"/>
        <w:ind w:firstLine="720"/>
        <w:rPr>
          <w:sz w:val="26"/>
          <w:szCs w:val="26"/>
        </w:rPr>
      </w:pPr>
      <w:r>
        <w:rPr>
          <w:sz w:val="26"/>
          <w:szCs w:val="26"/>
        </w:rPr>
        <w:t xml:space="preserve">Such IPCS providers must also </w:t>
      </w:r>
      <w:r w:rsidRPr="00B63CC0" w:rsidR="00B63CC0">
        <w:rPr>
          <w:sz w:val="26"/>
          <w:szCs w:val="26"/>
        </w:rPr>
        <w:t xml:space="preserve">submit an Interim Rate Compliance Report to the Commission’s Director of the Communications Division no later than 45 days from </w:t>
      </w:r>
      <w:r>
        <w:rPr>
          <w:sz w:val="26"/>
          <w:szCs w:val="26"/>
        </w:rPr>
        <w:t xml:space="preserve">executing a contract to provide IPCS in California, and </w:t>
      </w:r>
      <w:r w:rsidRPr="00B63CC0" w:rsidR="00B63CC0">
        <w:rPr>
          <w:sz w:val="26"/>
          <w:szCs w:val="26"/>
        </w:rPr>
        <w:t xml:space="preserve">on a quarterly basis thereafter while the interim rates adopted here are in effect.  Each IPCS provider’s </w:t>
      </w:r>
      <w:r w:rsidRPr="00B63CC0" w:rsidR="0069390F">
        <w:rPr>
          <w:sz w:val="26"/>
          <w:szCs w:val="26"/>
        </w:rPr>
        <w:t>Interim Rate Compliance Report</w:t>
      </w:r>
      <w:r w:rsidRPr="00B63CC0" w:rsidR="00B63CC0">
        <w:rPr>
          <w:sz w:val="26"/>
          <w:szCs w:val="26"/>
        </w:rPr>
        <w:t xml:space="preserve"> must include a revenue breakdown of billed interstate and intrastate minutes of use, and a revenue breakdown of billed ancillary interstate and intrastate fees over a period of thirty days.</w:t>
      </w:r>
    </w:p>
    <w:p w:rsidRPr="00886E47" w:rsidR="007634D2" w:rsidP="00EC32A0" w:rsidRDefault="00395F52" w14:paraId="6F6FE48C" w14:textId="4DAF2696">
      <w:pPr>
        <w:pStyle w:val="Standard"/>
        <w:ind w:firstLine="720"/>
        <w:rPr>
          <w:sz w:val="26"/>
          <w:szCs w:val="26"/>
        </w:rPr>
      </w:pPr>
      <w:r>
        <w:rPr>
          <w:sz w:val="26"/>
          <w:szCs w:val="26"/>
        </w:rPr>
        <w:t>As necessary, we will consider adjustments to o</w:t>
      </w:r>
      <w:r w:rsidR="00EC32A0">
        <w:rPr>
          <w:sz w:val="26"/>
          <w:szCs w:val="26"/>
        </w:rPr>
        <w:t xml:space="preserve">ur adopted </w:t>
      </w:r>
      <w:r w:rsidRPr="00EC32A0" w:rsidR="00EC32A0">
        <w:rPr>
          <w:sz w:val="26"/>
          <w:szCs w:val="26"/>
        </w:rPr>
        <w:t xml:space="preserve">interim </w:t>
      </w:r>
      <w:r w:rsidR="00EC32A0">
        <w:rPr>
          <w:sz w:val="26"/>
          <w:szCs w:val="26"/>
        </w:rPr>
        <w:t xml:space="preserve">ancillary fee requirements and interim </w:t>
      </w:r>
      <w:r w:rsidRPr="00EC32A0" w:rsidR="00EC32A0">
        <w:rPr>
          <w:sz w:val="26"/>
          <w:szCs w:val="26"/>
        </w:rPr>
        <w:t xml:space="preserve">rates as we consider </w:t>
      </w:r>
      <w:r>
        <w:rPr>
          <w:sz w:val="26"/>
          <w:szCs w:val="26"/>
        </w:rPr>
        <w:t xml:space="preserve">adopting </w:t>
      </w:r>
      <w:r w:rsidRPr="00EC32A0" w:rsidR="00EC32A0">
        <w:rPr>
          <w:sz w:val="26"/>
          <w:szCs w:val="26"/>
        </w:rPr>
        <w:t xml:space="preserve">permanent </w:t>
      </w:r>
      <w:r>
        <w:rPr>
          <w:sz w:val="26"/>
          <w:szCs w:val="26"/>
        </w:rPr>
        <w:t xml:space="preserve">requirements </w:t>
      </w:r>
      <w:r w:rsidRPr="00EC32A0" w:rsidR="00EC32A0">
        <w:rPr>
          <w:sz w:val="26"/>
          <w:szCs w:val="26"/>
        </w:rPr>
        <w:t>later in this proceeding.</w:t>
      </w:r>
    </w:p>
    <w:p w:rsidR="00825298" w:rsidP="003E26B9" w:rsidRDefault="00531ED4" w14:paraId="73BFC2D3" w14:textId="25A623B5">
      <w:pPr>
        <w:pStyle w:val="Heading1"/>
        <w:numPr>
          <w:ilvl w:val="0"/>
          <w:numId w:val="1"/>
        </w:numPr>
      </w:pPr>
      <w:bookmarkStart w:name="_Toc80089417" w:id="60"/>
      <w:r>
        <w:t xml:space="preserve">Enforcement and </w:t>
      </w:r>
      <w:r w:rsidR="00FC1B15">
        <w:t>Compliance Requirement</w:t>
      </w:r>
      <w:bookmarkEnd w:id="60"/>
    </w:p>
    <w:p w:rsidR="00A12107" w:rsidP="006B5421" w:rsidRDefault="58A7B09E" w14:paraId="5D36C2F5" w14:textId="2D22D6D1">
      <w:pPr>
        <w:pStyle w:val="Standard"/>
        <w:ind w:firstLine="720"/>
        <w:rPr>
          <w:sz w:val="26"/>
          <w:szCs w:val="26"/>
        </w:rPr>
      </w:pPr>
      <w:r>
        <w:rPr>
          <w:sz w:val="26"/>
          <w:szCs w:val="26"/>
        </w:rPr>
        <w:t xml:space="preserve">The Commission and its </w:t>
      </w:r>
      <w:r w:rsidR="006031C1">
        <w:rPr>
          <w:sz w:val="26"/>
          <w:szCs w:val="26"/>
        </w:rPr>
        <w:t>S</w:t>
      </w:r>
      <w:r>
        <w:rPr>
          <w:sz w:val="26"/>
          <w:szCs w:val="26"/>
        </w:rPr>
        <w:t>taff ha</w:t>
      </w:r>
      <w:r w:rsidR="00F45CFA">
        <w:rPr>
          <w:sz w:val="26"/>
          <w:szCs w:val="26"/>
        </w:rPr>
        <w:t>ve</w:t>
      </w:r>
      <w:r>
        <w:rPr>
          <w:sz w:val="26"/>
          <w:szCs w:val="26"/>
        </w:rPr>
        <w:t xml:space="preserve"> enforcement authority to ensure compliance with this decision.  </w:t>
      </w:r>
      <w:r w:rsidR="00A12107">
        <w:rPr>
          <w:sz w:val="26"/>
          <w:szCs w:val="26"/>
        </w:rPr>
        <w:t xml:space="preserve">Resolution T-17601 establishes a citation and enforcement program for California telecommunication providers.  It authorizes the Commission’s Communication Division to issue penalties to telecommunications providers for failure to submit filings, notices, reports, and </w:t>
      </w:r>
      <w:r w:rsidR="00A12107">
        <w:rPr>
          <w:sz w:val="26"/>
          <w:szCs w:val="26"/>
        </w:rPr>
        <w:lastRenderedPageBreak/>
        <w:t xml:space="preserve">other items as directed in </w:t>
      </w:r>
      <w:r w:rsidRPr="003C2603" w:rsidR="00A12107">
        <w:rPr>
          <w:sz w:val="26"/>
          <w:szCs w:val="26"/>
        </w:rPr>
        <w:t xml:space="preserve">Commission </w:t>
      </w:r>
      <w:r w:rsidR="00A12107">
        <w:rPr>
          <w:sz w:val="26"/>
          <w:szCs w:val="26"/>
        </w:rPr>
        <w:t>r</w:t>
      </w:r>
      <w:r w:rsidRPr="003C2603" w:rsidR="00A12107">
        <w:rPr>
          <w:sz w:val="26"/>
          <w:szCs w:val="26"/>
        </w:rPr>
        <w:t xml:space="preserve">esolutions, </w:t>
      </w:r>
      <w:r w:rsidR="00A12107">
        <w:rPr>
          <w:sz w:val="26"/>
          <w:szCs w:val="26"/>
        </w:rPr>
        <w:t>d</w:t>
      </w:r>
      <w:r w:rsidRPr="003C2603" w:rsidR="00A12107">
        <w:rPr>
          <w:sz w:val="26"/>
          <w:szCs w:val="26"/>
        </w:rPr>
        <w:t xml:space="preserve">ecisions, </w:t>
      </w:r>
      <w:r w:rsidR="00A12107">
        <w:rPr>
          <w:sz w:val="26"/>
          <w:szCs w:val="26"/>
        </w:rPr>
        <w:t>o</w:t>
      </w:r>
      <w:r w:rsidRPr="003C2603" w:rsidR="00A12107">
        <w:rPr>
          <w:sz w:val="26"/>
          <w:szCs w:val="26"/>
        </w:rPr>
        <w:t>rders, and the Public Utilities Code</w:t>
      </w:r>
      <w:r w:rsidR="00A12107">
        <w:rPr>
          <w:sz w:val="26"/>
          <w:szCs w:val="26"/>
        </w:rPr>
        <w:t>.  Penalties are $1,000 for the first event, with each subsequent notice increasing the penalty amount by an additional $200.  Resolution T-17601 adopts noticing, appeal, and other provisions.</w:t>
      </w:r>
      <w:r w:rsidR="00F06B3F">
        <w:rPr>
          <w:rStyle w:val="FootnoteReference"/>
          <w:sz w:val="26"/>
          <w:szCs w:val="26"/>
        </w:rPr>
        <w:footnoteReference w:id="236"/>
      </w:r>
      <w:r w:rsidR="00A12107">
        <w:rPr>
          <w:sz w:val="26"/>
          <w:szCs w:val="26"/>
        </w:rPr>
        <w:t xml:space="preserve">  </w:t>
      </w:r>
    </w:p>
    <w:p w:rsidR="00955171" w:rsidRDefault="00E20D78" w14:paraId="5E8F1287" w14:textId="626E218B">
      <w:pPr>
        <w:pStyle w:val="Standard"/>
        <w:ind w:firstLine="720"/>
        <w:rPr>
          <w:sz w:val="26"/>
          <w:szCs w:val="26"/>
        </w:rPr>
      </w:pPr>
      <w:r>
        <w:rPr>
          <w:sz w:val="26"/>
          <w:szCs w:val="26"/>
        </w:rPr>
        <w:t>T</w:t>
      </w:r>
      <w:r w:rsidR="00955171">
        <w:rPr>
          <w:sz w:val="26"/>
          <w:szCs w:val="26"/>
        </w:rPr>
        <w:t xml:space="preserve">he Commission </w:t>
      </w:r>
      <w:r>
        <w:rPr>
          <w:sz w:val="26"/>
          <w:szCs w:val="26"/>
        </w:rPr>
        <w:t xml:space="preserve">additionally </w:t>
      </w:r>
      <w:r w:rsidR="00955171">
        <w:rPr>
          <w:sz w:val="26"/>
          <w:szCs w:val="26"/>
        </w:rPr>
        <w:t xml:space="preserve">retains enforcement authority for non-compliance with </w:t>
      </w:r>
      <w:r w:rsidR="77AF3D6A">
        <w:rPr>
          <w:sz w:val="26"/>
          <w:szCs w:val="26"/>
        </w:rPr>
        <w:t xml:space="preserve">its </w:t>
      </w:r>
      <w:r w:rsidR="00955171">
        <w:rPr>
          <w:sz w:val="26"/>
          <w:szCs w:val="26"/>
        </w:rPr>
        <w:t xml:space="preserve">decisions, orders, and resolutions </w:t>
      </w:r>
      <w:r w:rsidR="00F06B3F">
        <w:rPr>
          <w:sz w:val="26"/>
          <w:szCs w:val="26"/>
        </w:rPr>
        <w:t xml:space="preserve">pursuant to </w:t>
      </w:r>
      <w:r w:rsidRPr="00FC2879" w:rsidR="00955171">
        <w:rPr>
          <w:sz w:val="26"/>
          <w:szCs w:val="26"/>
        </w:rPr>
        <w:t xml:space="preserve">Public Utilities Code </w:t>
      </w:r>
      <w:r w:rsidR="00955171">
        <w:rPr>
          <w:sz w:val="26"/>
          <w:szCs w:val="26"/>
        </w:rPr>
        <w:t xml:space="preserve">Sections 701, 702, 2101, </w:t>
      </w:r>
      <w:r w:rsidRPr="00FC2879" w:rsidR="00955171">
        <w:rPr>
          <w:sz w:val="26"/>
          <w:szCs w:val="26"/>
        </w:rPr>
        <w:t>2107</w:t>
      </w:r>
      <w:r w:rsidR="00955171">
        <w:rPr>
          <w:sz w:val="26"/>
          <w:szCs w:val="26"/>
        </w:rPr>
        <w:t>, and 2108, amongst others.</w:t>
      </w:r>
      <w:r w:rsidR="008F7BFC">
        <w:rPr>
          <w:rStyle w:val="FootnoteReference"/>
          <w:sz w:val="26"/>
          <w:szCs w:val="26"/>
        </w:rPr>
        <w:footnoteReference w:id="237"/>
      </w:r>
      <w:r w:rsidR="00955171">
        <w:rPr>
          <w:sz w:val="26"/>
          <w:szCs w:val="26"/>
        </w:rPr>
        <w:t xml:space="preserve"> Telecommunications enforcement actions outside of the citation program established in Resolution T-17601 occur </w:t>
      </w:r>
      <w:r w:rsidR="00BB7976">
        <w:rPr>
          <w:sz w:val="26"/>
          <w:szCs w:val="26"/>
        </w:rPr>
        <w:t xml:space="preserve">primarily </w:t>
      </w:r>
      <w:r w:rsidR="00955171">
        <w:rPr>
          <w:sz w:val="26"/>
          <w:szCs w:val="26"/>
        </w:rPr>
        <w:t xml:space="preserve">through issuance and adoption of resolutions.  </w:t>
      </w:r>
    </w:p>
    <w:p w:rsidR="00512190" w:rsidP="006B5421" w:rsidRDefault="009759F7" w14:paraId="43A0F90C" w14:textId="26191859">
      <w:pPr>
        <w:pStyle w:val="Standard"/>
        <w:ind w:firstLine="720"/>
        <w:rPr>
          <w:sz w:val="26"/>
          <w:szCs w:val="26"/>
        </w:rPr>
      </w:pPr>
      <w:r>
        <w:rPr>
          <w:sz w:val="26"/>
          <w:szCs w:val="26"/>
        </w:rPr>
        <w:t xml:space="preserve">With regards to compliance and enforcement, the </w:t>
      </w:r>
      <w:r w:rsidR="006B5421">
        <w:rPr>
          <w:sz w:val="26"/>
          <w:szCs w:val="26"/>
        </w:rPr>
        <w:t>April 2021 ALJ Ruling ask</w:t>
      </w:r>
      <w:r w:rsidR="00F73228">
        <w:rPr>
          <w:sz w:val="26"/>
          <w:szCs w:val="26"/>
        </w:rPr>
        <w:t>ed</w:t>
      </w:r>
      <w:r w:rsidR="001A4026">
        <w:rPr>
          <w:sz w:val="26"/>
          <w:szCs w:val="26"/>
        </w:rPr>
        <w:t>, “[i]</w:t>
      </w:r>
      <w:r w:rsidRPr="00512190" w:rsidR="00512190">
        <w:rPr>
          <w:sz w:val="26"/>
          <w:szCs w:val="26"/>
        </w:rPr>
        <w:t>s the Commission’s current citation process (Resolution T-17601) and enforcement authority (Public Utilities Code Sections 701, 2101, 2107) sufficient to ensure compliance with the Staff Proposal?</w:t>
      </w:r>
      <w:r w:rsidR="001A4026">
        <w:rPr>
          <w:sz w:val="26"/>
          <w:szCs w:val="26"/>
        </w:rPr>
        <w:t>”</w:t>
      </w:r>
    </w:p>
    <w:p w:rsidR="00D946AA" w:rsidP="006B5421" w:rsidRDefault="00D946AA" w14:paraId="3EA09DDE" w14:textId="3DB89179">
      <w:pPr>
        <w:pStyle w:val="Standard"/>
        <w:ind w:firstLine="720"/>
        <w:rPr>
          <w:sz w:val="26"/>
          <w:szCs w:val="26"/>
        </w:rPr>
      </w:pPr>
      <w:r>
        <w:rPr>
          <w:sz w:val="26"/>
          <w:szCs w:val="26"/>
        </w:rPr>
        <w:t xml:space="preserve">This decision affirms </w:t>
      </w:r>
      <w:r w:rsidR="00CA5CB5">
        <w:rPr>
          <w:sz w:val="26"/>
          <w:szCs w:val="26"/>
        </w:rPr>
        <w:t xml:space="preserve">Commission </w:t>
      </w:r>
      <w:r w:rsidRPr="0C84C88A" w:rsidR="27711C3C">
        <w:rPr>
          <w:sz w:val="26"/>
          <w:szCs w:val="26"/>
        </w:rPr>
        <w:t xml:space="preserve">Staff’s </w:t>
      </w:r>
      <w:r w:rsidR="00CA5CB5">
        <w:rPr>
          <w:sz w:val="26"/>
          <w:szCs w:val="26"/>
        </w:rPr>
        <w:t xml:space="preserve">authority to </w:t>
      </w:r>
      <w:r w:rsidRPr="70641067" w:rsidR="73411B8A">
        <w:rPr>
          <w:sz w:val="26"/>
          <w:szCs w:val="26"/>
        </w:rPr>
        <w:t xml:space="preserve">impose </w:t>
      </w:r>
      <w:r w:rsidRPr="70641067" w:rsidR="75E1EDB4">
        <w:rPr>
          <w:sz w:val="26"/>
          <w:szCs w:val="26"/>
        </w:rPr>
        <w:t>fine</w:t>
      </w:r>
      <w:r w:rsidRPr="70641067" w:rsidR="2713BFA7">
        <w:rPr>
          <w:sz w:val="26"/>
          <w:szCs w:val="26"/>
        </w:rPr>
        <w:t>s on</w:t>
      </w:r>
      <w:r w:rsidR="00CA5CB5">
        <w:rPr>
          <w:sz w:val="26"/>
          <w:szCs w:val="26"/>
        </w:rPr>
        <w:t xml:space="preserve"> telephone corporations for failure to comply with this decision</w:t>
      </w:r>
      <w:r w:rsidRPr="70641067" w:rsidR="1D0ED567">
        <w:rPr>
          <w:sz w:val="26"/>
          <w:szCs w:val="26"/>
        </w:rPr>
        <w:t>, in a manner consistent with authority previously delegated to staff in Resolution T-17601</w:t>
      </w:r>
      <w:r w:rsidRPr="70641067" w:rsidR="2CF58CDD">
        <w:rPr>
          <w:sz w:val="26"/>
          <w:szCs w:val="26"/>
        </w:rPr>
        <w:t xml:space="preserve"> and as otherwise set forth below</w:t>
      </w:r>
      <w:r w:rsidR="00CA5CB5">
        <w:rPr>
          <w:sz w:val="26"/>
          <w:szCs w:val="26"/>
        </w:rPr>
        <w:t xml:space="preserve">. </w:t>
      </w:r>
    </w:p>
    <w:p w:rsidR="006B509F" w:rsidP="006B509F" w:rsidRDefault="006B509F" w14:paraId="7D6597D6" w14:textId="1E3E1AA3">
      <w:pPr>
        <w:pStyle w:val="Heading2"/>
      </w:pPr>
      <w:bookmarkStart w:name="_Toc80089418" w:id="61"/>
      <w:r>
        <w:lastRenderedPageBreak/>
        <w:t>8.1</w:t>
      </w:r>
      <w:r>
        <w:tab/>
        <w:t>Party Comments</w:t>
      </w:r>
      <w:bookmarkEnd w:id="61"/>
      <w:r>
        <w:t xml:space="preserve"> </w:t>
      </w:r>
    </w:p>
    <w:p w:rsidR="006B509F" w:rsidP="006B509F" w:rsidRDefault="006D5CE8" w14:paraId="6B1D2B21" w14:textId="1D10AFC8">
      <w:pPr>
        <w:pStyle w:val="Standard"/>
        <w:ind w:firstLine="720"/>
        <w:rPr>
          <w:sz w:val="26"/>
          <w:szCs w:val="26"/>
        </w:rPr>
      </w:pPr>
      <w:r>
        <w:rPr>
          <w:sz w:val="26"/>
          <w:szCs w:val="26"/>
        </w:rPr>
        <w:t>T</w:t>
      </w:r>
      <w:r w:rsidR="00121905">
        <w:rPr>
          <w:sz w:val="26"/>
          <w:szCs w:val="26"/>
        </w:rPr>
        <w:t xml:space="preserve">he Justice Coalition, Securus, and NCIC Inmate Communications </w:t>
      </w:r>
      <w:r w:rsidR="00D45750">
        <w:rPr>
          <w:sz w:val="26"/>
          <w:szCs w:val="26"/>
        </w:rPr>
        <w:t>comment t</w:t>
      </w:r>
      <w:r w:rsidR="00121905">
        <w:rPr>
          <w:sz w:val="26"/>
          <w:szCs w:val="26"/>
        </w:rPr>
        <w:t xml:space="preserve">hat the Commission’s existing citation process </w:t>
      </w:r>
      <w:r w:rsidR="00DA6048">
        <w:rPr>
          <w:sz w:val="26"/>
          <w:szCs w:val="26"/>
        </w:rPr>
        <w:t>and enfor</w:t>
      </w:r>
      <w:r w:rsidR="008D00C7">
        <w:rPr>
          <w:sz w:val="26"/>
          <w:szCs w:val="26"/>
        </w:rPr>
        <w:t xml:space="preserve">cement authority </w:t>
      </w:r>
      <w:r w:rsidR="00121905">
        <w:rPr>
          <w:sz w:val="26"/>
          <w:szCs w:val="26"/>
        </w:rPr>
        <w:t>is sufficient</w:t>
      </w:r>
      <w:r w:rsidR="009759F7">
        <w:rPr>
          <w:sz w:val="26"/>
          <w:szCs w:val="26"/>
        </w:rPr>
        <w:t xml:space="preserve">.  </w:t>
      </w:r>
    </w:p>
    <w:p w:rsidR="00831AE4" w:rsidP="004D7EB0" w:rsidRDefault="00DA6048" w14:paraId="7509A327" w14:textId="28C5B571">
      <w:pPr>
        <w:pStyle w:val="Standard"/>
        <w:ind w:firstLine="720"/>
        <w:rPr>
          <w:sz w:val="26"/>
          <w:szCs w:val="26"/>
        </w:rPr>
      </w:pPr>
      <w:r>
        <w:rPr>
          <w:sz w:val="26"/>
          <w:szCs w:val="26"/>
        </w:rPr>
        <w:t>Cal Advocates state</w:t>
      </w:r>
      <w:r w:rsidR="009759F7">
        <w:rPr>
          <w:sz w:val="26"/>
          <w:szCs w:val="26"/>
        </w:rPr>
        <w:t xml:space="preserve">s </w:t>
      </w:r>
      <w:r>
        <w:rPr>
          <w:sz w:val="26"/>
          <w:szCs w:val="26"/>
        </w:rPr>
        <w:t>that the Commission’s e</w:t>
      </w:r>
      <w:r w:rsidR="00D45750">
        <w:rPr>
          <w:sz w:val="26"/>
          <w:szCs w:val="26"/>
        </w:rPr>
        <w:t xml:space="preserve">xisting citation process and enforcement authority is not </w:t>
      </w:r>
      <w:r w:rsidR="007C305D">
        <w:rPr>
          <w:sz w:val="26"/>
          <w:szCs w:val="26"/>
        </w:rPr>
        <w:t>sufficient,</w:t>
      </w:r>
      <w:r w:rsidR="00D45750">
        <w:rPr>
          <w:sz w:val="26"/>
          <w:szCs w:val="26"/>
        </w:rPr>
        <w:t xml:space="preserve"> and the Commission should revise Resolution T-17601 to i</w:t>
      </w:r>
      <w:r w:rsidR="00447EB0">
        <w:rPr>
          <w:sz w:val="26"/>
          <w:szCs w:val="26"/>
        </w:rPr>
        <w:t xml:space="preserve">dentify </w:t>
      </w:r>
      <w:r w:rsidR="00D45750">
        <w:rPr>
          <w:sz w:val="26"/>
          <w:szCs w:val="26"/>
        </w:rPr>
        <w:t>specific violations related to IPCS interim rate relief</w:t>
      </w:r>
      <w:r w:rsidR="00447EB0">
        <w:rPr>
          <w:sz w:val="26"/>
          <w:szCs w:val="26"/>
        </w:rPr>
        <w:t xml:space="preserve"> and the amount of each penalty.</w:t>
      </w:r>
      <w:r w:rsidR="00447EB0">
        <w:rPr>
          <w:rStyle w:val="FootnoteReference"/>
          <w:sz w:val="26"/>
          <w:szCs w:val="26"/>
        </w:rPr>
        <w:footnoteReference w:id="238"/>
      </w:r>
      <w:r w:rsidR="00D45750">
        <w:rPr>
          <w:sz w:val="26"/>
          <w:szCs w:val="26"/>
        </w:rPr>
        <w:t xml:space="preserve">  Cal Advocates recommends </w:t>
      </w:r>
      <w:r w:rsidR="00BF17C5">
        <w:rPr>
          <w:sz w:val="26"/>
          <w:szCs w:val="26"/>
        </w:rPr>
        <w:t xml:space="preserve">the Commission set a penalty of $1,000 per </w:t>
      </w:r>
      <w:r w:rsidR="00743E56">
        <w:rPr>
          <w:sz w:val="26"/>
          <w:szCs w:val="26"/>
        </w:rPr>
        <w:t>violation</w:t>
      </w:r>
      <w:r w:rsidR="00CD22EC">
        <w:rPr>
          <w:sz w:val="26"/>
          <w:szCs w:val="26"/>
        </w:rPr>
        <w:t xml:space="preserve"> per facility for an IPCS provider charging over </w:t>
      </w:r>
      <w:r w:rsidR="00794C8B">
        <w:rPr>
          <w:sz w:val="26"/>
          <w:szCs w:val="26"/>
        </w:rPr>
        <w:t xml:space="preserve">an adopted </w:t>
      </w:r>
      <w:r w:rsidR="00CD22EC">
        <w:rPr>
          <w:sz w:val="26"/>
          <w:szCs w:val="26"/>
        </w:rPr>
        <w:t xml:space="preserve">rate cap or </w:t>
      </w:r>
      <w:r w:rsidR="003839F3">
        <w:rPr>
          <w:sz w:val="26"/>
          <w:szCs w:val="26"/>
        </w:rPr>
        <w:t xml:space="preserve">for collecting </w:t>
      </w:r>
      <w:r w:rsidR="00CD22EC">
        <w:rPr>
          <w:sz w:val="26"/>
          <w:szCs w:val="26"/>
        </w:rPr>
        <w:t xml:space="preserve">any unauthorized ancillary </w:t>
      </w:r>
      <w:r w:rsidR="00CB2FE8">
        <w:rPr>
          <w:sz w:val="26"/>
          <w:szCs w:val="26"/>
        </w:rPr>
        <w:t>fees.</w:t>
      </w:r>
      <w:r w:rsidR="00CB2FE8">
        <w:rPr>
          <w:rStyle w:val="FootnoteReference"/>
          <w:sz w:val="26"/>
          <w:szCs w:val="26"/>
        </w:rPr>
        <w:footnoteReference w:id="239"/>
      </w:r>
      <w:r w:rsidR="003F5F7D">
        <w:rPr>
          <w:sz w:val="26"/>
          <w:szCs w:val="26"/>
        </w:rPr>
        <w:t xml:space="preserve">  </w:t>
      </w:r>
      <w:r w:rsidR="006B509F">
        <w:rPr>
          <w:sz w:val="26"/>
          <w:szCs w:val="26"/>
        </w:rPr>
        <w:t xml:space="preserve">Cal Advocates </w:t>
      </w:r>
      <w:r w:rsidR="00447EB0">
        <w:rPr>
          <w:sz w:val="26"/>
          <w:szCs w:val="26"/>
        </w:rPr>
        <w:t xml:space="preserve">further </w:t>
      </w:r>
      <w:r w:rsidR="004D7EB0">
        <w:rPr>
          <w:sz w:val="26"/>
          <w:szCs w:val="26"/>
        </w:rPr>
        <w:t xml:space="preserve">recommends </w:t>
      </w:r>
      <w:r w:rsidR="006B509F">
        <w:rPr>
          <w:sz w:val="26"/>
          <w:szCs w:val="26"/>
        </w:rPr>
        <w:t>the</w:t>
      </w:r>
      <w:r w:rsidR="004D7EB0">
        <w:rPr>
          <w:sz w:val="26"/>
          <w:szCs w:val="26"/>
        </w:rPr>
        <w:t xml:space="preserve"> </w:t>
      </w:r>
      <w:r w:rsidRPr="004462F3" w:rsidR="004462F3">
        <w:rPr>
          <w:sz w:val="26"/>
          <w:szCs w:val="26"/>
        </w:rPr>
        <w:t xml:space="preserve">Commission clarify whether violations would be determined by Staff audits or based on consumer complaints. </w:t>
      </w:r>
      <w:r w:rsidR="006D5CE8">
        <w:rPr>
          <w:sz w:val="26"/>
          <w:szCs w:val="26"/>
        </w:rPr>
        <w:t xml:space="preserve"> </w:t>
      </w:r>
    </w:p>
    <w:p w:rsidR="004462F3" w:rsidRDefault="004D7EB0" w14:paraId="7AAAA0BF" w14:textId="2DAA2299">
      <w:pPr>
        <w:pStyle w:val="Standard"/>
        <w:ind w:firstLine="720"/>
        <w:rPr>
          <w:sz w:val="26"/>
          <w:szCs w:val="26"/>
        </w:rPr>
      </w:pPr>
      <w:r>
        <w:rPr>
          <w:sz w:val="26"/>
          <w:szCs w:val="26"/>
        </w:rPr>
        <w:t xml:space="preserve">Cal Advocates </w:t>
      </w:r>
      <w:r w:rsidR="00831AE4">
        <w:rPr>
          <w:sz w:val="26"/>
          <w:szCs w:val="26"/>
        </w:rPr>
        <w:t xml:space="preserve">states </w:t>
      </w:r>
      <w:r>
        <w:rPr>
          <w:sz w:val="26"/>
          <w:szCs w:val="26"/>
        </w:rPr>
        <w:t>that some IPCS providers may have been skirting the intent of the FCC’s 201</w:t>
      </w:r>
      <w:r w:rsidR="00F73228">
        <w:rPr>
          <w:sz w:val="26"/>
          <w:szCs w:val="26"/>
        </w:rPr>
        <w:t>5</w:t>
      </w:r>
      <w:r>
        <w:rPr>
          <w:sz w:val="26"/>
          <w:szCs w:val="26"/>
        </w:rPr>
        <w:t xml:space="preserve"> Order adopting ancillary service fees by cooperating to charge higher than normal single-call and third-party financial transaction fees (see section 7.3).  As a result, Cal Advocates urges the Commission to vigorously enforce any single-call or third-party financial transaction fee requirements </w:t>
      </w:r>
      <w:r w:rsidR="004C74B7">
        <w:rPr>
          <w:sz w:val="26"/>
          <w:szCs w:val="26"/>
        </w:rPr>
        <w:t xml:space="preserve">by </w:t>
      </w:r>
      <w:r>
        <w:rPr>
          <w:sz w:val="26"/>
          <w:szCs w:val="26"/>
        </w:rPr>
        <w:t>adopt</w:t>
      </w:r>
      <w:r w:rsidR="004C74B7">
        <w:rPr>
          <w:sz w:val="26"/>
          <w:szCs w:val="26"/>
        </w:rPr>
        <w:t xml:space="preserve">ing </w:t>
      </w:r>
      <w:r w:rsidRPr="003F5F7D">
        <w:rPr>
          <w:sz w:val="26"/>
          <w:szCs w:val="26"/>
        </w:rPr>
        <w:t>robust enforcement provisions in Phase II of this proceeding.</w:t>
      </w:r>
      <w:r>
        <w:rPr>
          <w:rStyle w:val="FootnoteReference"/>
          <w:sz w:val="26"/>
          <w:szCs w:val="26"/>
        </w:rPr>
        <w:footnoteReference w:id="240"/>
      </w:r>
      <w:r w:rsidR="004C74B7">
        <w:rPr>
          <w:sz w:val="26"/>
          <w:szCs w:val="26"/>
        </w:rPr>
        <w:t xml:space="preserve"> </w:t>
      </w:r>
      <w:r w:rsidR="00831AE4">
        <w:rPr>
          <w:sz w:val="26"/>
          <w:szCs w:val="26"/>
        </w:rPr>
        <w:t>Cal</w:t>
      </w:r>
      <w:r w:rsidR="009B44CC">
        <w:rPr>
          <w:sz w:val="26"/>
          <w:szCs w:val="26"/>
        </w:rPr>
        <w:t> </w:t>
      </w:r>
      <w:r w:rsidR="00831AE4">
        <w:rPr>
          <w:sz w:val="26"/>
          <w:szCs w:val="26"/>
        </w:rPr>
        <w:t xml:space="preserve">Advocates argues the </w:t>
      </w:r>
      <w:r w:rsidRPr="004462F3" w:rsidR="00831AE4">
        <w:rPr>
          <w:sz w:val="26"/>
          <w:szCs w:val="26"/>
        </w:rPr>
        <w:t>Commission should utilize Pub</w:t>
      </w:r>
      <w:r w:rsidR="00831AE4">
        <w:rPr>
          <w:sz w:val="26"/>
          <w:szCs w:val="26"/>
        </w:rPr>
        <w:t xml:space="preserve">lic Utilities </w:t>
      </w:r>
      <w:r w:rsidRPr="004462F3" w:rsidR="00831AE4">
        <w:rPr>
          <w:sz w:val="26"/>
          <w:szCs w:val="26"/>
        </w:rPr>
        <w:t xml:space="preserve">Code </w:t>
      </w:r>
      <w:r w:rsidR="00831AE4">
        <w:rPr>
          <w:sz w:val="26"/>
          <w:szCs w:val="26"/>
        </w:rPr>
        <w:t xml:space="preserve">Section </w:t>
      </w:r>
      <w:r w:rsidRPr="004462F3" w:rsidR="00831AE4">
        <w:rPr>
          <w:sz w:val="26"/>
          <w:szCs w:val="26"/>
        </w:rPr>
        <w:t>734 to require I</w:t>
      </w:r>
      <w:r w:rsidR="00831AE4">
        <w:rPr>
          <w:sz w:val="26"/>
          <w:szCs w:val="26"/>
        </w:rPr>
        <w:t>P</w:t>
      </w:r>
      <w:r w:rsidRPr="004462F3" w:rsidR="00831AE4">
        <w:rPr>
          <w:sz w:val="26"/>
          <w:szCs w:val="26"/>
        </w:rPr>
        <w:t>CS providers to make reparations for excess charges.</w:t>
      </w:r>
    </w:p>
    <w:p w:rsidR="00D838F8" w:rsidP="004D7EB0" w:rsidRDefault="00D838F8" w14:paraId="7930880D" w14:textId="0C3AB70B">
      <w:pPr>
        <w:pStyle w:val="Standard"/>
        <w:ind w:firstLine="720"/>
        <w:rPr>
          <w:sz w:val="26"/>
          <w:szCs w:val="26"/>
        </w:rPr>
      </w:pPr>
      <w:r>
        <w:rPr>
          <w:sz w:val="26"/>
          <w:szCs w:val="26"/>
        </w:rPr>
        <w:t>TURN supports consideration of Cal Advocates’ proposals.</w:t>
      </w:r>
      <w:r w:rsidR="008008D9">
        <w:rPr>
          <w:sz w:val="26"/>
          <w:szCs w:val="26"/>
        </w:rPr>
        <w:t xml:space="preserve"> </w:t>
      </w:r>
      <w:r w:rsidR="00EB3F8F">
        <w:rPr>
          <w:sz w:val="26"/>
          <w:szCs w:val="26"/>
        </w:rPr>
        <w:t xml:space="preserve"> </w:t>
      </w:r>
      <w:r w:rsidR="008008D9">
        <w:rPr>
          <w:sz w:val="26"/>
          <w:szCs w:val="26"/>
        </w:rPr>
        <w:t xml:space="preserve">GTL, the Prison Policy Initiative, Pay Tel, and Verizon did not respond to this question. </w:t>
      </w:r>
    </w:p>
    <w:p w:rsidRPr="004462F3" w:rsidR="006B509F" w:rsidP="00C76D46" w:rsidRDefault="006B509F" w14:paraId="4F8B8D28" w14:textId="26806122">
      <w:pPr>
        <w:pStyle w:val="Heading2"/>
        <w:rPr>
          <w:rFonts w:ascii="Book Antiqua" w:hAnsi="Book Antiqua"/>
        </w:rPr>
      </w:pPr>
      <w:bookmarkStart w:name="_Toc80089419" w:id="62"/>
      <w:r>
        <w:lastRenderedPageBreak/>
        <w:t>8.2</w:t>
      </w:r>
      <w:r w:rsidR="00C76D46">
        <w:tab/>
        <w:t>Enforcement Authorization</w:t>
      </w:r>
      <w:r w:rsidR="005F0159">
        <w:t xml:space="preserve"> </w:t>
      </w:r>
      <w:r w:rsidR="007C1AA0">
        <w:t xml:space="preserve">for </w:t>
      </w:r>
      <w:r w:rsidR="009B44CC">
        <w:br/>
      </w:r>
      <w:r w:rsidR="007C1AA0">
        <w:t>Instances of Non-Compliance</w:t>
      </w:r>
      <w:bookmarkEnd w:id="62"/>
    </w:p>
    <w:p w:rsidR="008F7BFC" w:rsidP="003133AC" w:rsidRDefault="00A12107" w14:paraId="1F8CCF63" w14:textId="3CCDD793">
      <w:pPr>
        <w:pStyle w:val="Standard"/>
        <w:ind w:firstLine="720"/>
        <w:rPr>
          <w:sz w:val="26"/>
          <w:szCs w:val="26"/>
        </w:rPr>
      </w:pPr>
      <w:r w:rsidRPr="00472730">
        <w:rPr>
          <w:sz w:val="26"/>
          <w:szCs w:val="26"/>
        </w:rPr>
        <w:t>We</w:t>
      </w:r>
      <w:r w:rsidRPr="00472730" w:rsidR="00996FD2">
        <w:rPr>
          <w:sz w:val="26"/>
          <w:szCs w:val="26"/>
        </w:rPr>
        <w:t xml:space="preserve"> authorize</w:t>
      </w:r>
      <w:r w:rsidRPr="5BF5B736" w:rsidR="14B450F1">
        <w:rPr>
          <w:sz w:val="26"/>
          <w:szCs w:val="26"/>
        </w:rPr>
        <w:t xml:space="preserve"> </w:t>
      </w:r>
      <w:r w:rsidRPr="5BF5B736" w:rsidR="65F11837">
        <w:rPr>
          <w:sz w:val="26"/>
          <w:szCs w:val="26"/>
        </w:rPr>
        <w:t>the Commission’s</w:t>
      </w:r>
      <w:r w:rsidRPr="00472730" w:rsidR="00996FD2">
        <w:rPr>
          <w:sz w:val="26"/>
          <w:szCs w:val="26"/>
        </w:rPr>
        <w:t xml:space="preserve"> Communications Division to </w:t>
      </w:r>
      <w:r w:rsidRPr="00472730" w:rsidR="00394C54">
        <w:rPr>
          <w:sz w:val="26"/>
          <w:szCs w:val="26"/>
        </w:rPr>
        <w:t xml:space="preserve">assess fines pursuant to </w:t>
      </w:r>
      <w:r w:rsidR="00710579">
        <w:rPr>
          <w:sz w:val="26"/>
          <w:szCs w:val="26"/>
        </w:rPr>
        <w:t xml:space="preserve">Resolution T-17601 </w:t>
      </w:r>
      <w:r w:rsidRPr="00472730" w:rsidR="00394C54">
        <w:rPr>
          <w:sz w:val="26"/>
          <w:szCs w:val="26"/>
        </w:rPr>
        <w:t>and P</w:t>
      </w:r>
      <w:r w:rsidR="00710579">
        <w:rPr>
          <w:sz w:val="26"/>
          <w:szCs w:val="26"/>
        </w:rPr>
        <w:t xml:space="preserve">ublic Utilities Code Sections </w:t>
      </w:r>
      <w:r w:rsidRPr="00472730" w:rsidR="00394C54">
        <w:rPr>
          <w:sz w:val="26"/>
          <w:szCs w:val="26"/>
        </w:rPr>
        <w:t>2107 and 2108</w:t>
      </w:r>
      <w:r w:rsidR="00AF415E">
        <w:rPr>
          <w:sz w:val="26"/>
          <w:szCs w:val="26"/>
        </w:rPr>
        <w:t xml:space="preserve"> for </w:t>
      </w:r>
      <w:r w:rsidRPr="5BF5B736" w:rsidR="6FEB775B">
        <w:rPr>
          <w:sz w:val="26"/>
          <w:szCs w:val="26"/>
        </w:rPr>
        <w:t>any IPCS</w:t>
      </w:r>
      <w:r w:rsidR="00A01A0D">
        <w:rPr>
          <w:sz w:val="26"/>
          <w:szCs w:val="26"/>
        </w:rPr>
        <w:t xml:space="preserve"> provider’s </w:t>
      </w:r>
      <w:r w:rsidRPr="5BF5B736" w:rsidR="6FEB775B">
        <w:rPr>
          <w:sz w:val="26"/>
          <w:szCs w:val="26"/>
        </w:rPr>
        <w:t>failure to comply</w:t>
      </w:r>
      <w:r w:rsidR="00AF415E">
        <w:rPr>
          <w:sz w:val="26"/>
          <w:szCs w:val="26"/>
        </w:rPr>
        <w:t xml:space="preserve"> with this decision</w:t>
      </w:r>
      <w:r w:rsidR="00EC0A95">
        <w:rPr>
          <w:sz w:val="26"/>
          <w:szCs w:val="26"/>
        </w:rPr>
        <w:t>.</w:t>
      </w:r>
      <w:r w:rsidR="00AF415E">
        <w:rPr>
          <w:sz w:val="26"/>
          <w:szCs w:val="26"/>
        </w:rPr>
        <w:t xml:space="preserve">  </w:t>
      </w:r>
    </w:p>
    <w:p w:rsidR="008F7BFC" w:rsidP="003133AC" w:rsidRDefault="004D111A" w14:paraId="3AA17580" w14:textId="7AB7CA70">
      <w:pPr>
        <w:pStyle w:val="Standard"/>
        <w:ind w:firstLine="720"/>
        <w:rPr>
          <w:sz w:val="26"/>
          <w:szCs w:val="26"/>
        </w:rPr>
      </w:pPr>
      <w:r>
        <w:rPr>
          <w:sz w:val="26"/>
          <w:szCs w:val="26"/>
        </w:rPr>
        <w:t>In the case of non-compliance with this decision’s requirement for submittal of Notices of Compliance</w:t>
      </w:r>
      <w:r w:rsidR="00CB515C">
        <w:rPr>
          <w:sz w:val="26"/>
          <w:szCs w:val="26"/>
        </w:rPr>
        <w:t xml:space="preserve">, as well as the </w:t>
      </w:r>
      <w:r w:rsidRPr="001856C2" w:rsidR="00CB515C">
        <w:rPr>
          <w:sz w:val="26"/>
          <w:szCs w:val="26"/>
        </w:rPr>
        <w:t>Plan for Notification to all current and prospective customers and account holders</w:t>
      </w:r>
      <w:r w:rsidR="00CB515C">
        <w:rPr>
          <w:sz w:val="26"/>
          <w:szCs w:val="26"/>
        </w:rPr>
        <w:t xml:space="preserve">, </w:t>
      </w:r>
      <w:r w:rsidRPr="001856C2" w:rsidR="00CB515C">
        <w:rPr>
          <w:sz w:val="26"/>
          <w:szCs w:val="26"/>
        </w:rPr>
        <w:t>draft notices of the adopted ancillary fee requirements, terms and conditions, refund policies and customer service contacts for websites, bill inserts, and marketing materials to the Commission</w:t>
      </w:r>
      <w:r w:rsidR="00CB515C">
        <w:rPr>
          <w:sz w:val="26"/>
          <w:szCs w:val="26"/>
        </w:rPr>
        <w:t xml:space="preserve"> discussed in </w:t>
      </w:r>
      <w:r w:rsidR="009B44CC">
        <w:rPr>
          <w:sz w:val="26"/>
          <w:szCs w:val="26"/>
        </w:rPr>
        <w:t>S</w:t>
      </w:r>
      <w:r w:rsidR="00CB515C">
        <w:rPr>
          <w:sz w:val="26"/>
          <w:szCs w:val="26"/>
        </w:rPr>
        <w:t>ection</w:t>
      </w:r>
      <w:r w:rsidR="001A7849">
        <w:rPr>
          <w:sz w:val="26"/>
          <w:szCs w:val="26"/>
        </w:rPr>
        <w:t xml:space="preserve"> 7.4</w:t>
      </w:r>
      <w:r w:rsidR="00CB515C">
        <w:rPr>
          <w:sz w:val="26"/>
          <w:szCs w:val="26"/>
        </w:rPr>
        <w:t>, Staff shall</w:t>
      </w:r>
      <w:r w:rsidR="00DC1DE4">
        <w:rPr>
          <w:sz w:val="26"/>
          <w:szCs w:val="26"/>
        </w:rPr>
        <w:t xml:space="preserve"> refer to </w:t>
      </w:r>
      <w:r w:rsidR="00A01508">
        <w:rPr>
          <w:sz w:val="26"/>
          <w:szCs w:val="26"/>
        </w:rPr>
        <w:t>Resolution T-17601</w:t>
      </w:r>
      <w:r w:rsidR="007C1AA0">
        <w:rPr>
          <w:sz w:val="26"/>
          <w:szCs w:val="26"/>
        </w:rPr>
        <w:t xml:space="preserve"> for guidance.  </w:t>
      </w:r>
    </w:p>
    <w:p w:rsidR="009B3DB6" w:rsidP="00472730" w:rsidRDefault="007C1AA0" w14:paraId="3454F877" w14:textId="408E73C3">
      <w:pPr>
        <w:pStyle w:val="Standard"/>
        <w:ind w:firstLine="720"/>
        <w:rPr>
          <w:sz w:val="26"/>
          <w:szCs w:val="26"/>
        </w:rPr>
      </w:pPr>
      <w:r>
        <w:rPr>
          <w:sz w:val="26"/>
          <w:szCs w:val="26"/>
        </w:rPr>
        <w:t xml:space="preserve">In the case of non-compliance with this decision’s rate and ancillary fee requirements, </w:t>
      </w:r>
      <w:r w:rsidR="00F372C8">
        <w:rPr>
          <w:sz w:val="26"/>
          <w:szCs w:val="26"/>
        </w:rPr>
        <w:t>S</w:t>
      </w:r>
      <w:r>
        <w:rPr>
          <w:sz w:val="26"/>
          <w:szCs w:val="26"/>
        </w:rPr>
        <w:t xml:space="preserve">taff </w:t>
      </w:r>
      <w:r w:rsidR="0093746A">
        <w:rPr>
          <w:sz w:val="26"/>
          <w:szCs w:val="26"/>
        </w:rPr>
        <w:t>shall</w:t>
      </w:r>
      <w:r w:rsidR="00F372C8">
        <w:rPr>
          <w:sz w:val="26"/>
          <w:szCs w:val="26"/>
        </w:rPr>
        <w:t xml:space="preserve"> </w:t>
      </w:r>
      <w:r w:rsidR="003810D3">
        <w:rPr>
          <w:sz w:val="26"/>
          <w:szCs w:val="26"/>
        </w:rPr>
        <w:t xml:space="preserve">develop a </w:t>
      </w:r>
      <w:r w:rsidR="00BE04B7">
        <w:rPr>
          <w:sz w:val="26"/>
          <w:szCs w:val="26"/>
        </w:rPr>
        <w:t>resolution</w:t>
      </w:r>
      <w:r w:rsidR="00110848">
        <w:rPr>
          <w:sz w:val="26"/>
          <w:szCs w:val="26"/>
        </w:rPr>
        <w:t xml:space="preserve"> </w:t>
      </w:r>
      <w:r w:rsidR="005769A4">
        <w:rPr>
          <w:sz w:val="26"/>
          <w:szCs w:val="26"/>
        </w:rPr>
        <w:t xml:space="preserve">proposing </w:t>
      </w:r>
      <w:r w:rsidR="00F372C8">
        <w:rPr>
          <w:sz w:val="26"/>
          <w:szCs w:val="26"/>
        </w:rPr>
        <w:t xml:space="preserve">fines </w:t>
      </w:r>
      <w:r w:rsidR="006F7A82">
        <w:rPr>
          <w:sz w:val="26"/>
          <w:szCs w:val="26"/>
        </w:rPr>
        <w:t xml:space="preserve">as authorized </w:t>
      </w:r>
      <w:r w:rsidR="003133AC">
        <w:rPr>
          <w:sz w:val="26"/>
          <w:szCs w:val="26"/>
        </w:rPr>
        <w:t xml:space="preserve">pursuant </w:t>
      </w:r>
      <w:r w:rsidR="0093746A">
        <w:rPr>
          <w:sz w:val="26"/>
          <w:szCs w:val="26"/>
        </w:rPr>
        <w:t xml:space="preserve">to </w:t>
      </w:r>
      <w:r w:rsidRPr="5EEAF8D1" w:rsidR="0E19B814">
        <w:rPr>
          <w:sz w:val="26"/>
          <w:szCs w:val="26"/>
        </w:rPr>
        <w:t>Pub</w:t>
      </w:r>
      <w:r w:rsidR="00A01A0D">
        <w:rPr>
          <w:sz w:val="26"/>
          <w:szCs w:val="26"/>
        </w:rPr>
        <w:t>lic</w:t>
      </w:r>
      <w:r w:rsidRPr="5EEAF8D1" w:rsidR="0E19B814">
        <w:rPr>
          <w:sz w:val="26"/>
          <w:szCs w:val="26"/>
        </w:rPr>
        <w:t xml:space="preserve"> Util</w:t>
      </w:r>
      <w:r w:rsidR="00A01A0D">
        <w:rPr>
          <w:sz w:val="26"/>
          <w:szCs w:val="26"/>
        </w:rPr>
        <w:t>ities</w:t>
      </w:r>
      <w:r w:rsidRPr="5EEAF8D1" w:rsidR="0E19B814">
        <w:rPr>
          <w:sz w:val="26"/>
          <w:szCs w:val="26"/>
        </w:rPr>
        <w:t xml:space="preserve"> Code </w:t>
      </w:r>
      <w:r w:rsidR="0093746A">
        <w:rPr>
          <w:sz w:val="26"/>
          <w:szCs w:val="26"/>
        </w:rPr>
        <w:t>Sections 2107 and 2108</w:t>
      </w:r>
      <w:r w:rsidR="003133AC">
        <w:rPr>
          <w:sz w:val="26"/>
          <w:szCs w:val="26"/>
        </w:rPr>
        <w:t>.</w:t>
      </w:r>
    </w:p>
    <w:p w:rsidRPr="00734917" w:rsidR="00734917" w:rsidP="00472730" w:rsidRDefault="00D32F60" w14:paraId="71B4A474" w14:textId="72FE23BE">
      <w:pPr>
        <w:pStyle w:val="Standard"/>
        <w:ind w:firstLine="720"/>
      </w:pPr>
      <w:r>
        <w:rPr>
          <w:sz w:val="26"/>
          <w:szCs w:val="26"/>
        </w:rPr>
        <w:t xml:space="preserve">The record in this proceeding indicates instances of apparent circumvention of the intent of the FCC’s </w:t>
      </w:r>
      <w:r w:rsidR="009B3DB6">
        <w:rPr>
          <w:sz w:val="26"/>
          <w:szCs w:val="26"/>
        </w:rPr>
        <w:t xml:space="preserve">interstate IPCS rate caps and ancillary fee requirements.  Thus, it is useful to affirm Staff and this Commission’s authority </w:t>
      </w:r>
      <w:r w:rsidRPr="484B8F2E" w:rsidR="2ADD2F87">
        <w:rPr>
          <w:sz w:val="26"/>
          <w:szCs w:val="26"/>
        </w:rPr>
        <w:t>to enforce</w:t>
      </w:r>
      <w:r w:rsidR="009B3DB6">
        <w:rPr>
          <w:sz w:val="26"/>
          <w:szCs w:val="26"/>
        </w:rPr>
        <w:t xml:space="preserve"> the interim rate caps and ancillary fee requirements adopted here. </w:t>
      </w:r>
      <w:r w:rsidR="0026769C">
        <w:rPr>
          <w:sz w:val="26"/>
          <w:szCs w:val="26"/>
        </w:rPr>
        <w:t xml:space="preserve"> The </w:t>
      </w:r>
      <w:r w:rsidRPr="484B8F2E" w:rsidR="3F012702">
        <w:rPr>
          <w:sz w:val="26"/>
          <w:szCs w:val="26"/>
        </w:rPr>
        <w:t xml:space="preserve">Commission </w:t>
      </w:r>
      <w:r w:rsidR="00347AE1">
        <w:rPr>
          <w:sz w:val="26"/>
          <w:szCs w:val="26"/>
        </w:rPr>
        <w:t xml:space="preserve">is intent on ensuring </w:t>
      </w:r>
      <w:r w:rsidRPr="484B8F2E" w:rsidR="3F012702">
        <w:rPr>
          <w:sz w:val="26"/>
          <w:szCs w:val="26"/>
        </w:rPr>
        <w:t>compliance</w:t>
      </w:r>
      <w:r w:rsidR="00347AE1">
        <w:rPr>
          <w:sz w:val="26"/>
          <w:szCs w:val="26"/>
        </w:rPr>
        <w:t xml:space="preserve"> with this decision </w:t>
      </w:r>
      <w:r w:rsidR="0059200B">
        <w:rPr>
          <w:sz w:val="26"/>
          <w:szCs w:val="26"/>
        </w:rPr>
        <w:t>and will investigate and act on</w:t>
      </w:r>
      <w:r w:rsidRPr="484B8F2E" w:rsidR="3F012702">
        <w:rPr>
          <w:sz w:val="26"/>
          <w:szCs w:val="26"/>
        </w:rPr>
        <w:t xml:space="preserve"> any effort to circumvent the requiremen</w:t>
      </w:r>
      <w:r w:rsidRPr="484B8F2E" w:rsidR="65D0A63F">
        <w:rPr>
          <w:sz w:val="26"/>
          <w:szCs w:val="26"/>
        </w:rPr>
        <w:t xml:space="preserve">ts adopted here.  </w:t>
      </w:r>
      <w:r w:rsidR="006A0E4D">
        <w:rPr>
          <w:sz w:val="26"/>
          <w:szCs w:val="26"/>
        </w:rPr>
        <w:t xml:space="preserve">We may consider </w:t>
      </w:r>
      <w:r w:rsidR="00693B72">
        <w:rPr>
          <w:sz w:val="26"/>
          <w:szCs w:val="26"/>
        </w:rPr>
        <w:t xml:space="preserve">additional enforcement enhancements to </w:t>
      </w:r>
      <w:r w:rsidRPr="484B8F2E" w:rsidR="32A03976">
        <w:rPr>
          <w:sz w:val="26"/>
          <w:szCs w:val="26"/>
        </w:rPr>
        <w:t>ensure</w:t>
      </w:r>
      <w:r w:rsidR="00693B72">
        <w:rPr>
          <w:sz w:val="26"/>
          <w:szCs w:val="26"/>
        </w:rPr>
        <w:t xml:space="preserve"> compliance with this decision later in this proceeding. </w:t>
      </w:r>
    </w:p>
    <w:p w:rsidRPr="00575FDA" w:rsidR="001C60FB" w:rsidP="00887841" w:rsidRDefault="00D03C84" w14:paraId="39E3EE1E" w14:textId="0909C8D4">
      <w:pPr>
        <w:pStyle w:val="Heading1"/>
        <w:numPr>
          <w:ilvl w:val="0"/>
          <w:numId w:val="1"/>
        </w:numPr>
      </w:pPr>
      <w:bookmarkStart w:name="_Toc80089420" w:id="63"/>
      <w:r>
        <w:t xml:space="preserve">Commission Environmental and </w:t>
      </w:r>
      <w:r w:rsidR="000B586D">
        <w:br/>
      </w:r>
      <w:r>
        <w:t>Social Justice Action Plan</w:t>
      </w:r>
      <w:bookmarkEnd w:id="63"/>
      <w:r>
        <w:t xml:space="preserve"> </w:t>
      </w:r>
    </w:p>
    <w:p w:rsidR="001C60FB" w:rsidP="00887841" w:rsidRDefault="00D03C84" w14:paraId="2F89E43F" w14:textId="2E9CAD2B">
      <w:pPr>
        <w:pStyle w:val="Standard"/>
        <w:ind w:firstLine="720"/>
        <w:rPr>
          <w:sz w:val="26"/>
          <w:szCs w:val="26"/>
        </w:rPr>
      </w:pPr>
      <w:r w:rsidRPr="00887841">
        <w:rPr>
          <w:sz w:val="26"/>
          <w:szCs w:val="26"/>
        </w:rPr>
        <w:t xml:space="preserve">In 2015, people of color accounted for </w:t>
      </w:r>
      <w:r w:rsidR="009B34DE">
        <w:rPr>
          <w:sz w:val="26"/>
          <w:szCs w:val="26"/>
        </w:rPr>
        <w:t xml:space="preserve">about </w:t>
      </w:r>
      <w:r w:rsidRPr="00887841">
        <w:rPr>
          <w:sz w:val="26"/>
          <w:szCs w:val="26"/>
        </w:rPr>
        <w:t xml:space="preserve">71 percent of people in jails and 79 percent of people in prisons in California, although people of color </w:t>
      </w:r>
      <w:r w:rsidRPr="00887841">
        <w:rPr>
          <w:sz w:val="26"/>
          <w:szCs w:val="26"/>
        </w:rPr>
        <w:lastRenderedPageBreak/>
        <w:t xml:space="preserve">comprise </w:t>
      </w:r>
      <w:r w:rsidR="00C3266B">
        <w:rPr>
          <w:sz w:val="26"/>
          <w:szCs w:val="26"/>
        </w:rPr>
        <w:t xml:space="preserve">about </w:t>
      </w:r>
      <w:r w:rsidRPr="00887841">
        <w:rPr>
          <w:sz w:val="26"/>
          <w:szCs w:val="26"/>
        </w:rPr>
        <w:t>61 percent of California</w:t>
      </w:r>
      <w:r w:rsidRPr="00887841">
        <w:rPr>
          <w:rFonts w:hint="eastAsia"/>
          <w:sz w:val="26"/>
          <w:szCs w:val="26"/>
        </w:rPr>
        <w:t>’</w:t>
      </w:r>
      <w:r w:rsidRPr="00887841">
        <w:rPr>
          <w:sz w:val="26"/>
          <w:szCs w:val="26"/>
        </w:rPr>
        <w:t xml:space="preserve">s population. </w:t>
      </w:r>
      <w:r w:rsidR="00DD5A80">
        <w:rPr>
          <w:sz w:val="26"/>
          <w:szCs w:val="26"/>
        </w:rPr>
        <w:t xml:space="preserve"> </w:t>
      </w:r>
      <w:r w:rsidR="001C60FB">
        <w:rPr>
          <w:sz w:val="26"/>
          <w:szCs w:val="26"/>
        </w:rPr>
        <w:t xml:space="preserve">African Americans </w:t>
      </w:r>
      <w:r w:rsidRPr="00887841">
        <w:rPr>
          <w:sz w:val="26"/>
          <w:szCs w:val="26"/>
        </w:rPr>
        <w:t>are particularly overrepresented in incarceration facilities</w:t>
      </w:r>
      <w:r w:rsidR="00DD5A80">
        <w:rPr>
          <w:sz w:val="26"/>
          <w:szCs w:val="26"/>
        </w:rPr>
        <w:t xml:space="preserve"> in California</w:t>
      </w:r>
      <w:r w:rsidRPr="00887841">
        <w:rPr>
          <w:sz w:val="26"/>
          <w:szCs w:val="26"/>
        </w:rPr>
        <w:t xml:space="preserve">.  </w:t>
      </w:r>
      <w:r w:rsidR="001C60FB">
        <w:rPr>
          <w:sz w:val="26"/>
          <w:szCs w:val="26"/>
        </w:rPr>
        <w:t xml:space="preserve">African Americans </w:t>
      </w:r>
      <w:r w:rsidRPr="00887841">
        <w:rPr>
          <w:sz w:val="26"/>
          <w:szCs w:val="26"/>
        </w:rPr>
        <w:t>comprise just six percent of California</w:t>
      </w:r>
      <w:r w:rsidRPr="00887841">
        <w:rPr>
          <w:rFonts w:hint="eastAsia"/>
          <w:sz w:val="26"/>
          <w:szCs w:val="26"/>
        </w:rPr>
        <w:t>’</w:t>
      </w:r>
      <w:r w:rsidRPr="00887841">
        <w:rPr>
          <w:sz w:val="26"/>
          <w:szCs w:val="26"/>
        </w:rPr>
        <w:t xml:space="preserve">s </w:t>
      </w:r>
      <w:proofErr w:type="gramStart"/>
      <w:r w:rsidRPr="00887841">
        <w:rPr>
          <w:sz w:val="26"/>
          <w:szCs w:val="26"/>
        </w:rPr>
        <w:t>population, but</w:t>
      </w:r>
      <w:proofErr w:type="gramEnd"/>
      <w:r w:rsidRPr="00887841">
        <w:rPr>
          <w:sz w:val="26"/>
          <w:szCs w:val="26"/>
        </w:rPr>
        <w:t xml:space="preserve"> represent </w:t>
      </w:r>
      <w:r w:rsidR="005A3063">
        <w:rPr>
          <w:sz w:val="26"/>
          <w:szCs w:val="26"/>
        </w:rPr>
        <w:t xml:space="preserve">approximately </w:t>
      </w:r>
      <w:r w:rsidRPr="00887841">
        <w:rPr>
          <w:sz w:val="26"/>
          <w:szCs w:val="26"/>
        </w:rPr>
        <w:t xml:space="preserve">20 percent of people in jail and </w:t>
      </w:r>
      <w:r w:rsidR="005A3063">
        <w:rPr>
          <w:sz w:val="26"/>
          <w:szCs w:val="26"/>
        </w:rPr>
        <w:t xml:space="preserve">about </w:t>
      </w:r>
      <w:r w:rsidRPr="00887841">
        <w:rPr>
          <w:sz w:val="26"/>
          <w:szCs w:val="26"/>
        </w:rPr>
        <w:t>28 percent of people in prison.</w:t>
      </w:r>
      <w:r w:rsidRPr="00887841">
        <w:rPr>
          <w:sz w:val="26"/>
          <w:szCs w:val="26"/>
          <w:vertAlign w:val="superscript"/>
        </w:rPr>
        <w:footnoteReference w:id="241"/>
      </w:r>
      <w:r w:rsidRPr="00887841">
        <w:rPr>
          <w:sz w:val="26"/>
          <w:szCs w:val="26"/>
        </w:rPr>
        <w:t xml:space="preserve"> </w:t>
      </w:r>
    </w:p>
    <w:p w:rsidRPr="000B586D" w:rsidR="00D03C84" w:rsidP="000B586D" w:rsidRDefault="00D03C84" w14:paraId="534B071D" w14:textId="7C57839A">
      <w:pPr>
        <w:pStyle w:val="Standard"/>
        <w:keepNext/>
        <w:keepLines/>
        <w:ind w:left="1080"/>
        <w:rPr>
          <w:b/>
          <w:bCs/>
          <w:sz w:val="26"/>
          <w:szCs w:val="26"/>
        </w:rPr>
      </w:pPr>
      <w:r w:rsidRPr="000B586D">
        <w:rPr>
          <w:b/>
          <w:bCs/>
          <w:sz w:val="26"/>
          <w:szCs w:val="26"/>
        </w:rPr>
        <w:t>Table 5: Race and Ethnicity in California Jails and Prisons</w:t>
      </w:r>
      <w:r w:rsidRPr="000B586D">
        <w:rPr>
          <w:b/>
          <w:bCs/>
          <w:sz w:val="26"/>
          <w:szCs w:val="26"/>
          <w:vertAlign w:val="superscript"/>
        </w:rPr>
        <w:footnoteReference w:id="242"/>
      </w:r>
    </w:p>
    <w:tbl>
      <w:tblPr>
        <w:tblStyle w:val="TableGrid"/>
        <w:tblW w:w="9350" w:type="dxa"/>
        <w:tblLayout w:type="fixed"/>
        <w:tblLook w:val="04A0" w:firstRow="1" w:lastRow="0" w:firstColumn="1" w:lastColumn="0" w:noHBand="0" w:noVBand="1"/>
      </w:tblPr>
      <w:tblGrid>
        <w:gridCol w:w="1558"/>
        <w:gridCol w:w="1559"/>
        <w:gridCol w:w="1558"/>
        <w:gridCol w:w="1558"/>
        <w:gridCol w:w="1558"/>
        <w:gridCol w:w="1559"/>
      </w:tblGrid>
      <w:tr w:rsidRPr="0069494E" w:rsidR="005A3063" w:rsidTr="000D2A5D" w14:paraId="2807332E" w14:textId="77777777">
        <w:tc>
          <w:tcPr>
            <w:tcW w:w="1558" w:type="dxa"/>
          </w:tcPr>
          <w:p w:rsidRPr="0069494E" w:rsidR="005A3063" w:rsidP="000B586D" w:rsidRDefault="005A3063" w14:paraId="005CBBF4" w14:textId="77777777">
            <w:pPr>
              <w:pStyle w:val="Standard"/>
              <w:keepNext/>
              <w:keepLines/>
              <w:spacing w:line="240" w:lineRule="auto"/>
            </w:pPr>
            <w:r w:rsidRPr="0069494E">
              <w:t>Ethnicity/ Race</w:t>
            </w:r>
          </w:p>
        </w:tc>
        <w:tc>
          <w:tcPr>
            <w:tcW w:w="1559" w:type="dxa"/>
          </w:tcPr>
          <w:p w:rsidRPr="0069494E" w:rsidR="005A3063" w:rsidP="000B586D" w:rsidRDefault="005A3063" w14:paraId="11DB4155" w14:textId="77777777">
            <w:pPr>
              <w:pStyle w:val="Standard"/>
              <w:keepNext/>
              <w:keepLines/>
              <w:spacing w:line="240" w:lineRule="auto"/>
            </w:pPr>
            <w:r w:rsidRPr="0069494E">
              <w:t>Percent of Jail Population</w:t>
            </w:r>
          </w:p>
        </w:tc>
        <w:tc>
          <w:tcPr>
            <w:tcW w:w="1558" w:type="dxa"/>
          </w:tcPr>
          <w:p w:rsidRPr="0069494E" w:rsidR="005A3063" w:rsidP="000B586D" w:rsidRDefault="005A3063" w14:paraId="236608FF" w14:textId="77777777">
            <w:pPr>
              <w:pStyle w:val="Standard"/>
              <w:keepNext/>
              <w:keepLines/>
              <w:spacing w:line="240" w:lineRule="auto"/>
            </w:pPr>
            <w:r w:rsidRPr="0069494E">
              <w:t>Percent of Prison Population</w:t>
            </w:r>
          </w:p>
        </w:tc>
        <w:tc>
          <w:tcPr>
            <w:tcW w:w="1558" w:type="dxa"/>
          </w:tcPr>
          <w:p w:rsidRPr="0069494E" w:rsidR="005A3063" w:rsidP="000B586D" w:rsidRDefault="005A3063" w14:paraId="0A1273F1" w14:textId="63FBB184">
            <w:pPr>
              <w:pStyle w:val="Standard"/>
              <w:keepNext/>
              <w:keepLines/>
              <w:spacing w:line="240" w:lineRule="auto"/>
            </w:pPr>
            <w:r w:rsidRPr="0069494E">
              <w:t>Percent of State Population</w:t>
            </w:r>
          </w:p>
        </w:tc>
        <w:tc>
          <w:tcPr>
            <w:tcW w:w="1558" w:type="dxa"/>
          </w:tcPr>
          <w:p w:rsidRPr="0069494E" w:rsidR="005A3063" w:rsidP="000B586D" w:rsidRDefault="005A3063" w14:paraId="1C73F6C1" w14:textId="79460486">
            <w:pPr>
              <w:pStyle w:val="Standard"/>
              <w:keepNext/>
              <w:keepLines/>
              <w:spacing w:line="240" w:lineRule="auto"/>
            </w:pPr>
            <w:r w:rsidRPr="0069494E">
              <w:t xml:space="preserve">Rate </w:t>
            </w:r>
            <w:r>
              <w:t xml:space="preserve">incarcerated </w:t>
            </w:r>
            <w:r w:rsidRPr="0069494E">
              <w:t>per 100,000 ages 15-64 (jails)</w:t>
            </w:r>
          </w:p>
        </w:tc>
        <w:tc>
          <w:tcPr>
            <w:tcW w:w="1559" w:type="dxa"/>
          </w:tcPr>
          <w:p w:rsidRPr="0069494E" w:rsidR="005A3063" w:rsidP="000B586D" w:rsidRDefault="005A3063" w14:paraId="27CE14F8" w14:textId="31BAE1B8">
            <w:pPr>
              <w:pStyle w:val="Standard"/>
              <w:keepNext/>
              <w:keepLines/>
              <w:spacing w:line="240" w:lineRule="auto"/>
            </w:pPr>
            <w:r w:rsidRPr="0069494E">
              <w:t xml:space="preserve">Rate </w:t>
            </w:r>
            <w:r>
              <w:t xml:space="preserve">incarcerated </w:t>
            </w:r>
            <w:r w:rsidRPr="0069494E">
              <w:t>per 100,000 ages 15-64 (prisons)</w:t>
            </w:r>
          </w:p>
        </w:tc>
      </w:tr>
      <w:tr w:rsidRPr="0069494E" w:rsidR="005A3063" w:rsidTr="000D2A5D" w14:paraId="6848992F" w14:textId="77777777">
        <w:tc>
          <w:tcPr>
            <w:tcW w:w="1558" w:type="dxa"/>
          </w:tcPr>
          <w:p w:rsidRPr="0069494E" w:rsidR="005A3063" w:rsidP="005A3063" w:rsidRDefault="005A3063" w14:paraId="37433152" w14:textId="3F9C3CCA">
            <w:pPr>
              <w:pStyle w:val="Standard"/>
              <w:spacing w:line="240" w:lineRule="auto"/>
            </w:pPr>
            <w:r w:rsidRPr="0069494E">
              <w:t>African American</w:t>
            </w:r>
          </w:p>
        </w:tc>
        <w:tc>
          <w:tcPr>
            <w:tcW w:w="1559" w:type="dxa"/>
          </w:tcPr>
          <w:p w:rsidRPr="0069494E" w:rsidR="005A3063" w:rsidP="005A3063" w:rsidRDefault="005A3063" w14:paraId="3AEE931A" w14:textId="77777777">
            <w:pPr>
              <w:pStyle w:val="Standard"/>
              <w:spacing w:line="240" w:lineRule="auto"/>
            </w:pPr>
            <w:r w:rsidRPr="0069494E">
              <w:t>20</w:t>
            </w:r>
          </w:p>
        </w:tc>
        <w:tc>
          <w:tcPr>
            <w:tcW w:w="1558" w:type="dxa"/>
          </w:tcPr>
          <w:p w:rsidRPr="0069494E" w:rsidR="005A3063" w:rsidP="005A3063" w:rsidRDefault="005A3063" w14:paraId="6D8E289B" w14:textId="77777777">
            <w:pPr>
              <w:pStyle w:val="Standard"/>
              <w:spacing w:line="240" w:lineRule="auto"/>
            </w:pPr>
            <w:r w:rsidRPr="0069494E">
              <w:t>28</w:t>
            </w:r>
          </w:p>
        </w:tc>
        <w:tc>
          <w:tcPr>
            <w:tcW w:w="1558" w:type="dxa"/>
          </w:tcPr>
          <w:p w:rsidRPr="0069494E" w:rsidR="005A3063" w:rsidP="005A3063" w:rsidRDefault="005A3063" w14:paraId="02B8CDE1" w14:textId="49D5FCCE">
            <w:pPr>
              <w:pStyle w:val="Standard"/>
              <w:spacing w:line="240" w:lineRule="auto"/>
            </w:pPr>
            <w:r w:rsidRPr="0069494E">
              <w:t>6</w:t>
            </w:r>
          </w:p>
        </w:tc>
        <w:tc>
          <w:tcPr>
            <w:tcW w:w="1558" w:type="dxa"/>
          </w:tcPr>
          <w:p w:rsidRPr="0069494E" w:rsidR="005A3063" w:rsidP="005A3063" w:rsidRDefault="005A3063" w14:paraId="01B8AC30" w14:textId="325506A9">
            <w:pPr>
              <w:pStyle w:val="Standard"/>
              <w:spacing w:line="240" w:lineRule="auto"/>
            </w:pPr>
            <w:r w:rsidRPr="0069494E">
              <w:t>901</w:t>
            </w:r>
          </w:p>
        </w:tc>
        <w:tc>
          <w:tcPr>
            <w:tcW w:w="1559" w:type="dxa"/>
          </w:tcPr>
          <w:p w:rsidRPr="0069494E" w:rsidR="005A3063" w:rsidP="005A3063" w:rsidRDefault="005A3063" w14:paraId="24B253E1" w14:textId="77777777">
            <w:pPr>
              <w:pStyle w:val="Standard"/>
              <w:spacing w:line="240" w:lineRule="auto"/>
            </w:pPr>
            <w:r w:rsidRPr="0069494E">
              <w:t>2,224</w:t>
            </w:r>
          </w:p>
        </w:tc>
      </w:tr>
      <w:tr w:rsidRPr="0069494E" w:rsidR="005A3063" w:rsidTr="000D2A5D" w14:paraId="16176630" w14:textId="77777777">
        <w:tc>
          <w:tcPr>
            <w:tcW w:w="1558" w:type="dxa"/>
          </w:tcPr>
          <w:p w:rsidRPr="0069494E" w:rsidR="005A3063" w:rsidP="005A3063" w:rsidRDefault="005A3063" w14:paraId="442984A1" w14:textId="77777777">
            <w:pPr>
              <w:pStyle w:val="Standard"/>
              <w:spacing w:line="240" w:lineRule="auto"/>
            </w:pPr>
            <w:r w:rsidRPr="0069494E">
              <w:t>Native American</w:t>
            </w:r>
          </w:p>
        </w:tc>
        <w:tc>
          <w:tcPr>
            <w:tcW w:w="1559" w:type="dxa"/>
          </w:tcPr>
          <w:p w:rsidRPr="0069494E" w:rsidR="005A3063" w:rsidP="005A3063" w:rsidRDefault="005A3063" w14:paraId="1A522DF8" w14:textId="77777777">
            <w:pPr>
              <w:pStyle w:val="Standard"/>
              <w:spacing w:line="240" w:lineRule="auto"/>
            </w:pPr>
            <w:r w:rsidRPr="0069494E">
              <w:t>1</w:t>
            </w:r>
          </w:p>
        </w:tc>
        <w:tc>
          <w:tcPr>
            <w:tcW w:w="1558" w:type="dxa"/>
          </w:tcPr>
          <w:p w:rsidRPr="0069494E" w:rsidR="005A3063" w:rsidP="005A3063" w:rsidRDefault="005A3063" w14:paraId="5DBA3A2A" w14:textId="77777777">
            <w:pPr>
              <w:pStyle w:val="Standard"/>
              <w:spacing w:line="240" w:lineRule="auto"/>
            </w:pPr>
            <w:r w:rsidRPr="0069494E">
              <w:t>1</w:t>
            </w:r>
          </w:p>
        </w:tc>
        <w:tc>
          <w:tcPr>
            <w:tcW w:w="1558" w:type="dxa"/>
          </w:tcPr>
          <w:p w:rsidRPr="0069494E" w:rsidR="005A3063" w:rsidP="005A3063" w:rsidRDefault="005A3063" w14:paraId="145419FF" w14:textId="31503B3C">
            <w:pPr>
              <w:pStyle w:val="Standard"/>
              <w:spacing w:line="240" w:lineRule="auto"/>
            </w:pPr>
            <w:r w:rsidRPr="0069494E">
              <w:t>1</w:t>
            </w:r>
          </w:p>
        </w:tc>
        <w:tc>
          <w:tcPr>
            <w:tcW w:w="1558" w:type="dxa"/>
          </w:tcPr>
          <w:p w:rsidRPr="0069494E" w:rsidR="005A3063" w:rsidP="005A3063" w:rsidRDefault="005A3063" w14:paraId="4C564A81" w14:textId="4220E1A7">
            <w:pPr>
              <w:pStyle w:val="Standard"/>
              <w:spacing w:line="240" w:lineRule="auto"/>
            </w:pPr>
            <w:r w:rsidRPr="0069494E">
              <w:t>461</w:t>
            </w:r>
          </w:p>
        </w:tc>
        <w:tc>
          <w:tcPr>
            <w:tcW w:w="1559" w:type="dxa"/>
          </w:tcPr>
          <w:p w:rsidRPr="0069494E" w:rsidR="005A3063" w:rsidP="005A3063" w:rsidRDefault="005A3063" w14:paraId="25750A43" w14:textId="77777777">
            <w:pPr>
              <w:pStyle w:val="Standard"/>
              <w:spacing w:line="240" w:lineRule="auto"/>
            </w:pPr>
            <w:r w:rsidRPr="0069494E">
              <w:t>1,033</w:t>
            </w:r>
          </w:p>
        </w:tc>
      </w:tr>
      <w:tr w:rsidRPr="0069494E" w:rsidR="005A3063" w:rsidTr="000D2A5D" w14:paraId="2E20F304" w14:textId="77777777">
        <w:tc>
          <w:tcPr>
            <w:tcW w:w="1558" w:type="dxa"/>
          </w:tcPr>
          <w:p w:rsidRPr="0069494E" w:rsidR="005A3063" w:rsidP="005A3063" w:rsidRDefault="005A3063" w14:paraId="1AB7FB9C" w14:textId="77777777">
            <w:pPr>
              <w:pStyle w:val="Standard"/>
              <w:spacing w:line="240" w:lineRule="auto"/>
            </w:pPr>
            <w:r w:rsidRPr="0069494E">
              <w:t>Latinx</w:t>
            </w:r>
          </w:p>
        </w:tc>
        <w:tc>
          <w:tcPr>
            <w:tcW w:w="1559" w:type="dxa"/>
          </w:tcPr>
          <w:p w:rsidRPr="0069494E" w:rsidR="005A3063" w:rsidP="005A3063" w:rsidRDefault="005A3063" w14:paraId="651703EA" w14:textId="77777777">
            <w:pPr>
              <w:pStyle w:val="Standard"/>
              <w:spacing w:line="240" w:lineRule="auto"/>
            </w:pPr>
            <w:r w:rsidRPr="0069494E">
              <w:t>41</w:t>
            </w:r>
          </w:p>
        </w:tc>
        <w:tc>
          <w:tcPr>
            <w:tcW w:w="1558" w:type="dxa"/>
          </w:tcPr>
          <w:p w:rsidRPr="0069494E" w:rsidR="005A3063" w:rsidP="005A3063" w:rsidRDefault="005A3063" w14:paraId="3EFE21B1" w14:textId="77777777">
            <w:pPr>
              <w:pStyle w:val="Standard"/>
              <w:spacing w:line="240" w:lineRule="auto"/>
            </w:pPr>
            <w:r w:rsidRPr="0069494E">
              <w:t>44</w:t>
            </w:r>
          </w:p>
        </w:tc>
        <w:tc>
          <w:tcPr>
            <w:tcW w:w="1558" w:type="dxa"/>
          </w:tcPr>
          <w:p w:rsidRPr="0069494E" w:rsidR="005A3063" w:rsidP="005A3063" w:rsidRDefault="005A3063" w14:paraId="427A2B4C" w14:textId="6DFD42D0">
            <w:pPr>
              <w:pStyle w:val="Standard"/>
              <w:spacing w:line="240" w:lineRule="auto"/>
            </w:pPr>
            <w:r w:rsidRPr="0069494E">
              <w:t>38</w:t>
            </w:r>
          </w:p>
        </w:tc>
        <w:tc>
          <w:tcPr>
            <w:tcW w:w="1558" w:type="dxa"/>
          </w:tcPr>
          <w:p w:rsidRPr="0069494E" w:rsidR="005A3063" w:rsidP="005A3063" w:rsidRDefault="005A3063" w14:paraId="365F5C8B" w14:textId="51B12512">
            <w:pPr>
              <w:pStyle w:val="Standard"/>
              <w:spacing w:line="240" w:lineRule="auto"/>
            </w:pPr>
            <w:r w:rsidRPr="0069494E">
              <w:t>313</w:t>
            </w:r>
          </w:p>
        </w:tc>
        <w:tc>
          <w:tcPr>
            <w:tcW w:w="1559" w:type="dxa"/>
          </w:tcPr>
          <w:p w:rsidRPr="0069494E" w:rsidR="005A3063" w:rsidP="005A3063" w:rsidRDefault="005A3063" w14:paraId="036E00CA" w14:textId="77777777">
            <w:pPr>
              <w:pStyle w:val="Standard"/>
              <w:spacing w:line="240" w:lineRule="auto"/>
            </w:pPr>
            <w:r w:rsidRPr="0069494E">
              <w:t>556</w:t>
            </w:r>
          </w:p>
        </w:tc>
      </w:tr>
      <w:tr w:rsidRPr="0069494E" w:rsidR="005A3063" w:rsidTr="000D2A5D" w14:paraId="08F03558" w14:textId="77777777">
        <w:tc>
          <w:tcPr>
            <w:tcW w:w="1558" w:type="dxa"/>
          </w:tcPr>
          <w:p w:rsidRPr="0069494E" w:rsidR="005A3063" w:rsidP="005A3063" w:rsidRDefault="005A3063" w14:paraId="4117ABAE" w14:textId="77777777">
            <w:pPr>
              <w:pStyle w:val="Standard"/>
              <w:spacing w:line="240" w:lineRule="auto"/>
            </w:pPr>
            <w:r w:rsidRPr="0069494E">
              <w:t>White</w:t>
            </w:r>
          </w:p>
        </w:tc>
        <w:tc>
          <w:tcPr>
            <w:tcW w:w="1559" w:type="dxa"/>
          </w:tcPr>
          <w:p w:rsidRPr="0069494E" w:rsidR="005A3063" w:rsidP="005A3063" w:rsidRDefault="005A3063" w14:paraId="6B518814" w14:textId="77777777">
            <w:pPr>
              <w:pStyle w:val="Standard"/>
              <w:spacing w:line="240" w:lineRule="auto"/>
            </w:pPr>
            <w:r w:rsidRPr="0069494E">
              <w:t>29</w:t>
            </w:r>
          </w:p>
        </w:tc>
        <w:tc>
          <w:tcPr>
            <w:tcW w:w="1558" w:type="dxa"/>
          </w:tcPr>
          <w:p w:rsidRPr="0069494E" w:rsidR="005A3063" w:rsidP="005A3063" w:rsidRDefault="005A3063" w14:paraId="31DE5F87" w14:textId="77777777">
            <w:pPr>
              <w:pStyle w:val="Standard"/>
              <w:spacing w:line="240" w:lineRule="auto"/>
            </w:pPr>
            <w:r w:rsidRPr="0069494E">
              <w:t>21</w:t>
            </w:r>
          </w:p>
        </w:tc>
        <w:tc>
          <w:tcPr>
            <w:tcW w:w="1558" w:type="dxa"/>
          </w:tcPr>
          <w:p w:rsidRPr="0069494E" w:rsidR="005A3063" w:rsidP="005A3063" w:rsidRDefault="005A3063" w14:paraId="19ED2499" w14:textId="27F9137C">
            <w:pPr>
              <w:pStyle w:val="Standard"/>
              <w:spacing w:line="240" w:lineRule="auto"/>
            </w:pPr>
            <w:r w:rsidRPr="0069494E">
              <w:t>39</w:t>
            </w:r>
          </w:p>
        </w:tc>
        <w:tc>
          <w:tcPr>
            <w:tcW w:w="1558" w:type="dxa"/>
          </w:tcPr>
          <w:p w:rsidRPr="0069494E" w:rsidR="005A3063" w:rsidP="005A3063" w:rsidRDefault="005A3063" w14:paraId="3B03860D" w14:textId="62EA05F5">
            <w:pPr>
              <w:pStyle w:val="Standard"/>
              <w:spacing w:line="240" w:lineRule="auto"/>
            </w:pPr>
            <w:r w:rsidRPr="0069494E">
              <w:t>216</w:t>
            </w:r>
          </w:p>
        </w:tc>
        <w:tc>
          <w:tcPr>
            <w:tcW w:w="1559" w:type="dxa"/>
          </w:tcPr>
          <w:p w:rsidRPr="0069494E" w:rsidR="005A3063" w:rsidP="005A3063" w:rsidRDefault="005A3063" w14:paraId="113A698E" w14:textId="77777777">
            <w:pPr>
              <w:pStyle w:val="Standard"/>
              <w:spacing w:line="240" w:lineRule="auto"/>
            </w:pPr>
            <w:r w:rsidRPr="0069494E">
              <w:t>276</w:t>
            </w:r>
          </w:p>
        </w:tc>
      </w:tr>
      <w:tr w:rsidRPr="0069494E" w:rsidR="005A3063" w:rsidTr="000D2A5D" w14:paraId="5DFF76C8" w14:textId="77777777">
        <w:tc>
          <w:tcPr>
            <w:tcW w:w="1558" w:type="dxa"/>
          </w:tcPr>
          <w:p w:rsidRPr="0069494E" w:rsidR="005A3063" w:rsidP="005A3063" w:rsidRDefault="005A3063" w14:paraId="023B32C3" w14:textId="77777777">
            <w:pPr>
              <w:pStyle w:val="Standard"/>
              <w:spacing w:line="240" w:lineRule="auto"/>
            </w:pPr>
            <w:r w:rsidRPr="0069494E">
              <w:t>Asian/ Pacific Island</w:t>
            </w:r>
          </w:p>
        </w:tc>
        <w:tc>
          <w:tcPr>
            <w:tcW w:w="1559" w:type="dxa"/>
          </w:tcPr>
          <w:p w:rsidRPr="0069494E" w:rsidR="005A3063" w:rsidP="005A3063" w:rsidRDefault="005A3063" w14:paraId="71C3557F" w14:textId="77777777">
            <w:pPr>
              <w:pStyle w:val="Standard"/>
              <w:spacing w:line="240" w:lineRule="auto"/>
            </w:pPr>
            <w:r w:rsidRPr="0069494E">
              <w:t>2</w:t>
            </w:r>
          </w:p>
        </w:tc>
        <w:tc>
          <w:tcPr>
            <w:tcW w:w="1558" w:type="dxa"/>
          </w:tcPr>
          <w:p w:rsidRPr="0069494E" w:rsidR="005A3063" w:rsidP="005A3063" w:rsidRDefault="005A3063" w14:paraId="6DB3EF8E" w14:textId="77777777">
            <w:pPr>
              <w:pStyle w:val="Standard"/>
              <w:spacing w:line="240" w:lineRule="auto"/>
            </w:pPr>
            <w:r w:rsidRPr="0069494E">
              <w:t>1</w:t>
            </w:r>
          </w:p>
        </w:tc>
        <w:tc>
          <w:tcPr>
            <w:tcW w:w="1558" w:type="dxa"/>
          </w:tcPr>
          <w:p w:rsidRPr="0069494E" w:rsidR="005A3063" w:rsidP="005A3063" w:rsidRDefault="005A3063" w14:paraId="56C96E54" w14:textId="196D4182">
            <w:pPr>
              <w:pStyle w:val="Standard"/>
              <w:spacing w:line="240" w:lineRule="auto"/>
            </w:pPr>
            <w:r w:rsidRPr="0069494E">
              <w:t>15</w:t>
            </w:r>
          </w:p>
        </w:tc>
        <w:tc>
          <w:tcPr>
            <w:tcW w:w="1558" w:type="dxa"/>
          </w:tcPr>
          <w:p w:rsidRPr="0069494E" w:rsidR="005A3063" w:rsidP="005A3063" w:rsidRDefault="005A3063" w14:paraId="2AFA15B2" w14:textId="7AE89B90">
            <w:pPr>
              <w:pStyle w:val="Standard"/>
              <w:spacing w:line="240" w:lineRule="auto"/>
            </w:pPr>
            <w:r w:rsidRPr="0069494E">
              <w:t>36</w:t>
            </w:r>
          </w:p>
        </w:tc>
        <w:tc>
          <w:tcPr>
            <w:tcW w:w="1559" w:type="dxa"/>
          </w:tcPr>
          <w:p w:rsidRPr="0069494E" w:rsidR="005A3063" w:rsidP="005A3063" w:rsidRDefault="005A3063" w14:paraId="571F11EC" w14:textId="77777777">
            <w:pPr>
              <w:pStyle w:val="Standard"/>
              <w:spacing w:line="240" w:lineRule="auto"/>
            </w:pPr>
            <w:r w:rsidRPr="0069494E">
              <w:t>34</w:t>
            </w:r>
          </w:p>
        </w:tc>
      </w:tr>
    </w:tbl>
    <w:p w:rsidRPr="000B586D" w:rsidR="00D03C84" w:rsidP="00D03C84" w:rsidRDefault="00D03C84" w14:paraId="2C7CADA6" w14:textId="77777777">
      <w:pPr>
        <w:pStyle w:val="Standard"/>
        <w:rPr>
          <w:sz w:val="12"/>
          <w:szCs w:val="12"/>
        </w:rPr>
      </w:pPr>
    </w:p>
    <w:p w:rsidRPr="000B586D" w:rsidR="001C60FB" w:rsidP="000B586D" w:rsidRDefault="479380FC" w14:paraId="10E0A2A2" w14:textId="31A30346">
      <w:pPr>
        <w:pStyle w:val="Standard"/>
        <w:ind w:firstLine="720"/>
        <w:rPr>
          <w:sz w:val="26"/>
          <w:szCs w:val="26"/>
        </w:rPr>
      </w:pPr>
      <w:r w:rsidRPr="000B586D">
        <w:rPr>
          <w:sz w:val="26"/>
          <w:szCs w:val="26"/>
        </w:rPr>
        <w:t xml:space="preserve">African American </w:t>
      </w:r>
      <w:r w:rsidRPr="000B586D" w:rsidR="4F7709A5">
        <w:rPr>
          <w:sz w:val="26"/>
          <w:szCs w:val="26"/>
        </w:rPr>
        <w:t xml:space="preserve">women are also overrepresented in California jails and prisons. </w:t>
      </w:r>
      <w:r w:rsidRPr="000B586D" w:rsidR="4B98F557">
        <w:rPr>
          <w:sz w:val="26"/>
          <w:szCs w:val="26"/>
        </w:rPr>
        <w:t xml:space="preserve"> </w:t>
      </w:r>
      <w:r w:rsidRPr="000B586D" w:rsidR="4F7709A5">
        <w:rPr>
          <w:sz w:val="26"/>
          <w:szCs w:val="26"/>
        </w:rPr>
        <w:t xml:space="preserve">Of the state’s 5,849 female prisoners in 2017, 26 percent were </w:t>
      </w:r>
      <w:r w:rsidRPr="000B586D">
        <w:rPr>
          <w:sz w:val="26"/>
          <w:szCs w:val="26"/>
        </w:rPr>
        <w:t>African American</w:t>
      </w:r>
      <w:r w:rsidRPr="000B586D" w:rsidR="4F7709A5">
        <w:rPr>
          <w:sz w:val="26"/>
          <w:szCs w:val="26"/>
        </w:rPr>
        <w:t xml:space="preserve"> although only 6 percent of California’s adult female residents are. </w:t>
      </w:r>
      <w:r w:rsidRPr="000B586D">
        <w:rPr>
          <w:sz w:val="26"/>
          <w:szCs w:val="26"/>
        </w:rPr>
        <w:t xml:space="preserve">African American </w:t>
      </w:r>
      <w:r w:rsidRPr="000B586D" w:rsidR="4F7709A5">
        <w:rPr>
          <w:sz w:val="26"/>
          <w:szCs w:val="26"/>
        </w:rPr>
        <w:t xml:space="preserve">women are imprisoned at a rate of 171 per 100,000—more than five times the imprisonment rate of white women, which is 30 per 100,000. </w:t>
      </w:r>
      <w:r w:rsidRPr="000B586D" w:rsidR="4F7709A5">
        <w:rPr>
          <w:sz w:val="26"/>
          <w:szCs w:val="26"/>
        </w:rPr>
        <w:lastRenderedPageBreak/>
        <w:t>Imprisonment rates for Latin</w:t>
      </w:r>
      <w:r w:rsidRPr="000B586D" w:rsidDel="4F7709A5" w:rsidR="00D03C84">
        <w:rPr>
          <w:sz w:val="26"/>
          <w:szCs w:val="26"/>
        </w:rPr>
        <w:t>x</w:t>
      </w:r>
      <w:r w:rsidRPr="000B586D" w:rsidR="4F7709A5">
        <w:rPr>
          <w:sz w:val="26"/>
          <w:szCs w:val="26"/>
        </w:rPr>
        <w:t xml:space="preserve"> women and women of other races are 38 and 14 per 100,000, respectively.</w:t>
      </w:r>
      <w:r w:rsidRPr="000B586D" w:rsidR="00D03C84">
        <w:rPr>
          <w:sz w:val="26"/>
          <w:szCs w:val="26"/>
          <w:vertAlign w:val="superscript"/>
        </w:rPr>
        <w:footnoteReference w:id="243"/>
      </w:r>
      <w:r w:rsidRPr="000B586D" w:rsidR="4F7709A5">
        <w:rPr>
          <w:sz w:val="26"/>
          <w:szCs w:val="26"/>
        </w:rPr>
        <w:t xml:space="preserve"> </w:t>
      </w:r>
    </w:p>
    <w:p w:rsidR="00B03EA8" w:rsidP="000B586D" w:rsidRDefault="00B03EA8" w14:paraId="458EF856" w14:textId="2424595C">
      <w:pPr>
        <w:pStyle w:val="Standard"/>
        <w:ind w:firstLine="720"/>
        <w:rPr>
          <w:sz w:val="26"/>
          <w:szCs w:val="26"/>
        </w:rPr>
      </w:pPr>
      <w:r w:rsidRPr="000B586D">
        <w:rPr>
          <w:sz w:val="26"/>
          <w:szCs w:val="26"/>
        </w:rPr>
        <w:t>As discussed in section 1, as m</w:t>
      </w:r>
      <w:r w:rsidR="00F73228">
        <w:rPr>
          <w:sz w:val="26"/>
          <w:szCs w:val="26"/>
        </w:rPr>
        <w:t xml:space="preserve">uch </w:t>
      </w:r>
      <w:r w:rsidRPr="000B586D">
        <w:rPr>
          <w:sz w:val="26"/>
          <w:szCs w:val="26"/>
        </w:rPr>
        <w:t>as 34 percent of families go into debt to stay in contact with an incarcerated family member and the cost of maintaining contact with incarcerated persons falls disproportionally on low</w:t>
      </w:r>
      <w:r w:rsidR="000B586D">
        <w:rPr>
          <w:sz w:val="26"/>
          <w:szCs w:val="26"/>
        </w:rPr>
        <w:noBreakHyphen/>
      </w:r>
      <w:r w:rsidRPr="00B03EA8">
        <w:rPr>
          <w:sz w:val="26"/>
          <w:szCs w:val="26"/>
        </w:rPr>
        <w:t>income women of color.</w:t>
      </w:r>
      <w:r w:rsidRPr="00B03EA8">
        <w:rPr>
          <w:sz w:val="26"/>
          <w:szCs w:val="26"/>
          <w:vertAlign w:val="superscript"/>
        </w:rPr>
        <w:footnoteReference w:id="244"/>
      </w:r>
      <w:r w:rsidRPr="00B03EA8">
        <w:rPr>
          <w:sz w:val="26"/>
          <w:szCs w:val="26"/>
        </w:rPr>
        <w:t xml:space="preserve">  A 2015 study found that incarcerated people had a median annual income of less than $20,000 prior to their incarceration.</w:t>
      </w:r>
      <w:r w:rsidRPr="00B03EA8">
        <w:rPr>
          <w:sz w:val="26"/>
          <w:szCs w:val="26"/>
          <w:vertAlign w:val="superscript"/>
        </w:rPr>
        <w:footnoteReference w:id="245"/>
      </w:r>
      <w:r w:rsidRPr="00B03EA8">
        <w:rPr>
          <w:sz w:val="26"/>
          <w:szCs w:val="26"/>
        </w:rPr>
        <w:t xml:space="preserve">  </w:t>
      </w:r>
    </w:p>
    <w:p w:rsidR="00856DBC" w:rsidP="001C60FB" w:rsidRDefault="00D03C84" w14:paraId="64442488" w14:textId="134351C6">
      <w:pPr>
        <w:pStyle w:val="Standard"/>
        <w:ind w:firstLine="720"/>
        <w:rPr>
          <w:sz w:val="26"/>
          <w:szCs w:val="26"/>
        </w:rPr>
      </w:pPr>
      <w:r w:rsidRPr="00887841">
        <w:rPr>
          <w:sz w:val="26"/>
          <w:szCs w:val="26"/>
        </w:rPr>
        <w:t xml:space="preserve">In 2018, the Commission adopted an </w:t>
      </w:r>
      <w:r w:rsidRPr="00887841">
        <w:rPr>
          <w:i/>
          <w:sz w:val="26"/>
          <w:szCs w:val="26"/>
        </w:rPr>
        <w:t>Environmental and Social Justice Action Plan</w:t>
      </w:r>
      <w:r w:rsidRPr="00887841">
        <w:rPr>
          <w:sz w:val="26"/>
          <w:szCs w:val="26"/>
        </w:rPr>
        <w:t xml:space="preserve"> (ESJA Plan).</w:t>
      </w:r>
      <w:r w:rsidRPr="00887841">
        <w:rPr>
          <w:sz w:val="26"/>
          <w:szCs w:val="26"/>
          <w:vertAlign w:val="superscript"/>
        </w:rPr>
        <w:footnoteReference w:id="246"/>
      </w:r>
      <w:r w:rsidRPr="00887841">
        <w:rPr>
          <w:sz w:val="26"/>
          <w:szCs w:val="26"/>
        </w:rPr>
        <w:t xml:space="preserve">  The Plan identifies Environmental and Social Justice (ESJ) communities as those where residents are predominantly communities of color or low-income, underrepresented in the policy setting or decision-making process, subject to a disproportionate impact from one or more environmental hazards, likely to experience disparate implementation of environmental regulations and socio-economic investments in their communities, and, as including </w:t>
      </w:r>
      <w:r w:rsidR="00CF5603">
        <w:rPr>
          <w:sz w:val="26"/>
          <w:szCs w:val="26"/>
        </w:rPr>
        <w:t xml:space="preserve">the top 25 percent of </w:t>
      </w:r>
      <w:r w:rsidRPr="00887841">
        <w:rPr>
          <w:sz w:val="26"/>
          <w:szCs w:val="26"/>
        </w:rPr>
        <w:t xml:space="preserve">disadvantaged communities </w:t>
      </w:r>
      <w:r w:rsidR="00CF5603">
        <w:rPr>
          <w:sz w:val="26"/>
          <w:szCs w:val="26"/>
        </w:rPr>
        <w:t>in California</w:t>
      </w:r>
      <w:r w:rsidRPr="00887841">
        <w:rPr>
          <w:sz w:val="26"/>
          <w:szCs w:val="26"/>
        </w:rPr>
        <w:t>,</w:t>
      </w:r>
      <w:r w:rsidRPr="00887841">
        <w:rPr>
          <w:sz w:val="26"/>
          <w:szCs w:val="26"/>
          <w:vertAlign w:val="superscript"/>
        </w:rPr>
        <w:footnoteReference w:id="247"/>
      </w:r>
      <w:r w:rsidRPr="00887841">
        <w:rPr>
          <w:sz w:val="26"/>
          <w:szCs w:val="26"/>
        </w:rPr>
        <w:t xml:space="preserve"> all </w:t>
      </w:r>
      <w:r w:rsidRPr="00887841">
        <w:rPr>
          <w:sz w:val="26"/>
          <w:szCs w:val="26"/>
        </w:rPr>
        <w:lastRenderedPageBreak/>
        <w:t>California Tribal lands, low-income households with household income below 80</w:t>
      </w:r>
      <w:r w:rsidR="000B586D">
        <w:rPr>
          <w:sz w:val="26"/>
          <w:szCs w:val="26"/>
        </w:rPr>
        <w:t> </w:t>
      </w:r>
      <w:r w:rsidRPr="00887841">
        <w:rPr>
          <w:sz w:val="26"/>
          <w:szCs w:val="26"/>
        </w:rPr>
        <w:t>percent of area median income, and, low-income census tracts with household incomes less than 80 percent area or state median income.</w:t>
      </w:r>
      <w:r w:rsidRPr="00887841">
        <w:rPr>
          <w:sz w:val="26"/>
          <w:szCs w:val="26"/>
          <w:vertAlign w:val="superscript"/>
        </w:rPr>
        <w:footnoteReference w:id="248"/>
      </w:r>
      <w:r w:rsidRPr="00887841">
        <w:rPr>
          <w:sz w:val="26"/>
          <w:szCs w:val="26"/>
        </w:rPr>
        <w:t xml:space="preserve">  </w:t>
      </w:r>
    </w:p>
    <w:p w:rsidR="001C60FB" w:rsidP="001C60FB" w:rsidRDefault="00D03C84" w14:paraId="00C3C04E" w14:textId="2184D8DE">
      <w:pPr>
        <w:pStyle w:val="Standard"/>
        <w:ind w:firstLine="720"/>
        <w:rPr>
          <w:sz w:val="26"/>
          <w:szCs w:val="26"/>
        </w:rPr>
      </w:pPr>
      <w:r w:rsidRPr="00887841">
        <w:rPr>
          <w:sz w:val="26"/>
          <w:szCs w:val="26"/>
        </w:rPr>
        <w:t>The Commission</w:t>
      </w:r>
      <w:r w:rsidRPr="00887841">
        <w:rPr>
          <w:rFonts w:hint="eastAsia"/>
          <w:sz w:val="26"/>
          <w:szCs w:val="26"/>
        </w:rPr>
        <w:t>’</w:t>
      </w:r>
      <w:r w:rsidRPr="00887841">
        <w:rPr>
          <w:sz w:val="26"/>
          <w:szCs w:val="26"/>
        </w:rPr>
        <w:t xml:space="preserve">s ESJA Plan is guided by the following definition </w:t>
      </w:r>
      <w:r w:rsidR="00F73228">
        <w:rPr>
          <w:sz w:val="26"/>
          <w:szCs w:val="26"/>
        </w:rPr>
        <w:t>of</w:t>
      </w:r>
      <w:r w:rsidRPr="00887841">
        <w:rPr>
          <w:sz w:val="26"/>
          <w:szCs w:val="26"/>
        </w:rPr>
        <w:t xml:space="preserve"> environmental and social justice: </w:t>
      </w:r>
    </w:p>
    <w:p w:rsidR="00555FDD" w:rsidP="000B586D" w:rsidRDefault="00D03C84" w14:paraId="0DD8FE61" w14:textId="6A3BCA90">
      <w:pPr>
        <w:pStyle w:val="BlockQuote"/>
        <w:spacing w:line="240" w:lineRule="auto"/>
        <w:ind w:right="1440"/>
        <w:rPr>
          <w:sz w:val="26"/>
          <w:szCs w:val="26"/>
        </w:rPr>
      </w:pPr>
      <w:r w:rsidRPr="00887841">
        <w:rPr>
          <w:sz w:val="26"/>
          <w:szCs w:val="26"/>
        </w:rPr>
        <w:t>Environmental and social justice seeks to come to terms with, and remedy, a history of unfair treatment of communities, predominantly communities of people of color and/ or low</w:t>
      </w:r>
      <w:r w:rsidR="000B586D">
        <w:rPr>
          <w:sz w:val="26"/>
          <w:szCs w:val="26"/>
        </w:rPr>
        <w:noBreakHyphen/>
      </w:r>
      <w:r w:rsidRPr="00887841">
        <w:rPr>
          <w:sz w:val="26"/>
          <w:szCs w:val="26"/>
        </w:rPr>
        <w:t xml:space="preserve">income residents. </w:t>
      </w:r>
      <w:r w:rsidR="000B586D">
        <w:rPr>
          <w:sz w:val="26"/>
          <w:szCs w:val="26"/>
        </w:rPr>
        <w:t xml:space="preserve"> </w:t>
      </w:r>
      <w:r w:rsidRPr="00887841">
        <w:rPr>
          <w:sz w:val="26"/>
          <w:szCs w:val="26"/>
        </w:rPr>
        <w:t>These communities have been subjected to disproportionate impacts from one or more environmental hazards, socio-economic burdens, or both. Residents have been excluded in policy setting or decision-making processes and have lacked protections and benefits afforded to other communities by the implementation of environmental and other regulations, such as those enacted to control polluting activities.</w:t>
      </w:r>
      <w:r w:rsidRPr="00887841">
        <w:rPr>
          <w:sz w:val="26"/>
          <w:szCs w:val="26"/>
          <w:vertAlign w:val="superscript"/>
        </w:rPr>
        <w:footnoteReference w:id="249"/>
      </w:r>
      <w:r w:rsidRPr="00887841">
        <w:rPr>
          <w:sz w:val="26"/>
          <w:szCs w:val="26"/>
        </w:rPr>
        <w:t xml:space="preserve"> </w:t>
      </w:r>
    </w:p>
    <w:p w:rsidRPr="00887841" w:rsidR="00D03C84" w:rsidP="00D03C84" w:rsidRDefault="00D03C84" w14:paraId="148CB023" w14:textId="77777777">
      <w:pPr>
        <w:pStyle w:val="Standard"/>
        <w:rPr>
          <w:sz w:val="26"/>
          <w:szCs w:val="26"/>
        </w:rPr>
      </w:pPr>
      <w:r w:rsidRPr="00887841">
        <w:rPr>
          <w:sz w:val="26"/>
          <w:szCs w:val="26"/>
        </w:rPr>
        <w:t xml:space="preserve">Goals 1, 3 and 6 of the ESJA Plan are relevant for this rulemaking: </w:t>
      </w:r>
    </w:p>
    <w:p w:rsidRPr="00887841" w:rsidR="00D03C84" w:rsidP="000B586D" w:rsidRDefault="00D03C84" w14:paraId="744DEEC7" w14:textId="12D6D94C">
      <w:pPr>
        <w:pStyle w:val="BlockQuote"/>
        <w:spacing w:line="240" w:lineRule="auto"/>
        <w:ind w:right="1440"/>
        <w:rPr>
          <w:sz w:val="26"/>
          <w:szCs w:val="26"/>
        </w:rPr>
      </w:pPr>
      <w:r w:rsidRPr="00887841">
        <w:rPr>
          <w:sz w:val="26"/>
          <w:szCs w:val="26"/>
        </w:rPr>
        <w:t>Goal 1:</w:t>
      </w:r>
      <w:r w:rsidR="000B586D">
        <w:rPr>
          <w:sz w:val="26"/>
          <w:szCs w:val="26"/>
        </w:rPr>
        <w:t xml:space="preserve"> </w:t>
      </w:r>
      <w:r w:rsidRPr="00887841">
        <w:rPr>
          <w:sz w:val="26"/>
          <w:szCs w:val="26"/>
        </w:rPr>
        <w:t xml:space="preserve"> Consistently integrate equity and access considerations throughout CPUC proceedings and other efforts. </w:t>
      </w:r>
    </w:p>
    <w:p w:rsidRPr="00887841" w:rsidR="00D03C84" w:rsidP="000B586D" w:rsidRDefault="00D03C84" w14:paraId="6CCE2DBE" w14:textId="55D23D28">
      <w:pPr>
        <w:pStyle w:val="BlockQuote"/>
        <w:spacing w:line="240" w:lineRule="auto"/>
        <w:ind w:right="1440"/>
        <w:rPr>
          <w:i/>
          <w:sz w:val="26"/>
          <w:szCs w:val="26"/>
        </w:rPr>
      </w:pPr>
      <w:r w:rsidRPr="00887841">
        <w:rPr>
          <w:sz w:val="26"/>
          <w:szCs w:val="26"/>
        </w:rPr>
        <w:t xml:space="preserve">Goal 3: </w:t>
      </w:r>
      <w:r w:rsidR="000B586D">
        <w:rPr>
          <w:sz w:val="26"/>
          <w:szCs w:val="26"/>
        </w:rPr>
        <w:t xml:space="preserve"> </w:t>
      </w:r>
      <w:r w:rsidRPr="00887841">
        <w:rPr>
          <w:sz w:val="26"/>
          <w:szCs w:val="26"/>
        </w:rPr>
        <w:t xml:space="preserve">Strive to improve access to high-quality water, communications, and transportation services for ESJ communities. </w:t>
      </w:r>
    </w:p>
    <w:p w:rsidR="00555FDD" w:rsidP="000B586D" w:rsidRDefault="00D03C84" w14:paraId="3CBDD021" w14:textId="3E77EF39">
      <w:pPr>
        <w:pStyle w:val="BlockQuote"/>
        <w:spacing w:line="240" w:lineRule="auto"/>
        <w:ind w:right="1440"/>
        <w:rPr>
          <w:sz w:val="26"/>
          <w:szCs w:val="26"/>
        </w:rPr>
      </w:pPr>
      <w:r w:rsidRPr="00887841">
        <w:rPr>
          <w:sz w:val="26"/>
          <w:szCs w:val="26"/>
        </w:rPr>
        <w:t xml:space="preserve">Goal 6: </w:t>
      </w:r>
      <w:r w:rsidR="000B586D">
        <w:rPr>
          <w:sz w:val="26"/>
          <w:szCs w:val="26"/>
        </w:rPr>
        <w:t xml:space="preserve"> </w:t>
      </w:r>
      <w:r w:rsidRPr="00887841">
        <w:rPr>
          <w:sz w:val="26"/>
          <w:szCs w:val="26"/>
        </w:rPr>
        <w:t>Enhance enforcement to ensure safety and consumer protection for ESJ communities.</w:t>
      </w:r>
      <w:r w:rsidRPr="00887841">
        <w:rPr>
          <w:i/>
          <w:sz w:val="26"/>
          <w:szCs w:val="26"/>
          <w:vertAlign w:val="superscript"/>
        </w:rPr>
        <w:t xml:space="preserve"> </w:t>
      </w:r>
      <w:r w:rsidRPr="00887841">
        <w:rPr>
          <w:i/>
          <w:sz w:val="26"/>
          <w:szCs w:val="26"/>
          <w:vertAlign w:val="superscript"/>
        </w:rPr>
        <w:footnoteReference w:id="250"/>
      </w:r>
      <w:r w:rsidRPr="00887841">
        <w:rPr>
          <w:i/>
          <w:sz w:val="26"/>
          <w:szCs w:val="26"/>
        </w:rPr>
        <w:t xml:space="preserve"> </w:t>
      </w:r>
      <w:r w:rsidRPr="00887841">
        <w:rPr>
          <w:sz w:val="26"/>
          <w:szCs w:val="26"/>
        </w:rPr>
        <w:t xml:space="preserve"> </w:t>
      </w:r>
    </w:p>
    <w:p w:rsidRPr="001165EB" w:rsidR="00D03C84" w:rsidP="00887841" w:rsidRDefault="4F7709A5" w14:paraId="0B252E06" w14:textId="7201E63D">
      <w:pPr>
        <w:pStyle w:val="Standard"/>
        <w:ind w:firstLine="720"/>
      </w:pPr>
      <w:r w:rsidRPr="484B8F2E">
        <w:rPr>
          <w:sz w:val="26"/>
          <w:szCs w:val="26"/>
        </w:rPr>
        <w:t>This decision advances the Commission’s ESJA Plan goals by affirming the importance of just and reasonable rates for calling services for the incarcerated and their families, wh</w:t>
      </w:r>
      <w:r w:rsidRPr="484B8F2E" w:rsidR="7E999BDE">
        <w:rPr>
          <w:sz w:val="26"/>
          <w:szCs w:val="26"/>
        </w:rPr>
        <w:t xml:space="preserve">o </w:t>
      </w:r>
      <w:r w:rsidRPr="484B8F2E">
        <w:rPr>
          <w:sz w:val="26"/>
          <w:szCs w:val="26"/>
        </w:rPr>
        <w:t xml:space="preserve">are disproportionally represented by people of color in </w:t>
      </w:r>
      <w:r w:rsidRPr="484B8F2E">
        <w:rPr>
          <w:sz w:val="26"/>
          <w:szCs w:val="26"/>
        </w:rPr>
        <w:lastRenderedPageBreak/>
        <w:t xml:space="preserve">California, particularly Black Californians.  This decision affirms Commission enforcement authority to ensure compliance </w:t>
      </w:r>
      <w:r w:rsidRPr="484B8F2E" w:rsidR="7E999BDE">
        <w:rPr>
          <w:sz w:val="26"/>
          <w:szCs w:val="26"/>
        </w:rPr>
        <w:t xml:space="preserve">with this decision </w:t>
      </w:r>
      <w:r w:rsidRPr="484B8F2E">
        <w:rPr>
          <w:sz w:val="26"/>
          <w:szCs w:val="26"/>
        </w:rPr>
        <w:t xml:space="preserve">and indicates that subsequent decisions may enhance Staff enforcement authority, as needed.  Subsequent decisions in this rulemaking will examine issues of service quality for the incarcerated and their families and work to </w:t>
      </w:r>
      <w:r w:rsidRPr="70641067" w:rsidR="769ADA31">
        <w:rPr>
          <w:sz w:val="26"/>
          <w:szCs w:val="26"/>
        </w:rPr>
        <w:t xml:space="preserve">mitigate </w:t>
      </w:r>
      <w:r w:rsidR="00CF5603">
        <w:rPr>
          <w:sz w:val="26"/>
          <w:szCs w:val="26"/>
        </w:rPr>
        <w:t xml:space="preserve">or eliminate </w:t>
      </w:r>
      <w:r w:rsidRPr="484B8F2E" w:rsidR="75AE6FEC">
        <w:rPr>
          <w:sz w:val="26"/>
          <w:szCs w:val="26"/>
        </w:rPr>
        <w:t>deficiencies</w:t>
      </w:r>
      <w:r w:rsidRPr="484B8F2E">
        <w:rPr>
          <w:sz w:val="26"/>
          <w:szCs w:val="26"/>
        </w:rPr>
        <w:t xml:space="preserve">.  </w:t>
      </w:r>
    </w:p>
    <w:p w:rsidR="00825298" w:rsidP="00825298" w:rsidRDefault="00825298" w14:paraId="147E753B" w14:textId="1C68D604">
      <w:pPr>
        <w:pStyle w:val="Heading1"/>
        <w:numPr>
          <w:ilvl w:val="0"/>
          <w:numId w:val="1"/>
        </w:numPr>
      </w:pPr>
      <w:bookmarkStart w:name="_Toc80089421" w:id="64"/>
      <w:r w:rsidRPr="00825298">
        <w:t>Streamlining the R.20-10-002 Service List</w:t>
      </w:r>
      <w:bookmarkEnd w:id="64"/>
    </w:p>
    <w:p w:rsidR="00825298" w:rsidP="004E7E23" w:rsidRDefault="00825298" w14:paraId="657FB76B" w14:textId="1CE92026">
      <w:pPr>
        <w:pStyle w:val="Standard"/>
        <w:ind w:firstLine="720"/>
        <w:rPr>
          <w:sz w:val="26"/>
          <w:szCs w:val="26"/>
        </w:rPr>
      </w:pPr>
      <w:r w:rsidRPr="00B827DE">
        <w:rPr>
          <w:sz w:val="26"/>
          <w:szCs w:val="26"/>
        </w:rPr>
        <w:t xml:space="preserve">The </w:t>
      </w:r>
      <w:r w:rsidR="00E64E41">
        <w:rPr>
          <w:sz w:val="26"/>
          <w:szCs w:val="26"/>
        </w:rPr>
        <w:t xml:space="preserve">OIR </w:t>
      </w:r>
      <w:r>
        <w:rPr>
          <w:sz w:val="26"/>
          <w:szCs w:val="26"/>
        </w:rPr>
        <w:t xml:space="preserve">for this proceeding </w:t>
      </w:r>
      <w:r w:rsidRPr="00B827DE">
        <w:rPr>
          <w:sz w:val="26"/>
          <w:szCs w:val="26"/>
        </w:rPr>
        <w:t xml:space="preserve">listed as respondents all telephone corporations holding a </w:t>
      </w:r>
      <w:r>
        <w:rPr>
          <w:sz w:val="26"/>
          <w:szCs w:val="26"/>
        </w:rPr>
        <w:t>CPCN</w:t>
      </w:r>
      <w:r w:rsidR="00E64E41">
        <w:rPr>
          <w:sz w:val="26"/>
          <w:szCs w:val="26"/>
        </w:rPr>
        <w:t xml:space="preserve"> </w:t>
      </w:r>
      <w:r w:rsidRPr="00B827DE">
        <w:rPr>
          <w:sz w:val="26"/>
          <w:szCs w:val="26"/>
        </w:rPr>
        <w:t xml:space="preserve">approved by the Commission, including Competitive Local Carriers, Competitive Local Resellers, Local Exchange Carriers, Interexchange Carriers, and Interexchange Resellers. </w:t>
      </w:r>
      <w:r w:rsidR="004E7E23">
        <w:rPr>
          <w:sz w:val="26"/>
          <w:szCs w:val="26"/>
        </w:rPr>
        <w:t xml:space="preserve"> </w:t>
      </w:r>
      <w:r w:rsidRPr="00B827DE">
        <w:rPr>
          <w:sz w:val="26"/>
          <w:szCs w:val="26"/>
        </w:rPr>
        <w:t>The O</w:t>
      </w:r>
      <w:r w:rsidR="00E64E41">
        <w:rPr>
          <w:sz w:val="26"/>
          <w:szCs w:val="26"/>
        </w:rPr>
        <w:t>IR</w:t>
      </w:r>
      <w:r>
        <w:rPr>
          <w:sz w:val="26"/>
          <w:szCs w:val="26"/>
        </w:rPr>
        <w:t xml:space="preserve"> </w:t>
      </w:r>
      <w:r w:rsidRPr="00B827DE">
        <w:rPr>
          <w:sz w:val="26"/>
          <w:szCs w:val="26"/>
        </w:rPr>
        <w:t xml:space="preserve">also named as respondents Digital Voice Service Registrants that do not require a CPCN. </w:t>
      </w:r>
      <w:r>
        <w:rPr>
          <w:sz w:val="26"/>
          <w:szCs w:val="26"/>
        </w:rPr>
        <w:t xml:space="preserve"> The Commission broadly identified respondents to this proceeding because we had not yet identified which telecommunications carriers operating in California were providing IPCS.</w:t>
      </w:r>
    </w:p>
    <w:p w:rsidR="005A2835" w:rsidP="00825298" w:rsidRDefault="00825298" w14:paraId="3BBBFBBF" w14:textId="5BF2A6E1">
      <w:pPr>
        <w:pStyle w:val="Standard"/>
        <w:ind w:firstLine="720"/>
        <w:rPr>
          <w:sz w:val="26"/>
          <w:szCs w:val="26"/>
        </w:rPr>
      </w:pPr>
      <w:r>
        <w:rPr>
          <w:sz w:val="26"/>
          <w:szCs w:val="26"/>
        </w:rPr>
        <w:t xml:space="preserve">Pursuant to Rule 1.4(d) of the Commission’s Rules of Practice and Procedure, all respondents are automatically designated as parties. As a </w:t>
      </w:r>
      <w:r w:rsidRPr="00B827DE">
        <w:rPr>
          <w:sz w:val="26"/>
          <w:szCs w:val="26"/>
        </w:rPr>
        <w:t xml:space="preserve">result, as of </w:t>
      </w:r>
      <w:r>
        <w:rPr>
          <w:sz w:val="26"/>
          <w:szCs w:val="26"/>
        </w:rPr>
        <w:t xml:space="preserve">May 4, 2021, some </w:t>
      </w:r>
      <w:r w:rsidRPr="00B827DE">
        <w:rPr>
          <w:sz w:val="26"/>
          <w:szCs w:val="26"/>
        </w:rPr>
        <w:t xml:space="preserve">842 </w:t>
      </w:r>
      <w:r>
        <w:rPr>
          <w:sz w:val="26"/>
          <w:szCs w:val="26"/>
        </w:rPr>
        <w:t xml:space="preserve">entities were </w:t>
      </w:r>
      <w:r w:rsidRPr="00B827DE">
        <w:rPr>
          <w:sz w:val="26"/>
          <w:szCs w:val="26"/>
        </w:rPr>
        <w:t>partie</w:t>
      </w:r>
      <w:r>
        <w:rPr>
          <w:sz w:val="26"/>
          <w:szCs w:val="26"/>
        </w:rPr>
        <w:t xml:space="preserve">s to this proceeding. </w:t>
      </w:r>
      <w:r w:rsidRPr="00B827DE">
        <w:rPr>
          <w:sz w:val="26"/>
          <w:szCs w:val="26"/>
        </w:rPr>
        <w:t xml:space="preserve"> However, </w:t>
      </w:r>
      <w:r>
        <w:rPr>
          <w:sz w:val="26"/>
          <w:szCs w:val="26"/>
        </w:rPr>
        <w:t>a</w:t>
      </w:r>
      <w:r w:rsidR="005A2835">
        <w:rPr>
          <w:sz w:val="26"/>
          <w:szCs w:val="26"/>
        </w:rPr>
        <w:t xml:space="preserve"> December 2020 </w:t>
      </w:r>
      <w:r>
        <w:rPr>
          <w:sz w:val="26"/>
          <w:szCs w:val="26"/>
        </w:rPr>
        <w:t>Commission Staff data request identified only six providers of IPCS in California</w:t>
      </w:r>
      <w:r w:rsidR="00E64E41">
        <w:rPr>
          <w:sz w:val="26"/>
          <w:szCs w:val="26"/>
        </w:rPr>
        <w:t xml:space="preserve"> and a</w:t>
      </w:r>
      <w:r>
        <w:rPr>
          <w:sz w:val="26"/>
          <w:szCs w:val="26"/>
        </w:rPr>
        <w:t xml:space="preserve">s of May 4, 2021, </w:t>
      </w:r>
      <w:r w:rsidRPr="00B827DE">
        <w:rPr>
          <w:sz w:val="26"/>
          <w:szCs w:val="26"/>
        </w:rPr>
        <w:t>only 14 parties ha</w:t>
      </w:r>
      <w:r>
        <w:rPr>
          <w:sz w:val="26"/>
          <w:szCs w:val="26"/>
        </w:rPr>
        <w:t>d</w:t>
      </w:r>
      <w:r w:rsidRPr="00B827DE">
        <w:rPr>
          <w:sz w:val="26"/>
          <w:szCs w:val="26"/>
        </w:rPr>
        <w:t xml:space="preserve"> participated in the proceeding by filing a substantive pleading</w:t>
      </w:r>
      <w:r>
        <w:rPr>
          <w:sz w:val="26"/>
          <w:szCs w:val="26"/>
        </w:rPr>
        <w:t xml:space="preserve">.  </w:t>
      </w:r>
    </w:p>
    <w:p w:rsidR="00825298" w:rsidP="00825298" w:rsidRDefault="00825298" w14:paraId="6FAC6D5E" w14:textId="70DE8FDF">
      <w:pPr>
        <w:pStyle w:val="Standard"/>
        <w:ind w:firstLine="720"/>
        <w:rPr>
          <w:sz w:val="26"/>
          <w:szCs w:val="26"/>
        </w:rPr>
      </w:pPr>
      <w:r>
        <w:rPr>
          <w:sz w:val="26"/>
          <w:szCs w:val="26"/>
        </w:rPr>
        <w:t xml:space="preserve">A large service list complicates service </w:t>
      </w:r>
      <w:r w:rsidR="00501991">
        <w:rPr>
          <w:sz w:val="26"/>
          <w:szCs w:val="26"/>
        </w:rPr>
        <w:t xml:space="preserve">of proceeding documents </w:t>
      </w:r>
      <w:r>
        <w:rPr>
          <w:sz w:val="26"/>
          <w:szCs w:val="26"/>
        </w:rPr>
        <w:t>to parties due to email size limits</w:t>
      </w:r>
      <w:r w:rsidR="00501991">
        <w:rPr>
          <w:sz w:val="26"/>
          <w:szCs w:val="26"/>
        </w:rPr>
        <w:t xml:space="preserve">.  Additionally, </w:t>
      </w:r>
      <w:proofErr w:type="gramStart"/>
      <w:r w:rsidR="00501991">
        <w:rPr>
          <w:sz w:val="26"/>
          <w:szCs w:val="26"/>
        </w:rPr>
        <w:t>a number of</w:t>
      </w:r>
      <w:proofErr w:type="gramEnd"/>
      <w:r w:rsidR="00501991">
        <w:rPr>
          <w:sz w:val="26"/>
          <w:szCs w:val="26"/>
        </w:rPr>
        <w:t xml:space="preserve"> </w:t>
      </w:r>
      <w:r>
        <w:rPr>
          <w:sz w:val="26"/>
          <w:szCs w:val="26"/>
        </w:rPr>
        <w:t xml:space="preserve">companies not providing IPCS </w:t>
      </w:r>
      <w:r w:rsidR="007C0528">
        <w:rPr>
          <w:sz w:val="26"/>
          <w:szCs w:val="26"/>
        </w:rPr>
        <w:t>reques</w:t>
      </w:r>
      <w:r w:rsidR="002D704D">
        <w:rPr>
          <w:sz w:val="26"/>
          <w:szCs w:val="26"/>
        </w:rPr>
        <w:t>ted</w:t>
      </w:r>
      <w:r w:rsidR="007C0528">
        <w:rPr>
          <w:sz w:val="26"/>
          <w:szCs w:val="26"/>
        </w:rPr>
        <w:t xml:space="preserve"> to </w:t>
      </w:r>
      <w:r>
        <w:rPr>
          <w:sz w:val="26"/>
          <w:szCs w:val="26"/>
        </w:rPr>
        <w:t xml:space="preserve">be removed from the service list.  </w:t>
      </w:r>
    </w:p>
    <w:p w:rsidR="00345A2E" w:rsidP="00825298" w:rsidRDefault="00825298" w14:paraId="10B8AD48" w14:textId="06F8E161">
      <w:pPr>
        <w:pStyle w:val="Standard"/>
        <w:ind w:firstLine="720"/>
        <w:rPr>
          <w:sz w:val="26"/>
          <w:szCs w:val="26"/>
        </w:rPr>
      </w:pPr>
      <w:r>
        <w:rPr>
          <w:sz w:val="26"/>
          <w:szCs w:val="26"/>
        </w:rPr>
        <w:t>To address th</w:t>
      </w:r>
      <w:r w:rsidR="00004C1D">
        <w:rPr>
          <w:sz w:val="26"/>
          <w:szCs w:val="26"/>
        </w:rPr>
        <w:t>ese issues</w:t>
      </w:r>
      <w:r>
        <w:rPr>
          <w:sz w:val="26"/>
          <w:szCs w:val="26"/>
        </w:rPr>
        <w:t xml:space="preserve">, the assigned ALJ issued a </w:t>
      </w:r>
      <w:r w:rsidRPr="006B106C">
        <w:rPr>
          <w:i/>
          <w:iCs/>
          <w:sz w:val="26"/>
          <w:szCs w:val="26"/>
        </w:rPr>
        <w:t>Ruling Describing Process to Remove Most Telecommunications Carriers from Service List</w:t>
      </w:r>
      <w:r w:rsidR="00004C1D">
        <w:rPr>
          <w:i/>
          <w:iCs/>
          <w:sz w:val="26"/>
          <w:szCs w:val="26"/>
        </w:rPr>
        <w:t xml:space="preserve"> </w:t>
      </w:r>
      <w:r w:rsidR="00004C1D">
        <w:rPr>
          <w:sz w:val="26"/>
          <w:szCs w:val="26"/>
        </w:rPr>
        <w:t>on May 4, 2021</w:t>
      </w:r>
      <w:r w:rsidRPr="006B106C">
        <w:rPr>
          <w:i/>
          <w:iCs/>
          <w:sz w:val="26"/>
          <w:szCs w:val="26"/>
        </w:rPr>
        <w:t>.</w:t>
      </w:r>
      <w:r w:rsidR="002D704D">
        <w:rPr>
          <w:i/>
          <w:iCs/>
          <w:sz w:val="26"/>
          <w:szCs w:val="26"/>
        </w:rPr>
        <w:t xml:space="preserve"> </w:t>
      </w:r>
      <w:r w:rsidR="002D704D">
        <w:rPr>
          <w:sz w:val="26"/>
          <w:szCs w:val="26"/>
        </w:rPr>
        <w:t xml:space="preserve"> The </w:t>
      </w:r>
      <w:r w:rsidR="002D704D">
        <w:rPr>
          <w:sz w:val="26"/>
          <w:szCs w:val="26"/>
        </w:rPr>
        <w:lastRenderedPageBreak/>
        <w:t xml:space="preserve">ruling </w:t>
      </w:r>
      <w:r w:rsidR="00D1375D">
        <w:rPr>
          <w:sz w:val="26"/>
          <w:szCs w:val="26"/>
        </w:rPr>
        <w:t>identified</w:t>
      </w:r>
      <w:r w:rsidR="00785402">
        <w:rPr>
          <w:sz w:val="26"/>
          <w:szCs w:val="26"/>
        </w:rPr>
        <w:t xml:space="preserve"> 39 entities that </w:t>
      </w:r>
      <w:r w:rsidR="00090EAF">
        <w:rPr>
          <w:sz w:val="26"/>
          <w:szCs w:val="26"/>
        </w:rPr>
        <w:t>the assigned ALJ proposed would retain their party status</w:t>
      </w:r>
      <w:r w:rsidR="003D126D">
        <w:rPr>
          <w:sz w:val="26"/>
          <w:szCs w:val="26"/>
        </w:rPr>
        <w:t>.  These included</w:t>
      </w:r>
      <w:r w:rsidR="00D1375D">
        <w:rPr>
          <w:sz w:val="26"/>
          <w:szCs w:val="26"/>
        </w:rPr>
        <w:t xml:space="preserve"> 14 active parties</w:t>
      </w:r>
      <w:r w:rsidR="00133159">
        <w:rPr>
          <w:sz w:val="26"/>
          <w:szCs w:val="26"/>
        </w:rPr>
        <w:t xml:space="preserve"> that had filed substantive pleadings</w:t>
      </w:r>
      <w:r w:rsidR="00B86D3B">
        <w:rPr>
          <w:sz w:val="26"/>
          <w:szCs w:val="26"/>
        </w:rPr>
        <w:t>, including four IPCS p</w:t>
      </w:r>
      <w:r w:rsidR="00E64E41">
        <w:rPr>
          <w:sz w:val="26"/>
          <w:szCs w:val="26"/>
        </w:rPr>
        <w:t>roviders</w:t>
      </w:r>
      <w:r w:rsidR="00345A2E">
        <w:rPr>
          <w:sz w:val="26"/>
          <w:szCs w:val="26"/>
        </w:rPr>
        <w:t>,</w:t>
      </w:r>
      <w:r w:rsidR="00D1375D">
        <w:rPr>
          <w:sz w:val="26"/>
          <w:szCs w:val="26"/>
        </w:rPr>
        <w:t xml:space="preserve"> </w:t>
      </w:r>
      <w:r w:rsidR="00133159">
        <w:rPr>
          <w:sz w:val="26"/>
          <w:szCs w:val="26"/>
        </w:rPr>
        <w:t xml:space="preserve">five additional </w:t>
      </w:r>
      <w:r w:rsidR="00D1375D">
        <w:rPr>
          <w:sz w:val="26"/>
          <w:szCs w:val="26"/>
        </w:rPr>
        <w:t>providers of IPCS as identified by Staff</w:t>
      </w:r>
      <w:r w:rsidR="003D126D">
        <w:rPr>
          <w:sz w:val="26"/>
          <w:szCs w:val="26"/>
        </w:rPr>
        <w:t xml:space="preserve"> that had not as of that date filed substantive pleadings</w:t>
      </w:r>
      <w:r w:rsidR="00345A2E">
        <w:rPr>
          <w:sz w:val="26"/>
          <w:szCs w:val="26"/>
        </w:rPr>
        <w:t>,</w:t>
      </w:r>
      <w:r w:rsidR="00133159">
        <w:rPr>
          <w:sz w:val="26"/>
          <w:szCs w:val="26"/>
        </w:rPr>
        <w:t xml:space="preserve"> </w:t>
      </w:r>
      <w:r w:rsidR="00F521B5">
        <w:rPr>
          <w:sz w:val="26"/>
          <w:szCs w:val="26"/>
        </w:rPr>
        <w:t xml:space="preserve">and </w:t>
      </w:r>
      <w:r w:rsidR="00650577">
        <w:rPr>
          <w:sz w:val="26"/>
          <w:szCs w:val="26"/>
        </w:rPr>
        <w:t>20</w:t>
      </w:r>
      <w:r w:rsidR="004E7E23">
        <w:rPr>
          <w:sz w:val="26"/>
          <w:szCs w:val="26"/>
        </w:rPr>
        <w:t> </w:t>
      </w:r>
      <w:r w:rsidR="00650577">
        <w:rPr>
          <w:sz w:val="26"/>
          <w:szCs w:val="26"/>
        </w:rPr>
        <w:t xml:space="preserve">telecommunications companies providing service to </w:t>
      </w:r>
      <w:r w:rsidR="00C93BC9">
        <w:rPr>
          <w:sz w:val="26"/>
          <w:szCs w:val="26"/>
        </w:rPr>
        <w:t>administrative centers of incarceration facilities but not to the incarcerated</w:t>
      </w:r>
      <w:r w:rsidR="008D53DC">
        <w:rPr>
          <w:sz w:val="26"/>
          <w:szCs w:val="26"/>
        </w:rPr>
        <w:t xml:space="preserve">.  </w:t>
      </w:r>
    </w:p>
    <w:p w:rsidR="00825298" w:rsidP="00825298" w:rsidRDefault="008D53DC" w14:paraId="44ECA5C3" w14:textId="6CBF49E0">
      <w:pPr>
        <w:pStyle w:val="Standard"/>
        <w:ind w:firstLine="720"/>
        <w:rPr>
          <w:sz w:val="26"/>
          <w:szCs w:val="26"/>
        </w:rPr>
      </w:pPr>
      <w:r>
        <w:rPr>
          <w:sz w:val="26"/>
          <w:szCs w:val="26"/>
        </w:rPr>
        <w:t xml:space="preserve">The ruling also identified </w:t>
      </w:r>
      <w:r w:rsidR="001923B7">
        <w:rPr>
          <w:sz w:val="26"/>
          <w:szCs w:val="26"/>
        </w:rPr>
        <w:t>four</w:t>
      </w:r>
      <w:r>
        <w:rPr>
          <w:sz w:val="26"/>
          <w:szCs w:val="26"/>
        </w:rPr>
        <w:t xml:space="preserve"> telecommunications providers that ha</w:t>
      </w:r>
      <w:r w:rsidR="009367B4">
        <w:rPr>
          <w:sz w:val="26"/>
          <w:szCs w:val="26"/>
        </w:rPr>
        <w:t xml:space="preserve">d indicated their interest in the proceeding but not filed substantive pleadings.  The ruling </w:t>
      </w:r>
      <w:r w:rsidR="00A85606">
        <w:rPr>
          <w:sz w:val="26"/>
          <w:szCs w:val="26"/>
        </w:rPr>
        <w:t xml:space="preserve">indicated that the assigned ALJ would transfer these </w:t>
      </w:r>
      <w:r w:rsidR="00345A2E">
        <w:rPr>
          <w:sz w:val="26"/>
          <w:szCs w:val="26"/>
        </w:rPr>
        <w:t xml:space="preserve">four </w:t>
      </w:r>
      <w:r w:rsidR="009367B4">
        <w:rPr>
          <w:sz w:val="26"/>
          <w:szCs w:val="26"/>
        </w:rPr>
        <w:t xml:space="preserve">entities </w:t>
      </w:r>
      <w:r w:rsidR="00552FED">
        <w:rPr>
          <w:sz w:val="26"/>
          <w:szCs w:val="26"/>
        </w:rPr>
        <w:t xml:space="preserve">to “information only” status </w:t>
      </w:r>
      <w:r w:rsidR="00A85606">
        <w:rPr>
          <w:sz w:val="26"/>
          <w:szCs w:val="26"/>
        </w:rPr>
        <w:t xml:space="preserve">unless they </w:t>
      </w:r>
      <w:r w:rsidR="001E1E28">
        <w:rPr>
          <w:sz w:val="26"/>
          <w:szCs w:val="26"/>
        </w:rPr>
        <w:t xml:space="preserve">emailed </w:t>
      </w:r>
      <w:r w:rsidR="00A85606">
        <w:rPr>
          <w:sz w:val="26"/>
          <w:szCs w:val="26"/>
        </w:rPr>
        <w:t xml:space="preserve">the ALJ with a different request </w:t>
      </w:r>
      <w:r w:rsidR="001E1E28">
        <w:rPr>
          <w:sz w:val="26"/>
          <w:szCs w:val="26"/>
        </w:rPr>
        <w:t>within 15 days.  The ruling also indicated that a</w:t>
      </w:r>
      <w:r w:rsidR="00473C9F">
        <w:rPr>
          <w:sz w:val="26"/>
          <w:szCs w:val="26"/>
        </w:rPr>
        <w:t xml:space="preserve">ny </w:t>
      </w:r>
      <w:r w:rsidR="001E1E28">
        <w:rPr>
          <w:sz w:val="26"/>
          <w:szCs w:val="26"/>
        </w:rPr>
        <w:t>part</w:t>
      </w:r>
      <w:r w:rsidR="00473C9F">
        <w:rPr>
          <w:sz w:val="26"/>
          <w:szCs w:val="26"/>
        </w:rPr>
        <w:t>y</w:t>
      </w:r>
      <w:r w:rsidR="001E1E28">
        <w:rPr>
          <w:sz w:val="26"/>
          <w:szCs w:val="26"/>
        </w:rPr>
        <w:t xml:space="preserve"> not identified in the ruling would be removed from the service list unless </w:t>
      </w:r>
      <w:r w:rsidR="00473C9F">
        <w:rPr>
          <w:sz w:val="26"/>
          <w:szCs w:val="26"/>
        </w:rPr>
        <w:t xml:space="preserve">it </w:t>
      </w:r>
      <w:r w:rsidR="001E1E28">
        <w:rPr>
          <w:sz w:val="26"/>
          <w:szCs w:val="26"/>
        </w:rPr>
        <w:t>emailed the ALJ within 15 days.</w:t>
      </w:r>
      <w:r w:rsidR="00A86937">
        <w:rPr>
          <w:sz w:val="26"/>
          <w:szCs w:val="26"/>
        </w:rPr>
        <w:t xml:space="preserve">  </w:t>
      </w:r>
    </w:p>
    <w:p w:rsidR="00494B39" w:rsidP="00494B39" w:rsidRDefault="008A099E" w14:paraId="608EBCF9" w14:textId="4DEA9CA2">
      <w:pPr>
        <w:pStyle w:val="Heading2"/>
      </w:pPr>
      <w:bookmarkStart w:name="_Toc80089422" w:id="65"/>
      <w:r>
        <w:t>10</w:t>
      </w:r>
      <w:r w:rsidR="00494B39">
        <w:t>.1</w:t>
      </w:r>
      <w:r w:rsidR="00494B39">
        <w:tab/>
      </w:r>
      <w:r w:rsidR="00090B39">
        <w:t xml:space="preserve">Transfer of </w:t>
      </w:r>
      <w:r w:rsidR="00494B39">
        <w:t xml:space="preserve">Parties to </w:t>
      </w:r>
      <w:r w:rsidR="004E7E23">
        <w:br/>
      </w:r>
      <w:r w:rsidR="00090B39">
        <w:t>“Information-Only” Status</w:t>
      </w:r>
      <w:bookmarkEnd w:id="65"/>
    </w:p>
    <w:p w:rsidR="002C384F" w:rsidP="004E7E23" w:rsidRDefault="00723E4C" w14:paraId="37C2EF3A" w14:textId="16524975">
      <w:pPr>
        <w:pStyle w:val="Standard"/>
        <w:ind w:firstLine="720"/>
        <w:rPr>
          <w:sz w:val="26"/>
          <w:szCs w:val="26"/>
        </w:rPr>
      </w:pPr>
      <w:r>
        <w:rPr>
          <w:sz w:val="26"/>
          <w:szCs w:val="26"/>
        </w:rPr>
        <w:t xml:space="preserve">This decision updates the list of parties to R.20-10-002.  </w:t>
      </w:r>
      <w:r w:rsidR="00B60524">
        <w:rPr>
          <w:sz w:val="26"/>
          <w:szCs w:val="26"/>
        </w:rPr>
        <w:t xml:space="preserve">No party contacted the assigned ALJ within 15 days of the ruling requesting to retain party status.  </w:t>
      </w:r>
      <w:r w:rsidR="008E7E9C">
        <w:rPr>
          <w:sz w:val="26"/>
          <w:szCs w:val="26"/>
        </w:rPr>
        <w:t xml:space="preserve">However, the </w:t>
      </w:r>
      <w:r w:rsidR="00CE0F9B">
        <w:rPr>
          <w:sz w:val="26"/>
          <w:szCs w:val="26"/>
        </w:rPr>
        <w:t xml:space="preserve">assigned </w:t>
      </w:r>
      <w:r w:rsidR="00957CFC">
        <w:rPr>
          <w:sz w:val="26"/>
          <w:szCs w:val="26"/>
        </w:rPr>
        <w:t xml:space="preserve">ALJ </w:t>
      </w:r>
      <w:r w:rsidR="00E64E41">
        <w:rPr>
          <w:sz w:val="26"/>
          <w:szCs w:val="26"/>
        </w:rPr>
        <w:t xml:space="preserve">received an </w:t>
      </w:r>
      <w:r w:rsidR="00CE0F9B">
        <w:rPr>
          <w:sz w:val="26"/>
          <w:szCs w:val="26"/>
        </w:rPr>
        <w:t>emailed</w:t>
      </w:r>
      <w:r w:rsidR="00E64E41">
        <w:rPr>
          <w:sz w:val="26"/>
          <w:szCs w:val="26"/>
        </w:rPr>
        <w:t xml:space="preserve"> from </w:t>
      </w:r>
      <w:r w:rsidR="00CE0F9B">
        <w:rPr>
          <w:sz w:val="26"/>
          <w:szCs w:val="26"/>
        </w:rPr>
        <w:t xml:space="preserve">a representative of several small </w:t>
      </w:r>
      <w:r w:rsidR="00A7684E">
        <w:rPr>
          <w:sz w:val="26"/>
          <w:szCs w:val="26"/>
        </w:rPr>
        <w:t xml:space="preserve">Local Exchange Carriers </w:t>
      </w:r>
      <w:r w:rsidR="00DD1294">
        <w:rPr>
          <w:sz w:val="26"/>
          <w:szCs w:val="26"/>
        </w:rPr>
        <w:t xml:space="preserve">that </w:t>
      </w:r>
      <w:r w:rsidR="00957CFC">
        <w:rPr>
          <w:sz w:val="26"/>
          <w:szCs w:val="26"/>
        </w:rPr>
        <w:t>request</w:t>
      </w:r>
      <w:r w:rsidR="00DD1294">
        <w:rPr>
          <w:sz w:val="26"/>
          <w:szCs w:val="26"/>
        </w:rPr>
        <w:t>ed</w:t>
      </w:r>
      <w:r w:rsidR="00957CFC">
        <w:rPr>
          <w:sz w:val="26"/>
          <w:szCs w:val="26"/>
        </w:rPr>
        <w:t xml:space="preserve"> to remain on the service list in </w:t>
      </w:r>
      <w:r w:rsidR="00DD1294">
        <w:rPr>
          <w:sz w:val="26"/>
          <w:szCs w:val="26"/>
        </w:rPr>
        <w:t>“</w:t>
      </w:r>
      <w:r w:rsidR="00957CFC">
        <w:rPr>
          <w:sz w:val="26"/>
          <w:szCs w:val="26"/>
        </w:rPr>
        <w:t>information</w:t>
      </w:r>
      <w:r w:rsidR="00DD1294">
        <w:rPr>
          <w:sz w:val="26"/>
          <w:szCs w:val="26"/>
        </w:rPr>
        <w:t xml:space="preserve"> </w:t>
      </w:r>
      <w:r w:rsidR="00957CFC">
        <w:rPr>
          <w:sz w:val="26"/>
          <w:szCs w:val="26"/>
        </w:rPr>
        <w:t>only” status</w:t>
      </w:r>
      <w:r w:rsidR="00674D75">
        <w:rPr>
          <w:sz w:val="26"/>
          <w:szCs w:val="26"/>
        </w:rPr>
        <w:t>.  These parties also stated that the ruling had incorrectly indicated that some of them provide</w:t>
      </w:r>
      <w:r w:rsidR="00F917C6">
        <w:rPr>
          <w:sz w:val="26"/>
          <w:szCs w:val="26"/>
        </w:rPr>
        <w:t xml:space="preserve"> telecommunications to </w:t>
      </w:r>
      <w:r w:rsidR="00E64E41">
        <w:rPr>
          <w:sz w:val="26"/>
          <w:szCs w:val="26"/>
        </w:rPr>
        <w:t xml:space="preserve">the administrative centers of some </w:t>
      </w:r>
      <w:r w:rsidR="00F917C6">
        <w:rPr>
          <w:sz w:val="26"/>
          <w:szCs w:val="26"/>
        </w:rPr>
        <w:t>incarceration facilities</w:t>
      </w:r>
      <w:r w:rsidR="00353B14">
        <w:rPr>
          <w:sz w:val="26"/>
          <w:szCs w:val="26"/>
        </w:rPr>
        <w:t xml:space="preserve">, namely </w:t>
      </w:r>
      <w:r w:rsidRPr="00F917C6" w:rsidR="00F917C6">
        <w:rPr>
          <w:sz w:val="26"/>
          <w:szCs w:val="26"/>
        </w:rPr>
        <w:t xml:space="preserve">Calaveras Telephone Company, </w:t>
      </w:r>
      <w:r w:rsidR="003050DD">
        <w:rPr>
          <w:sz w:val="26"/>
          <w:szCs w:val="26"/>
        </w:rPr>
        <w:t>t</w:t>
      </w:r>
      <w:r w:rsidRPr="00F917C6" w:rsidR="00F917C6">
        <w:rPr>
          <w:sz w:val="26"/>
          <w:szCs w:val="26"/>
        </w:rPr>
        <w:t xml:space="preserve">he Ponderosa Telephone Co., </w:t>
      </w:r>
      <w:r w:rsidR="005D77DA">
        <w:rPr>
          <w:sz w:val="26"/>
          <w:szCs w:val="26"/>
        </w:rPr>
        <w:t xml:space="preserve">the </w:t>
      </w:r>
      <w:proofErr w:type="spellStart"/>
      <w:r w:rsidRPr="00F917C6" w:rsidR="00F917C6">
        <w:rPr>
          <w:sz w:val="26"/>
          <w:szCs w:val="26"/>
        </w:rPr>
        <w:t>Winterhaven</w:t>
      </w:r>
      <w:proofErr w:type="spellEnd"/>
      <w:r w:rsidRPr="00F917C6" w:rsidR="00F917C6">
        <w:rPr>
          <w:sz w:val="26"/>
          <w:szCs w:val="26"/>
        </w:rPr>
        <w:t xml:space="preserve"> Telephone Company</w:t>
      </w:r>
      <w:r w:rsidR="003050DD">
        <w:rPr>
          <w:sz w:val="26"/>
          <w:szCs w:val="26"/>
        </w:rPr>
        <w:t xml:space="preserve">, </w:t>
      </w:r>
      <w:r w:rsidRPr="00F917C6" w:rsidR="003050DD">
        <w:rPr>
          <w:sz w:val="26"/>
          <w:szCs w:val="26"/>
        </w:rPr>
        <w:t xml:space="preserve">Happy Valley Telephone Company, </w:t>
      </w:r>
      <w:r w:rsidR="003050DD">
        <w:rPr>
          <w:sz w:val="26"/>
          <w:szCs w:val="26"/>
        </w:rPr>
        <w:t xml:space="preserve">and the </w:t>
      </w:r>
      <w:r w:rsidRPr="00F917C6" w:rsidR="003050DD">
        <w:rPr>
          <w:sz w:val="26"/>
          <w:szCs w:val="26"/>
        </w:rPr>
        <w:t>Hornitos Telephone Company</w:t>
      </w:r>
      <w:r w:rsidR="00353B14">
        <w:rPr>
          <w:sz w:val="26"/>
          <w:szCs w:val="26"/>
        </w:rPr>
        <w:t xml:space="preserve">.  However, we have been unable to independently verify this and thus retain these </w:t>
      </w:r>
      <w:r w:rsidR="000F40C8">
        <w:rPr>
          <w:sz w:val="26"/>
          <w:szCs w:val="26"/>
        </w:rPr>
        <w:t xml:space="preserve">companies as parties for the time being. </w:t>
      </w:r>
      <w:r w:rsidRPr="00F917C6" w:rsidR="003050DD">
        <w:rPr>
          <w:sz w:val="26"/>
          <w:szCs w:val="26"/>
        </w:rPr>
        <w:t xml:space="preserve"> </w:t>
      </w:r>
      <w:r w:rsidR="002C384F">
        <w:rPr>
          <w:sz w:val="26"/>
          <w:szCs w:val="26"/>
        </w:rPr>
        <w:t xml:space="preserve">Additionally, the ruling </w:t>
      </w:r>
      <w:r w:rsidR="002C384F">
        <w:rPr>
          <w:sz w:val="26"/>
          <w:szCs w:val="26"/>
        </w:rPr>
        <w:lastRenderedPageBreak/>
        <w:t>erred by not identifying Verizon as a party; Verizon filed a substantive pleading on April 30, 2021.</w:t>
      </w:r>
    </w:p>
    <w:p w:rsidRPr="00B75226" w:rsidR="00BB3EF4" w:rsidP="00BB3EF4" w:rsidRDefault="00BB3EF4" w14:paraId="6B757B6A" w14:textId="3392E5E1">
      <w:pPr>
        <w:pStyle w:val="Standard"/>
        <w:ind w:firstLine="720"/>
        <w:rPr>
          <w:sz w:val="26"/>
          <w:szCs w:val="26"/>
        </w:rPr>
      </w:pPr>
      <w:r w:rsidRPr="00B75226">
        <w:rPr>
          <w:sz w:val="26"/>
          <w:szCs w:val="26"/>
        </w:rPr>
        <w:t>We direct the</w:t>
      </w:r>
      <w:r w:rsidRPr="00B75226" w:rsidR="00A3053B">
        <w:rPr>
          <w:sz w:val="26"/>
          <w:szCs w:val="26"/>
        </w:rPr>
        <w:t xml:space="preserve"> </w:t>
      </w:r>
      <w:r w:rsidRPr="00B75226" w:rsidR="00883875">
        <w:rPr>
          <w:sz w:val="26"/>
          <w:szCs w:val="26"/>
        </w:rPr>
        <w:t xml:space="preserve">Commission’s Process Office </w:t>
      </w:r>
      <w:r w:rsidRPr="00B75226">
        <w:rPr>
          <w:sz w:val="26"/>
          <w:szCs w:val="26"/>
        </w:rPr>
        <w:t xml:space="preserve">to </w:t>
      </w:r>
      <w:r w:rsidRPr="00B75226" w:rsidR="00883875">
        <w:rPr>
          <w:sz w:val="26"/>
          <w:szCs w:val="26"/>
        </w:rPr>
        <w:t xml:space="preserve">move </w:t>
      </w:r>
      <w:r w:rsidRPr="00B75226" w:rsidR="00701C2F">
        <w:rPr>
          <w:sz w:val="26"/>
          <w:szCs w:val="26"/>
        </w:rPr>
        <w:t xml:space="preserve">the following parties </w:t>
      </w:r>
      <w:r w:rsidRPr="00B75226" w:rsidR="00883875">
        <w:rPr>
          <w:sz w:val="26"/>
          <w:szCs w:val="26"/>
        </w:rPr>
        <w:t xml:space="preserve">to </w:t>
      </w:r>
      <w:r w:rsidRPr="00B75226" w:rsidR="00DD1294">
        <w:rPr>
          <w:sz w:val="26"/>
          <w:szCs w:val="26"/>
        </w:rPr>
        <w:t xml:space="preserve">information </w:t>
      </w:r>
      <w:r w:rsidRPr="00B75226" w:rsidR="00883875">
        <w:rPr>
          <w:sz w:val="26"/>
          <w:szCs w:val="26"/>
        </w:rPr>
        <w:t>only status</w:t>
      </w:r>
      <w:r w:rsidRPr="00B75226">
        <w:rPr>
          <w:sz w:val="26"/>
          <w:szCs w:val="26"/>
        </w:rPr>
        <w:t xml:space="preserve"> </w:t>
      </w:r>
      <w:r w:rsidR="007514A8">
        <w:rPr>
          <w:sz w:val="26"/>
          <w:szCs w:val="26"/>
        </w:rPr>
        <w:t xml:space="preserve">no later than </w:t>
      </w:r>
      <w:r w:rsidR="002C384F">
        <w:rPr>
          <w:sz w:val="26"/>
          <w:szCs w:val="26"/>
        </w:rPr>
        <w:t xml:space="preserve">15 days from </w:t>
      </w:r>
      <w:r w:rsidRPr="00B75226">
        <w:rPr>
          <w:sz w:val="26"/>
          <w:szCs w:val="26"/>
        </w:rPr>
        <w:t>Commission issuance of this decision:</w:t>
      </w:r>
    </w:p>
    <w:p w:rsidRPr="00B75226" w:rsidR="00BB3EF4" w:rsidP="004E7E23" w:rsidRDefault="00591C6E" w14:paraId="45D13CCF" w14:textId="400CDDC6">
      <w:pPr>
        <w:pStyle w:val="ListAlpha"/>
        <w:numPr>
          <w:ilvl w:val="0"/>
          <w:numId w:val="40"/>
        </w:numPr>
        <w:spacing w:line="240" w:lineRule="auto"/>
        <w:ind w:left="1080" w:right="1440"/>
        <w:rPr>
          <w:sz w:val="26"/>
          <w:szCs w:val="26"/>
        </w:rPr>
      </w:pPr>
      <w:r w:rsidRPr="00B75226">
        <w:rPr>
          <w:sz w:val="26"/>
          <w:szCs w:val="26"/>
        </w:rPr>
        <w:t xml:space="preserve">Charter </w:t>
      </w:r>
      <w:proofErr w:type="spellStart"/>
      <w:r w:rsidRPr="00B75226">
        <w:rPr>
          <w:sz w:val="26"/>
          <w:szCs w:val="26"/>
        </w:rPr>
        <w:t>Fiberlink</w:t>
      </w:r>
      <w:proofErr w:type="spellEnd"/>
      <w:r w:rsidRPr="00B75226">
        <w:rPr>
          <w:sz w:val="26"/>
          <w:szCs w:val="26"/>
        </w:rPr>
        <w:t xml:space="preserve"> CA-CCO, LLC, Time Warner Cable Information Services (California), LLC, and Bright House Networks Information Services (California), </w:t>
      </w:r>
      <w:proofErr w:type="gramStart"/>
      <w:r w:rsidRPr="00B75226">
        <w:rPr>
          <w:sz w:val="26"/>
          <w:szCs w:val="26"/>
        </w:rPr>
        <w:t>LLC</w:t>
      </w:r>
      <w:r w:rsidRPr="00B75226" w:rsidR="00701C2F">
        <w:rPr>
          <w:sz w:val="26"/>
          <w:szCs w:val="26"/>
        </w:rPr>
        <w:t>;</w:t>
      </w:r>
      <w:proofErr w:type="gramEnd"/>
    </w:p>
    <w:p w:rsidRPr="00B75226" w:rsidR="00701C2F" w:rsidP="004E7E23" w:rsidRDefault="00591C6E" w14:paraId="0A8BBCE3" w14:textId="77777777">
      <w:pPr>
        <w:pStyle w:val="ListAlpha"/>
        <w:numPr>
          <w:ilvl w:val="0"/>
          <w:numId w:val="40"/>
        </w:numPr>
        <w:spacing w:line="240" w:lineRule="auto"/>
        <w:ind w:left="1080" w:right="1440"/>
        <w:rPr>
          <w:sz w:val="26"/>
          <w:szCs w:val="26"/>
        </w:rPr>
      </w:pPr>
      <w:r w:rsidRPr="00B75226">
        <w:rPr>
          <w:sz w:val="26"/>
          <w:szCs w:val="26"/>
        </w:rPr>
        <w:t xml:space="preserve">Cox California Telecom, </w:t>
      </w:r>
      <w:proofErr w:type="gramStart"/>
      <w:r w:rsidRPr="00B75226">
        <w:rPr>
          <w:sz w:val="26"/>
          <w:szCs w:val="26"/>
        </w:rPr>
        <w:t>LLC</w:t>
      </w:r>
      <w:r w:rsidRPr="00B75226" w:rsidR="00701C2F">
        <w:rPr>
          <w:sz w:val="26"/>
          <w:szCs w:val="26"/>
        </w:rPr>
        <w:t>;</w:t>
      </w:r>
      <w:proofErr w:type="gramEnd"/>
    </w:p>
    <w:p w:rsidRPr="00B75226" w:rsidR="00701C2F" w:rsidP="004E7E23" w:rsidRDefault="00701C2F" w14:paraId="4A23FBFF" w14:textId="77777777">
      <w:pPr>
        <w:pStyle w:val="ListAlpha"/>
        <w:numPr>
          <w:ilvl w:val="0"/>
          <w:numId w:val="40"/>
        </w:numPr>
        <w:spacing w:line="240" w:lineRule="auto"/>
        <w:ind w:left="1080" w:right="1440"/>
        <w:rPr>
          <w:sz w:val="26"/>
          <w:szCs w:val="26"/>
        </w:rPr>
      </w:pPr>
      <w:r w:rsidRPr="00B75226">
        <w:rPr>
          <w:sz w:val="26"/>
          <w:szCs w:val="26"/>
        </w:rPr>
        <w:t>A</w:t>
      </w:r>
      <w:r w:rsidRPr="00B75226" w:rsidR="00591C6E">
        <w:rPr>
          <w:sz w:val="26"/>
          <w:szCs w:val="26"/>
        </w:rPr>
        <w:t>T&amp;T Corporation (collectively Pacific Bell Telephone Company d/b/a AT&amp;T California, AT&amp;T Corp., Teleport Communications America, LLC, and SBC Long Distance, LCC d/b/a AT&amp;T Long Distance</w:t>
      </w:r>
      <w:proofErr w:type="gramStart"/>
      <w:r w:rsidRPr="00B75226" w:rsidR="00591C6E">
        <w:rPr>
          <w:sz w:val="26"/>
          <w:szCs w:val="26"/>
        </w:rPr>
        <w:t>)</w:t>
      </w:r>
      <w:r w:rsidRPr="00B75226">
        <w:rPr>
          <w:sz w:val="26"/>
          <w:szCs w:val="26"/>
        </w:rPr>
        <w:t>;</w:t>
      </w:r>
      <w:proofErr w:type="gramEnd"/>
    </w:p>
    <w:p w:rsidRPr="00B75226" w:rsidR="00591C6E" w:rsidP="004E7E23" w:rsidRDefault="00591C6E" w14:paraId="33CDC68E" w14:textId="179855E5">
      <w:pPr>
        <w:pStyle w:val="ListAlpha"/>
        <w:numPr>
          <w:ilvl w:val="0"/>
          <w:numId w:val="40"/>
        </w:numPr>
        <w:spacing w:line="240" w:lineRule="auto"/>
        <w:ind w:left="1080" w:right="1440"/>
        <w:rPr>
          <w:sz w:val="26"/>
          <w:szCs w:val="26"/>
        </w:rPr>
      </w:pPr>
      <w:r w:rsidRPr="00B75226">
        <w:rPr>
          <w:sz w:val="26"/>
          <w:szCs w:val="26"/>
        </w:rPr>
        <w:t xml:space="preserve">Comcast Phone of California, LLC </w:t>
      </w:r>
    </w:p>
    <w:p w:rsidRPr="00591C6E" w:rsidR="00B75226" w:rsidP="00090B39" w:rsidRDefault="008A099E" w14:paraId="5EE5BC50" w14:textId="1D801CC5">
      <w:pPr>
        <w:pStyle w:val="Heading2"/>
      </w:pPr>
      <w:bookmarkStart w:name="_Toc80089423" w:id="66"/>
      <w:r>
        <w:t>10</w:t>
      </w:r>
      <w:r w:rsidR="00090B39">
        <w:t>.2</w:t>
      </w:r>
      <w:r w:rsidR="00090B39">
        <w:tab/>
        <w:t>Updated R.20-10-002 Service List</w:t>
      </w:r>
      <w:bookmarkEnd w:id="66"/>
    </w:p>
    <w:p w:rsidR="00591C6E" w:rsidP="00825298" w:rsidRDefault="00D974DC" w14:paraId="77E4B363" w14:textId="6421E4F6">
      <w:pPr>
        <w:pStyle w:val="Standard"/>
        <w:ind w:firstLine="720"/>
        <w:rPr>
          <w:sz w:val="26"/>
          <w:szCs w:val="26"/>
        </w:rPr>
      </w:pPr>
      <w:r>
        <w:rPr>
          <w:sz w:val="26"/>
          <w:szCs w:val="26"/>
        </w:rPr>
        <w:t xml:space="preserve">We direct the Commission’s Process Office to </w:t>
      </w:r>
      <w:r w:rsidR="00D90D21">
        <w:rPr>
          <w:sz w:val="26"/>
          <w:szCs w:val="26"/>
        </w:rPr>
        <w:t xml:space="preserve">remove all parties not indicated below from the R.20-10-002 service list </w:t>
      </w:r>
      <w:r w:rsidR="007514A8">
        <w:rPr>
          <w:sz w:val="26"/>
          <w:szCs w:val="26"/>
        </w:rPr>
        <w:t>no later than 15 days from Commission issuance of this decision:</w:t>
      </w:r>
    </w:p>
    <w:p w:rsidR="00CA6589" w:rsidP="0041469E" w:rsidRDefault="00CA6589" w14:paraId="479EE34E" w14:textId="77777777">
      <w:pPr>
        <w:pStyle w:val="Standard"/>
        <w:numPr>
          <w:ilvl w:val="0"/>
          <w:numId w:val="41"/>
        </w:numPr>
        <w:spacing w:after="120" w:line="240" w:lineRule="auto"/>
        <w:ind w:left="1080" w:right="1440"/>
        <w:rPr>
          <w:sz w:val="26"/>
          <w:szCs w:val="26"/>
        </w:rPr>
      </w:pPr>
      <w:r w:rsidRPr="00CA6589">
        <w:rPr>
          <w:sz w:val="26"/>
          <w:szCs w:val="26"/>
        </w:rPr>
        <w:t xml:space="preserve">Securus Technologies, </w:t>
      </w:r>
      <w:proofErr w:type="gramStart"/>
      <w:r w:rsidRPr="00CA6589">
        <w:rPr>
          <w:sz w:val="26"/>
          <w:szCs w:val="26"/>
        </w:rPr>
        <w:t>LLC</w:t>
      </w:r>
      <w:r>
        <w:rPr>
          <w:sz w:val="26"/>
          <w:szCs w:val="26"/>
        </w:rPr>
        <w:t>;</w:t>
      </w:r>
      <w:proofErr w:type="gramEnd"/>
    </w:p>
    <w:p w:rsidR="00E64E41" w:rsidP="0041469E" w:rsidRDefault="00CA6589" w14:paraId="2885012A" w14:textId="77777777">
      <w:pPr>
        <w:pStyle w:val="Standard"/>
        <w:numPr>
          <w:ilvl w:val="0"/>
          <w:numId w:val="41"/>
        </w:numPr>
        <w:spacing w:after="120" w:line="240" w:lineRule="auto"/>
        <w:ind w:left="1080" w:right="1440"/>
        <w:rPr>
          <w:sz w:val="26"/>
          <w:szCs w:val="26"/>
        </w:rPr>
      </w:pPr>
      <w:r w:rsidRPr="00CA6589">
        <w:rPr>
          <w:sz w:val="26"/>
          <w:szCs w:val="26"/>
        </w:rPr>
        <w:t>Global Tel*Link (GTL</w:t>
      </w:r>
      <w:proofErr w:type="gramStart"/>
      <w:r w:rsidRPr="00CA6589">
        <w:rPr>
          <w:sz w:val="26"/>
          <w:szCs w:val="26"/>
        </w:rPr>
        <w:t>)</w:t>
      </w:r>
      <w:r>
        <w:rPr>
          <w:sz w:val="26"/>
          <w:szCs w:val="26"/>
        </w:rPr>
        <w:t>;</w:t>
      </w:r>
      <w:proofErr w:type="gramEnd"/>
      <w:r>
        <w:rPr>
          <w:sz w:val="26"/>
          <w:szCs w:val="26"/>
        </w:rPr>
        <w:t xml:space="preserve"> </w:t>
      </w:r>
    </w:p>
    <w:p w:rsidR="00CA6589" w:rsidP="0041469E" w:rsidRDefault="00CA6589" w14:paraId="1B7B17C9" w14:textId="618E3B47">
      <w:pPr>
        <w:pStyle w:val="Standard"/>
        <w:numPr>
          <w:ilvl w:val="0"/>
          <w:numId w:val="41"/>
        </w:numPr>
        <w:spacing w:after="120" w:line="240" w:lineRule="auto"/>
        <w:ind w:left="1080" w:right="1440"/>
        <w:rPr>
          <w:sz w:val="26"/>
          <w:szCs w:val="26"/>
        </w:rPr>
      </w:pPr>
      <w:r w:rsidRPr="00CA6589">
        <w:rPr>
          <w:sz w:val="26"/>
          <w:szCs w:val="26"/>
        </w:rPr>
        <w:t xml:space="preserve">Inmate Calling Solutions, </w:t>
      </w:r>
      <w:proofErr w:type="gramStart"/>
      <w:r w:rsidRPr="00CA6589">
        <w:rPr>
          <w:sz w:val="26"/>
          <w:szCs w:val="26"/>
        </w:rPr>
        <w:t>LLC</w:t>
      </w:r>
      <w:r>
        <w:rPr>
          <w:sz w:val="26"/>
          <w:szCs w:val="26"/>
        </w:rPr>
        <w:t>;</w:t>
      </w:r>
      <w:proofErr w:type="gramEnd"/>
      <w:r>
        <w:rPr>
          <w:sz w:val="26"/>
          <w:szCs w:val="26"/>
        </w:rPr>
        <w:t xml:space="preserve"> </w:t>
      </w:r>
    </w:p>
    <w:p w:rsidR="00CA6589" w:rsidP="0041469E" w:rsidRDefault="00CA6589" w14:paraId="662EE5C9" w14:textId="118A7117">
      <w:pPr>
        <w:pStyle w:val="Standard"/>
        <w:numPr>
          <w:ilvl w:val="0"/>
          <w:numId w:val="41"/>
        </w:numPr>
        <w:spacing w:after="120" w:line="240" w:lineRule="auto"/>
        <w:ind w:left="1080" w:right="1440"/>
        <w:rPr>
          <w:sz w:val="26"/>
          <w:szCs w:val="26"/>
        </w:rPr>
      </w:pPr>
      <w:r w:rsidRPr="00CA6589">
        <w:rPr>
          <w:sz w:val="26"/>
          <w:szCs w:val="26"/>
        </w:rPr>
        <w:t xml:space="preserve">NCIC Inmate </w:t>
      </w:r>
      <w:proofErr w:type="gramStart"/>
      <w:r w:rsidRPr="00CA6589">
        <w:rPr>
          <w:sz w:val="26"/>
          <w:szCs w:val="26"/>
        </w:rPr>
        <w:t>Communications</w:t>
      </w:r>
      <w:r>
        <w:rPr>
          <w:sz w:val="26"/>
          <w:szCs w:val="26"/>
        </w:rPr>
        <w:t>;</w:t>
      </w:r>
      <w:proofErr w:type="gramEnd"/>
    </w:p>
    <w:p w:rsidR="00E64E41" w:rsidP="0041469E" w:rsidRDefault="00E64E41" w14:paraId="0721481D" w14:textId="5C09E5A1">
      <w:pPr>
        <w:pStyle w:val="Standard"/>
        <w:numPr>
          <w:ilvl w:val="0"/>
          <w:numId w:val="41"/>
        </w:numPr>
        <w:spacing w:after="120" w:line="240" w:lineRule="auto"/>
        <w:ind w:left="1080" w:right="1440"/>
        <w:rPr>
          <w:sz w:val="26"/>
          <w:szCs w:val="26"/>
        </w:rPr>
      </w:pPr>
      <w:r>
        <w:rPr>
          <w:sz w:val="26"/>
          <w:szCs w:val="26"/>
        </w:rPr>
        <w:t xml:space="preserve">Pay Tel Communications, </w:t>
      </w:r>
      <w:proofErr w:type="gramStart"/>
      <w:r>
        <w:rPr>
          <w:sz w:val="26"/>
          <w:szCs w:val="26"/>
        </w:rPr>
        <w:t>Inc.;</w:t>
      </w:r>
      <w:proofErr w:type="gramEnd"/>
    </w:p>
    <w:p w:rsidR="00E64E41" w:rsidP="0041469E" w:rsidRDefault="00E64E41" w14:paraId="02BB451B" w14:textId="2BC5860C">
      <w:pPr>
        <w:pStyle w:val="Standard"/>
        <w:numPr>
          <w:ilvl w:val="0"/>
          <w:numId w:val="41"/>
        </w:numPr>
        <w:spacing w:after="120" w:line="240" w:lineRule="auto"/>
        <w:ind w:left="1080" w:right="1440"/>
        <w:rPr>
          <w:sz w:val="26"/>
          <w:szCs w:val="26"/>
        </w:rPr>
      </w:pPr>
      <w:r>
        <w:rPr>
          <w:sz w:val="26"/>
          <w:szCs w:val="26"/>
        </w:rPr>
        <w:t xml:space="preserve">Legacy Inmate Communications, </w:t>
      </w:r>
      <w:proofErr w:type="gramStart"/>
      <w:r>
        <w:rPr>
          <w:sz w:val="26"/>
          <w:szCs w:val="26"/>
        </w:rPr>
        <w:t>Inc.;</w:t>
      </w:r>
      <w:proofErr w:type="gramEnd"/>
    </w:p>
    <w:p w:rsidR="00E64E41" w:rsidP="0041469E" w:rsidRDefault="00E64E41" w14:paraId="53B43E3E" w14:textId="0A0AA3A5">
      <w:pPr>
        <w:pStyle w:val="Standard"/>
        <w:numPr>
          <w:ilvl w:val="0"/>
          <w:numId w:val="41"/>
        </w:numPr>
        <w:spacing w:after="120" w:line="240" w:lineRule="auto"/>
        <w:ind w:left="1080" w:right="1440"/>
        <w:rPr>
          <w:sz w:val="26"/>
          <w:szCs w:val="26"/>
        </w:rPr>
      </w:pPr>
      <w:r>
        <w:rPr>
          <w:sz w:val="26"/>
          <w:szCs w:val="26"/>
        </w:rPr>
        <w:t xml:space="preserve">Public Communications Services, </w:t>
      </w:r>
      <w:proofErr w:type="gramStart"/>
      <w:r>
        <w:rPr>
          <w:sz w:val="26"/>
          <w:szCs w:val="26"/>
        </w:rPr>
        <w:t>Inc.;</w:t>
      </w:r>
      <w:proofErr w:type="gramEnd"/>
    </w:p>
    <w:p w:rsidR="00E64E41" w:rsidP="0041469E" w:rsidRDefault="00E64E41" w14:paraId="611983A1" w14:textId="5534B6B3">
      <w:pPr>
        <w:pStyle w:val="Standard"/>
        <w:numPr>
          <w:ilvl w:val="0"/>
          <w:numId w:val="41"/>
        </w:numPr>
        <w:spacing w:after="120" w:line="240" w:lineRule="auto"/>
        <w:ind w:left="1080" w:right="1440"/>
        <w:rPr>
          <w:sz w:val="26"/>
          <w:szCs w:val="26"/>
        </w:rPr>
      </w:pPr>
      <w:proofErr w:type="spellStart"/>
      <w:r>
        <w:rPr>
          <w:sz w:val="26"/>
          <w:szCs w:val="26"/>
        </w:rPr>
        <w:t>Telmate</w:t>
      </w:r>
      <w:proofErr w:type="spellEnd"/>
      <w:r>
        <w:rPr>
          <w:sz w:val="26"/>
          <w:szCs w:val="26"/>
        </w:rPr>
        <w:t xml:space="preserve">, </w:t>
      </w:r>
      <w:proofErr w:type="gramStart"/>
      <w:r>
        <w:rPr>
          <w:sz w:val="26"/>
          <w:szCs w:val="26"/>
        </w:rPr>
        <w:t>LLC;</w:t>
      </w:r>
      <w:proofErr w:type="gramEnd"/>
      <w:r>
        <w:rPr>
          <w:sz w:val="26"/>
          <w:szCs w:val="26"/>
        </w:rPr>
        <w:t xml:space="preserve"> </w:t>
      </w:r>
    </w:p>
    <w:p w:rsidR="00E64E41" w:rsidP="0041469E" w:rsidRDefault="00E64E41" w14:paraId="6251CEFC" w14:textId="63BAC94C">
      <w:pPr>
        <w:pStyle w:val="Standard"/>
        <w:numPr>
          <w:ilvl w:val="0"/>
          <w:numId w:val="41"/>
        </w:numPr>
        <w:spacing w:after="120" w:line="240" w:lineRule="auto"/>
        <w:ind w:left="1080" w:right="1440"/>
        <w:rPr>
          <w:sz w:val="26"/>
          <w:szCs w:val="26"/>
        </w:rPr>
      </w:pPr>
      <w:r>
        <w:rPr>
          <w:sz w:val="26"/>
          <w:szCs w:val="26"/>
        </w:rPr>
        <w:t xml:space="preserve">Value-Added Communications, </w:t>
      </w:r>
      <w:proofErr w:type="gramStart"/>
      <w:r>
        <w:rPr>
          <w:sz w:val="26"/>
          <w:szCs w:val="26"/>
        </w:rPr>
        <w:t>Inc.;</w:t>
      </w:r>
      <w:proofErr w:type="gramEnd"/>
    </w:p>
    <w:p w:rsidR="00CA6589" w:rsidP="0041469E" w:rsidRDefault="00CA6589" w14:paraId="4FC7191E" w14:textId="77777777">
      <w:pPr>
        <w:pStyle w:val="Standard"/>
        <w:numPr>
          <w:ilvl w:val="0"/>
          <w:numId w:val="41"/>
        </w:numPr>
        <w:spacing w:after="120" w:line="240" w:lineRule="auto"/>
        <w:ind w:left="1080" w:right="1440"/>
        <w:rPr>
          <w:sz w:val="26"/>
          <w:szCs w:val="26"/>
        </w:rPr>
      </w:pPr>
      <w:r w:rsidRPr="00CA6589">
        <w:rPr>
          <w:sz w:val="26"/>
          <w:szCs w:val="26"/>
        </w:rPr>
        <w:t xml:space="preserve">Californians for Jail and Prison Phone Justice </w:t>
      </w:r>
      <w:proofErr w:type="gramStart"/>
      <w:r w:rsidRPr="00CA6589">
        <w:rPr>
          <w:sz w:val="26"/>
          <w:szCs w:val="26"/>
        </w:rPr>
        <w:t>Coalition</w:t>
      </w:r>
      <w:r>
        <w:rPr>
          <w:sz w:val="26"/>
          <w:szCs w:val="26"/>
        </w:rPr>
        <w:t>;</w:t>
      </w:r>
      <w:proofErr w:type="gramEnd"/>
      <w:r>
        <w:rPr>
          <w:sz w:val="26"/>
          <w:szCs w:val="26"/>
        </w:rPr>
        <w:t xml:space="preserve"> </w:t>
      </w:r>
    </w:p>
    <w:p w:rsidR="00CA6589" w:rsidP="0041469E" w:rsidRDefault="00CA6589" w14:paraId="606C16A6" w14:textId="77777777">
      <w:pPr>
        <w:pStyle w:val="Standard"/>
        <w:numPr>
          <w:ilvl w:val="0"/>
          <w:numId w:val="41"/>
        </w:numPr>
        <w:spacing w:after="120" w:line="240" w:lineRule="auto"/>
        <w:ind w:left="1080" w:right="1440"/>
        <w:rPr>
          <w:sz w:val="26"/>
          <w:szCs w:val="26"/>
        </w:rPr>
      </w:pPr>
      <w:r w:rsidRPr="00CA6589">
        <w:rPr>
          <w:sz w:val="26"/>
          <w:szCs w:val="26"/>
        </w:rPr>
        <w:t xml:space="preserve">Center for Accessible </w:t>
      </w:r>
      <w:proofErr w:type="gramStart"/>
      <w:r w:rsidRPr="00CA6589">
        <w:rPr>
          <w:sz w:val="26"/>
          <w:szCs w:val="26"/>
        </w:rPr>
        <w:t>Technologies</w:t>
      </w:r>
      <w:r>
        <w:rPr>
          <w:sz w:val="26"/>
          <w:szCs w:val="26"/>
        </w:rPr>
        <w:t>;</w:t>
      </w:r>
      <w:proofErr w:type="gramEnd"/>
      <w:r>
        <w:rPr>
          <w:sz w:val="26"/>
          <w:szCs w:val="26"/>
        </w:rPr>
        <w:t xml:space="preserve"> </w:t>
      </w:r>
    </w:p>
    <w:p w:rsidR="00CA6589" w:rsidP="0041469E" w:rsidRDefault="00CA6589" w14:paraId="2F47EB86" w14:textId="77777777">
      <w:pPr>
        <w:pStyle w:val="Standard"/>
        <w:numPr>
          <w:ilvl w:val="0"/>
          <w:numId w:val="41"/>
        </w:numPr>
        <w:spacing w:after="120" w:line="240" w:lineRule="auto"/>
        <w:ind w:left="1080" w:right="1440"/>
        <w:rPr>
          <w:sz w:val="26"/>
          <w:szCs w:val="26"/>
        </w:rPr>
      </w:pPr>
      <w:r w:rsidRPr="00CA6589">
        <w:rPr>
          <w:sz w:val="26"/>
          <w:szCs w:val="26"/>
        </w:rPr>
        <w:lastRenderedPageBreak/>
        <w:t xml:space="preserve">Greenlining </w:t>
      </w:r>
      <w:proofErr w:type="gramStart"/>
      <w:r w:rsidRPr="00CA6589">
        <w:rPr>
          <w:sz w:val="26"/>
          <w:szCs w:val="26"/>
        </w:rPr>
        <w:t>Institute</w:t>
      </w:r>
      <w:r>
        <w:rPr>
          <w:sz w:val="26"/>
          <w:szCs w:val="26"/>
        </w:rPr>
        <w:t>;</w:t>
      </w:r>
      <w:proofErr w:type="gramEnd"/>
      <w:r>
        <w:rPr>
          <w:sz w:val="26"/>
          <w:szCs w:val="26"/>
        </w:rPr>
        <w:t xml:space="preserve"> </w:t>
      </w:r>
    </w:p>
    <w:p w:rsidR="00CA6589" w:rsidP="0041469E" w:rsidRDefault="00CA6589" w14:paraId="38AAD43D" w14:textId="77777777">
      <w:pPr>
        <w:pStyle w:val="Standard"/>
        <w:numPr>
          <w:ilvl w:val="0"/>
          <w:numId w:val="41"/>
        </w:numPr>
        <w:spacing w:after="120" w:line="240" w:lineRule="auto"/>
        <w:ind w:left="1080" w:right="1440"/>
        <w:rPr>
          <w:sz w:val="26"/>
          <w:szCs w:val="26"/>
        </w:rPr>
      </w:pPr>
      <w:r w:rsidRPr="00CA6589">
        <w:rPr>
          <w:sz w:val="26"/>
          <w:szCs w:val="26"/>
        </w:rPr>
        <w:t xml:space="preserve">Media </w:t>
      </w:r>
      <w:proofErr w:type="gramStart"/>
      <w:r w:rsidRPr="00CA6589">
        <w:rPr>
          <w:sz w:val="26"/>
          <w:szCs w:val="26"/>
        </w:rPr>
        <w:t>Alliance</w:t>
      </w:r>
      <w:r>
        <w:rPr>
          <w:sz w:val="26"/>
          <w:szCs w:val="26"/>
        </w:rPr>
        <w:t>;</w:t>
      </w:r>
      <w:proofErr w:type="gramEnd"/>
    </w:p>
    <w:p w:rsidR="00CA6589" w:rsidP="0041469E" w:rsidRDefault="00CA6589" w14:paraId="2540EA84" w14:textId="77777777">
      <w:pPr>
        <w:pStyle w:val="Standard"/>
        <w:numPr>
          <w:ilvl w:val="0"/>
          <w:numId w:val="41"/>
        </w:numPr>
        <w:spacing w:after="120" w:line="240" w:lineRule="auto"/>
        <w:ind w:left="1080" w:right="1440"/>
        <w:rPr>
          <w:sz w:val="26"/>
          <w:szCs w:val="26"/>
        </w:rPr>
      </w:pPr>
      <w:r w:rsidRPr="00CA6589">
        <w:rPr>
          <w:sz w:val="26"/>
          <w:szCs w:val="26"/>
        </w:rPr>
        <w:t xml:space="preserve">Prison Policy Initiative, </w:t>
      </w:r>
      <w:proofErr w:type="gramStart"/>
      <w:r w:rsidRPr="00CA6589">
        <w:rPr>
          <w:sz w:val="26"/>
          <w:szCs w:val="26"/>
        </w:rPr>
        <w:t>Inc.</w:t>
      </w:r>
      <w:r>
        <w:rPr>
          <w:sz w:val="26"/>
          <w:szCs w:val="26"/>
        </w:rPr>
        <w:t>;</w:t>
      </w:r>
      <w:proofErr w:type="gramEnd"/>
    </w:p>
    <w:p w:rsidR="00CA6589" w:rsidP="0041469E" w:rsidRDefault="00CA6589" w14:paraId="5919596F" w14:textId="77777777">
      <w:pPr>
        <w:pStyle w:val="Standard"/>
        <w:numPr>
          <w:ilvl w:val="0"/>
          <w:numId w:val="41"/>
        </w:numPr>
        <w:spacing w:after="120" w:line="240" w:lineRule="auto"/>
        <w:ind w:left="1080" w:right="1440"/>
        <w:rPr>
          <w:sz w:val="26"/>
          <w:szCs w:val="26"/>
        </w:rPr>
      </w:pPr>
      <w:r w:rsidRPr="00CA6589">
        <w:rPr>
          <w:sz w:val="26"/>
          <w:szCs w:val="26"/>
        </w:rPr>
        <w:t xml:space="preserve">Public Advocates </w:t>
      </w:r>
      <w:proofErr w:type="gramStart"/>
      <w:r w:rsidRPr="00CA6589">
        <w:rPr>
          <w:sz w:val="26"/>
          <w:szCs w:val="26"/>
        </w:rPr>
        <w:t>Office</w:t>
      </w:r>
      <w:r>
        <w:rPr>
          <w:sz w:val="26"/>
          <w:szCs w:val="26"/>
        </w:rPr>
        <w:t>;</w:t>
      </w:r>
      <w:proofErr w:type="gramEnd"/>
    </w:p>
    <w:p w:rsidR="00CA6589" w:rsidP="0041469E" w:rsidRDefault="00CA6589" w14:paraId="0D19CD7E" w14:textId="77777777">
      <w:pPr>
        <w:pStyle w:val="Standard"/>
        <w:numPr>
          <w:ilvl w:val="0"/>
          <w:numId w:val="41"/>
        </w:numPr>
        <w:spacing w:after="120" w:line="240" w:lineRule="auto"/>
        <w:ind w:left="1080" w:right="1440"/>
        <w:rPr>
          <w:sz w:val="26"/>
          <w:szCs w:val="26"/>
        </w:rPr>
      </w:pPr>
      <w:r w:rsidRPr="00CA6589">
        <w:rPr>
          <w:sz w:val="26"/>
          <w:szCs w:val="26"/>
        </w:rPr>
        <w:t xml:space="preserve">Returning Home </w:t>
      </w:r>
      <w:proofErr w:type="gramStart"/>
      <w:r w:rsidRPr="00CA6589">
        <w:rPr>
          <w:sz w:val="26"/>
          <w:szCs w:val="26"/>
        </w:rPr>
        <w:t>Foundation</w:t>
      </w:r>
      <w:r>
        <w:rPr>
          <w:sz w:val="26"/>
          <w:szCs w:val="26"/>
        </w:rPr>
        <w:t>;</w:t>
      </w:r>
      <w:proofErr w:type="gramEnd"/>
    </w:p>
    <w:p w:rsidR="00CA6589" w:rsidP="0041469E" w:rsidRDefault="00CA6589" w14:paraId="229713EA" w14:textId="77777777">
      <w:pPr>
        <w:pStyle w:val="Standard"/>
        <w:numPr>
          <w:ilvl w:val="0"/>
          <w:numId w:val="41"/>
        </w:numPr>
        <w:spacing w:after="120" w:line="240" w:lineRule="auto"/>
        <w:ind w:left="1080" w:right="1440"/>
        <w:rPr>
          <w:sz w:val="26"/>
          <w:szCs w:val="26"/>
        </w:rPr>
      </w:pPr>
      <w:r w:rsidRPr="00CA6589">
        <w:rPr>
          <w:sz w:val="26"/>
          <w:szCs w:val="26"/>
        </w:rPr>
        <w:t xml:space="preserve">Root and </w:t>
      </w:r>
      <w:proofErr w:type="gramStart"/>
      <w:r w:rsidRPr="00CA6589">
        <w:rPr>
          <w:sz w:val="26"/>
          <w:szCs w:val="26"/>
        </w:rPr>
        <w:t>Rebound</w:t>
      </w:r>
      <w:r>
        <w:rPr>
          <w:sz w:val="26"/>
          <w:szCs w:val="26"/>
        </w:rPr>
        <w:t>;</w:t>
      </w:r>
      <w:proofErr w:type="gramEnd"/>
    </w:p>
    <w:p w:rsidR="00CA6589" w:rsidP="0041469E" w:rsidRDefault="00CA6589" w14:paraId="07FF53BF" w14:textId="77777777">
      <w:pPr>
        <w:pStyle w:val="Standard"/>
        <w:numPr>
          <w:ilvl w:val="0"/>
          <w:numId w:val="41"/>
        </w:numPr>
        <w:spacing w:after="120" w:line="240" w:lineRule="auto"/>
        <w:ind w:left="1080" w:right="1440"/>
        <w:rPr>
          <w:sz w:val="26"/>
          <w:szCs w:val="26"/>
        </w:rPr>
      </w:pPr>
      <w:r>
        <w:rPr>
          <w:sz w:val="26"/>
          <w:szCs w:val="26"/>
        </w:rPr>
        <w:t xml:space="preserve">The </w:t>
      </w:r>
      <w:r w:rsidRPr="00CA6589">
        <w:rPr>
          <w:sz w:val="26"/>
          <w:szCs w:val="26"/>
        </w:rPr>
        <w:t xml:space="preserve">Utility Reform </w:t>
      </w:r>
      <w:proofErr w:type="gramStart"/>
      <w:r w:rsidRPr="00CA6589">
        <w:rPr>
          <w:sz w:val="26"/>
          <w:szCs w:val="26"/>
        </w:rPr>
        <w:t>Network</w:t>
      </w:r>
      <w:r>
        <w:rPr>
          <w:sz w:val="26"/>
          <w:szCs w:val="26"/>
        </w:rPr>
        <w:t>;</w:t>
      </w:r>
      <w:proofErr w:type="gramEnd"/>
    </w:p>
    <w:p w:rsidR="00CA6589" w:rsidP="0041469E" w:rsidRDefault="00CA6589" w14:paraId="3C6927C6" w14:textId="513245E3">
      <w:pPr>
        <w:pStyle w:val="Standard"/>
        <w:numPr>
          <w:ilvl w:val="0"/>
          <w:numId w:val="41"/>
        </w:numPr>
        <w:spacing w:after="120" w:line="240" w:lineRule="auto"/>
        <w:ind w:left="1080" w:right="1440"/>
        <w:rPr>
          <w:sz w:val="26"/>
          <w:szCs w:val="26"/>
        </w:rPr>
      </w:pPr>
      <w:r w:rsidRPr="00CA6589">
        <w:rPr>
          <w:sz w:val="26"/>
          <w:szCs w:val="26"/>
        </w:rPr>
        <w:t xml:space="preserve">Youth Law </w:t>
      </w:r>
      <w:proofErr w:type="gramStart"/>
      <w:r w:rsidRPr="00CA6589">
        <w:rPr>
          <w:sz w:val="26"/>
          <w:szCs w:val="26"/>
        </w:rPr>
        <w:t>Center</w:t>
      </w:r>
      <w:r w:rsidR="00FD7369">
        <w:rPr>
          <w:sz w:val="26"/>
          <w:szCs w:val="26"/>
        </w:rPr>
        <w:t>;</w:t>
      </w:r>
      <w:proofErr w:type="gramEnd"/>
    </w:p>
    <w:p w:rsidR="00CA6589" w:rsidP="0041469E" w:rsidRDefault="00FD7369" w14:paraId="50F09B63" w14:textId="7BA056E3">
      <w:pPr>
        <w:pStyle w:val="Standard"/>
        <w:numPr>
          <w:ilvl w:val="0"/>
          <w:numId w:val="41"/>
        </w:numPr>
        <w:spacing w:after="120" w:line="240" w:lineRule="auto"/>
        <w:ind w:left="1080" w:right="1440"/>
        <w:rPr>
          <w:sz w:val="26"/>
          <w:szCs w:val="26"/>
        </w:rPr>
      </w:pPr>
      <w:r w:rsidRPr="00FD7369">
        <w:rPr>
          <w:sz w:val="26"/>
          <w:szCs w:val="26"/>
        </w:rPr>
        <w:t>MCI Communications Services LLC and MCI Metro Access Transmission Services Corp. (Verizon</w:t>
      </w:r>
      <w:proofErr w:type="gramStart"/>
      <w:r w:rsidRPr="00FD7369">
        <w:rPr>
          <w:sz w:val="26"/>
          <w:szCs w:val="26"/>
        </w:rPr>
        <w:t>)</w:t>
      </w:r>
      <w:r>
        <w:rPr>
          <w:sz w:val="26"/>
          <w:szCs w:val="26"/>
        </w:rPr>
        <w:t>;</w:t>
      </w:r>
      <w:proofErr w:type="gramEnd"/>
    </w:p>
    <w:p w:rsidR="00FF7943" w:rsidP="0041469E" w:rsidRDefault="00FF7943" w14:paraId="004B9539" w14:textId="3EA38632">
      <w:pPr>
        <w:pStyle w:val="Standard"/>
        <w:numPr>
          <w:ilvl w:val="0"/>
          <w:numId w:val="41"/>
        </w:numPr>
        <w:spacing w:after="120" w:line="240" w:lineRule="auto"/>
        <w:ind w:left="1080" w:right="1440"/>
        <w:rPr>
          <w:sz w:val="26"/>
          <w:szCs w:val="26"/>
        </w:rPr>
      </w:pPr>
      <w:proofErr w:type="spellStart"/>
      <w:r w:rsidRPr="00FF7943">
        <w:rPr>
          <w:sz w:val="26"/>
          <w:szCs w:val="26"/>
        </w:rPr>
        <w:t>Intelletrace</w:t>
      </w:r>
      <w:proofErr w:type="spellEnd"/>
      <w:r w:rsidRPr="00FF7943">
        <w:rPr>
          <w:sz w:val="26"/>
          <w:szCs w:val="26"/>
        </w:rPr>
        <w:t xml:space="preserve">, </w:t>
      </w:r>
      <w:proofErr w:type="gramStart"/>
      <w:r w:rsidRPr="00FF7943">
        <w:rPr>
          <w:sz w:val="26"/>
          <w:szCs w:val="26"/>
        </w:rPr>
        <w:t>Inc.</w:t>
      </w:r>
      <w:r w:rsidR="0062251E">
        <w:rPr>
          <w:sz w:val="26"/>
          <w:szCs w:val="26"/>
        </w:rPr>
        <w:t>;</w:t>
      </w:r>
      <w:proofErr w:type="gramEnd"/>
    </w:p>
    <w:p w:rsidR="0062251E" w:rsidP="0041469E" w:rsidRDefault="00FF7943" w14:paraId="18022F03" w14:textId="3EA38632">
      <w:pPr>
        <w:pStyle w:val="Standard"/>
        <w:numPr>
          <w:ilvl w:val="0"/>
          <w:numId w:val="41"/>
        </w:numPr>
        <w:spacing w:after="120" w:line="240" w:lineRule="auto"/>
        <w:ind w:left="1080" w:right="1440"/>
        <w:rPr>
          <w:sz w:val="26"/>
          <w:szCs w:val="26"/>
        </w:rPr>
      </w:pPr>
      <w:r w:rsidRPr="00FF7943">
        <w:rPr>
          <w:sz w:val="26"/>
          <w:szCs w:val="26"/>
        </w:rPr>
        <w:t xml:space="preserve">Southern California </w:t>
      </w:r>
      <w:proofErr w:type="gramStart"/>
      <w:r w:rsidRPr="00FF7943">
        <w:rPr>
          <w:sz w:val="26"/>
          <w:szCs w:val="26"/>
        </w:rPr>
        <w:t>Edison</w:t>
      </w:r>
      <w:r w:rsidR="0062251E">
        <w:rPr>
          <w:sz w:val="26"/>
          <w:szCs w:val="26"/>
        </w:rPr>
        <w:t>;</w:t>
      </w:r>
      <w:proofErr w:type="gramEnd"/>
    </w:p>
    <w:p w:rsidR="0062251E" w:rsidP="0041469E" w:rsidRDefault="00FF7943" w14:paraId="64E576E9" w14:textId="3EA38632">
      <w:pPr>
        <w:pStyle w:val="Standard"/>
        <w:numPr>
          <w:ilvl w:val="0"/>
          <w:numId w:val="41"/>
        </w:numPr>
        <w:spacing w:after="120" w:line="240" w:lineRule="auto"/>
        <w:ind w:left="1080" w:right="1440"/>
        <w:rPr>
          <w:sz w:val="26"/>
          <w:szCs w:val="26"/>
        </w:rPr>
      </w:pPr>
      <w:r w:rsidRPr="00FF7943">
        <w:rPr>
          <w:sz w:val="26"/>
          <w:szCs w:val="26"/>
        </w:rPr>
        <w:t xml:space="preserve">Frontier California </w:t>
      </w:r>
      <w:proofErr w:type="gramStart"/>
      <w:r w:rsidRPr="00FF7943">
        <w:rPr>
          <w:sz w:val="26"/>
          <w:szCs w:val="26"/>
        </w:rPr>
        <w:t>Inc.</w:t>
      </w:r>
      <w:r w:rsidR="0062251E">
        <w:rPr>
          <w:sz w:val="26"/>
          <w:szCs w:val="26"/>
        </w:rPr>
        <w:t>;</w:t>
      </w:r>
      <w:proofErr w:type="gramEnd"/>
      <w:r w:rsidR="0062251E">
        <w:rPr>
          <w:sz w:val="26"/>
          <w:szCs w:val="26"/>
        </w:rPr>
        <w:t xml:space="preserve"> </w:t>
      </w:r>
    </w:p>
    <w:p w:rsidR="0062251E" w:rsidP="0041469E" w:rsidRDefault="00FF7943" w14:paraId="472F716C" w14:textId="3EA38632">
      <w:pPr>
        <w:pStyle w:val="Standard"/>
        <w:numPr>
          <w:ilvl w:val="0"/>
          <w:numId w:val="41"/>
        </w:numPr>
        <w:spacing w:after="120" w:line="240" w:lineRule="auto"/>
        <w:ind w:left="1080" w:right="1440"/>
        <w:rPr>
          <w:sz w:val="26"/>
          <w:szCs w:val="26"/>
        </w:rPr>
      </w:pPr>
      <w:r w:rsidRPr="00FF7943">
        <w:rPr>
          <w:sz w:val="26"/>
          <w:szCs w:val="26"/>
        </w:rPr>
        <w:t xml:space="preserve">Citizens Telecommunications Company of California </w:t>
      </w:r>
      <w:proofErr w:type="gramStart"/>
      <w:r w:rsidRPr="00FF7943">
        <w:rPr>
          <w:sz w:val="26"/>
          <w:szCs w:val="26"/>
        </w:rPr>
        <w:t>Inc.</w:t>
      </w:r>
      <w:r w:rsidR="0062251E">
        <w:rPr>
          <w:sz w:val="26"/>
          <w:szCs w:val="26"/>
        </w:rPr>
        <w:t>;</w:t>
      </w:r>
      <w:proofErr w:type="gramEnd"/>
    </w:p>
    <w:p w:rsidR="0062251E" w:rsidP="0041469E" w:rsidRDefault="00FF7943" w14:paraId="3AF84E56" w14:textId="3EA38632">
      <w:pPr>
        <w:pStyle w:val="Standard"/>
        <w:numPr>
          <w:ilvl w:val="0"/>
          <w:numId w:val="41"/>
        </w:numPr>
        <w:spacing w:after="120" w:line="240" w:lineRule="auto"/>
        <w:ind w:left="1080" w:right="1440"/>
        <w:rPr>
          <w:sz w:val="26"/>
          <w:szCs w:val="26"/>
        </w:rPr>
      </w:pPr>
      <w:r w:rsidRPr="00FF7943">
        <w:rPr>
          <w:sz w:val="26"/>
          <w:szCs w:val="26"/>
        </w:rPr>
        <w:t xml:space="preserve">Frontier Communications of the Southwest </w:t>
      </w:r>
      <w:proofErr w:type="gramStart"/>
      <w:r w:rsidRPr="00FF7943">
        <w:rPr>
          <w:sz w:val="26"/>
          <w:szCs w:val="26"/>
        </w:rPr>
        <w:t>Inc.</w:t>
      </w:r>
      <w:r w:rsidR="0062251E">
        <w:rPr>
          <w:sz w:val="26"/>
          <w:szCs w:val="26"/>
        </w:rPr>
        <w:t>;</w:t>
      </w:r>
      <w:proofErr w:type="gramEnd"/>
    </w:p>
    <w:p w:rsidR="00B50BEE" w:rsidP="0041469E" w:rsidRDefault="00FF7943" w14:paraId="53B9E433" w14:textId="2B4E9DC3">
      <w:pPr>
        <w:pStyle w:val="Standard"/>
        <w:numPr>
          <w:ilvl w:val="0"/>
          <w:numId w:val="41"/>
        </w:numPr>
        <w:spacing w:after="120" w:line="240" w:lineRule="auto"/>
        <w:ind w:left="1080" w:right="1440"/>
        <w:rPr>
          <w:sz w:val="26"/>
          <w:szCs w:val="26"/>
        </w:rPr>
      </w:pPr>
      <w:r w:rsidRPr="00FF7943">
        <w:rPr>
          <w:sz w:val="26"/>
          <w:szCs w:val="26"/>
        </w:rPr>
        <w:t>Frontier</w:t>
      </w:r>
      <w:r w:rsidR="00B50BEE">
        <w:rPr>
          <w:sz w:val="26"/>
          <w:szCs w:val="26"/>
        </w:rPr>
        <w:t xml:space="preserve"> </w:t>
      </w:r>
      <w:r w:rsidRPr="00FF7943">
        <w:rPr>
          <w:sz w:val="26"/>
          <w:szCs w:val="26"/>
        </w:rPr>
        <w:t xml:space="preserve">Communications Online and Long Distance </w:t>
      </w:r>
      <w:proofErr w:type="gramStart"/>
      <w:r w:rsidRPr="00FF7943">
        <w:rPr>
          <w:sz w:val="26"/>
          <w:szCs w:val="26"/>
        </w:rPr>
        <w:t>Inc.</w:t>
      </w:r>
      <w:r w:rsidR="00B50BEE">
        <w:rPr>
          <w:sz w:val="26"/>
          <w:szCs w:val="26"/>
        </w:rPr>
        <w:t>;</w:t>
      </w:r>
      <w:proofErr w:type="gramEnd"/>
    </w:p>
    <w:p w:rsidR="00B50BEE" w:rsidP="0041469E" w:rsidRDefault="00FF7943" w14:paraId="0E372E77" w14:textId="77777777">
      <w:pPr>
        <w:pStyle w:val="Standard"/>
        <w:numPr>
          <w:ilvl w:val="0"/>
          <w:numId w:val="41"/>
        </w:numPr>
        <w:spacing w:after="120" w:line="240" w:lineRule="auto"/>
        <w:ind w:left="1080" w:right="1440"/>
        <w:rPr>
          <w:sz w:val="26"/>
          <w:szCs w:val="26"/>
        </w:rPr>
      </w:pPr>
      <w:r w:rsidRPr="00FF7943">
        <w:rPr>
          <w:sz w:val="26"/>
          <w:szCs w:val="26"/>
        </w:rPr>
        <w:t xml:space="preserve">Frontier Communications of America, </w:t>
      </w:r>
      <w:proofErr w:type="gramStart"/>
      <w:r w:rsidRPr="00FF7943">
        <w:rPr>
          <w:sz w:val="26"/>
          <w:szCs w:val="26"/>
        </w:rPr>
        <w:t>Inc.</w:t>
      </w:r>
      <w:r w:rsidR="00B50BEE">
        <w:rPr>
          <w:sz w:val="26"/>
          <w:szCs w:val="26"/>
        </w:rPr>
        <w:t>;</w:t>
      </w:r>
      <w:proofErr w:type="gramEnd"/>
    </w:p>
    <w:p w:rsidR="00B50BEE" w:rsidP="0041469E" w:rsidRDefault="00FF7943" w14:paraId="1DD96B8B" w14:textId="77777777">
      <w:pPr>
        <w:pStyle w:val="Standard"/>
        <w:numPr>
          <w:ilvl w:val="0"/>
          <w:numId w:val="41"/>
        </w:numPr>
        <w:spacing w:after="120" w:line="240" w:lineRule="auto"/>
        <w:ind w:left="1080" w:right="1440"/>
        <w:rPr>
          <w:sz w:val="26"/>
          <w:szCs w:val="26"/>
        </w:rPr>
      </w:pPr>
      <w:r w:rsidRPr="00FF7943">
        <w:rPr>
          <w:sz w:val="26"/>
          <w:szCs w:val="26"/>
        </w:rPr>
        <w:t xml:space="preserve">Cal-Ore Telephone </w:t>
      </w:r>
      <w:proofErr w:type="gramStart"/>
      <w:r w:rsidRPr="00FF7943">
        <w:rPr>
          <w:sz w:val="26"/>
          <w:szCs w:val="26"/>
        </w:rPr>
        <w:t>Co</w:t>
      </w:r>
      <w:r w:rsidR="00B50BEE">
        <w:rPr>
          <w:sz w:val="26"/>
          <w:szCs w:val="26"/>
        </w:rPr>
        <w:t>.;</w:t>
      </w:r>
      <w:proofErr w:type="gramEnd"/>
    </w:p>
    <w:p w:rsidR="00B50BEE" w:rsidP="0041469E" w:rsidRDefault="00FF7943" w14:paraId="7915B1E9" w14:textId="77777777">
      <w:pPr>
        <w:pStyle w:val="Standard"/>
        <w:numPr>
          <w:ilvl w:val="0"/>
          <w:numId w:val="41"/>
        </w:numPr>
        <w:spacing w:after="120" w:line="240" w:lineRule="auto"/>
        <w:ind w:left="1080" w:right="1440"/>
        <w:rPr>
          <w:sz w:val="26"/>
          <w:szCs w:val="26"/>
        </w:rPr>
      </w:pPr>
      <w:proofErr w:type="spellStart"/>
      <w:r w:rsidRPr="00FF7943">
        <w:rPr>
          <w:sz w:val="26"/>
          <w:szCs w:val="26"/>
        </w:rPr>
        <w:t>Ducor</w:t>
      </w:r>
      <w:proofErr w:type="spellEnd"/>
      <w:r w:rsidRPr="00FF7943">
        <w:rPr>
          <w:sz w:val="26"/>
          <w:szCs w:val="26"/>
        </w:rPr>
        <w:t xml:space="preserve"> Telephone </w:t>
      </w:r>
      <w:proofErr w:type="gramStart"/>
      <w:r w:rsidRPr="00FF7943">
        <w:rPr>
          <w:sz w:val="26"/>
          <w:szCs w:val="26"/>
        </w:rPr>
        <w:t>Company</w:t>
      </w:r>
      <w:r w:rsidR="00B50BEE">
        <w:rPr>
          <w:sz w:val="26"/>
          <w:szCs w:val="26"/>
        </w:rPr>
        <w:t>;</w:t>
      </w:r>
      <w:proofErr w:type="gramEnd"/>
    </w:p>
    <w:p w:rsidR="00B50BEE" w:rsidP="0041469E" w:rsidRDefault="00FF7943" w14:paraId="4395CB3F" w14:textId="77777777">
      <w:pPr>
        <w:pStyle w:val="Standard"/>
        <w:numPr>
          <w:ilvl w:val="0"/>
          <w:numId w:val="41"/>
        </w:numPr>
        <w:spacing w:after="120" w:line="240" w:lineRule="auto"/>
        <w:ind w:left="1080" w:right="1440"/>
        <w:rPr>
          <w:sz w:val="26"/>
          <w:szCs w:val="26"/>
        </w:rPr>
      </w:pPr>
      <w:r w:rsidRPr="00FF7943">
        <w:rPr>
          <w:sz w:val="26"/>
          <w:szCs w:val="26"/>
        </w:rPr>
        <w:t>Foresthill</w:t>
      </w:r>
      <w:r w:rsidR="00B50BEE">
        <w:rPr>
          <w:sz w:val="26"/>
          <w:szCs w:val="26"/>
        </w:rPr>
        <w:t xml:space="preserve"> </w:t>
      </w:r>
      <w:r w:rsidRPr="00FF7943">
        <w:rPr>
          <w:sz w:val="26"/>
          <w:szCs w:val="26"/>
        </w:rPr>
        <w:t xml:space="preserve">Telephone </w:t>
      </w:r>
      <w:proofErr w:type="gramStart"/>
      <w:r w:rsidRPr="00FF7943">
        <w:rPr>
          <w:sz w:val="26"/>
          <w:szCs w:val="26"/>
        </w:rPr>
        <w:t>Co.</w:t>
      </w:r>
      <w:r w:rsidR="00B50BEE">
        <w:rPr>
          <w:sz w:val="26"/>
          <w:szCs w:val="26"/>
        </w:rPr>
        <w:t>;</w:t>
      </w:r>
      <w:proofErr w:type="gramEnd"/>
    </w:p>
    <w:p w:rsidR="00B50BEE" w:rsidP="0041469E" w:rsidRDefault="00FF7943" w14:paraId="42B008A9" w14:textId="0FC9588E">
      <w:pPr>
        <w:pStyle w:val="Standard"/>
        <w:numPr>
          <w:ilvl w:val="0"/>
          <w:numId w:val="41"/>
        </w:numPr>
        <w:spacing w:after="120" w:line="240" w:lineRule="auto"/>
        <w:ind w:left="1080" w:right="1440"/>
        <w:rPr>
          <w:sz w:val="26"/>
          <w:szCs w:val="26"/>
        </w:rPr>
      </w:pPr>
      <w:r w:rsidRPr="00FF7943">
        <w:rPr>
          <w:sz w:val="26"/>
          <w:szCs w:val="26"/>
        </w:rPr>
        <w:t xml:space="preserve">Kerman Telephone </w:t>
      </w:r>
      <w:proofErr w:type="gramStart"/>
      <w:r w:rsidRPr="00FF7943">
        <w:rPr>
          <w:sz w:val="26"/>
          <w:szCs w:val="26"/>
        </w:rPr>
        <w:t>Co.</w:t>
      </w:r>
      <w:r w:rsidR="00B50BEE">
        <w:rPr>
          <w:sz w:val="26"/>
          <w:szCs w:val="26"/>
        </w:rPr>
        <w:t>;</w:t>
      </w:r>
      <w:proofErr w:type="gramEnd"/>
    </w:p>
    <w:p w:rsidR="00E64E41" w:rsidP="0041469E" w:rsidRDefault="00E64E41" w14:paraId="3A57014C" w14:textId="29680985">
      <w:pPr>
        <w:pStyle w:val="Standard"/>
        <w:numPr>
          <w:ilvl w:val="0"/>
          <w:numId w:val="41"/>
        </w:numPr>
        <w:spacing w:after="120" w:line="240" w:lineRule="auto"/>
        <w:ind w:left="1080" w:right="1440"/>
        <w:rPr>
          <w:sz w:val="26"/>
          <w:szCs w:val="26"/>
        </w:rPr>
      </w:pPr>
      <w:r>
        <w:rPr>
          <w:sz w:val="26"/>
          <w:szCs w:val="26"/>
        </w:rPr>
        <w:t xml:space="preserve">Pinnacles Telephone </w:t>
      </w:r>
      <w:proofErr w:type="gramStart"/>
      <w:r>
        <w:rPr>
          <w:sz w:val="26"/>
          <w:szCs w:val="26"/>
        </w:rPr>
        <w:t>Co.;</w:t>
      </w:r>
      <w:proofErr w:type="gramEnd"/>
    </w:p>
    <w:p w:rsidR="00B50BEE" w:rsidP="0041469E" w:rsidRDefault="00FF7943" w14:paraId="7803C2A9" w14:textId="77777777">
      <w:pPr>
        <w:pStyle w:val="Standard"/>
        <w:numPr>
          <w:ilvl w:val="0"/>
          <w:numId w:val="41"/>
        </w:numPr>
        <w:spacing w:after="120" w:line="240" w:lineRule="auto"/>
        <w:ind w:left="1080" w:right="1440"/>
        <w:rPr>
          <w:sz w:val="26"/>
          <w:szCs w:val="26"/>
        </w:rPr>
      </w:pPr>
      <w:r w:rsidRPr="00FF7943">
        <w:rPr>
          <w:sz w:val="26"/>
          <w:szCs w:val="26"/>
        </w:rPr>
        <w:t xml:space="preserve">Sierra Telephone Company, </w:t>
      </w:r>
      <w:proofErr w:type="gramStart"/>
      <w:r w:rsidRPr="00FF7943">
        <w:rPr>
          <w:sz w:val="26"/>
          <w:szCs w:val="26"/>
        </w:rPr>
        <w:t>Inc.</w:t>
      </w:r>
      <w:r w:rsidR="00B50BEE">
        <w:rPr>
          <w:sz w:val="26"/>
          <w:szCs w:val="26"/>
        </w:rPr>
        <w:t>;</w:t>
      </w:r>
      <w:proofErr w:type="gramEnd"/>
    </w:p>
    <w:p w:rsidR="00B50BEE" w:rsidP="0041469E" w:rsidRDefault="00FF7943" w14:paraId="0CBD05C3" w14:textId="77777777">
      <w:pPr>
        <w:pStyle w:val="Standard"/>
        <w:numPr>
          <w:ilvl w:val="0"/>
          <w:numId w:val="41"/>
        </w:numPr>
        <w:spacing w:after="120" w:line="240" w:lineRule="auto"/>
        <w:ind w:left="1080" w:right="1440"/>
        <w:rPr>
          <w:sz w:val="26"/>
          <w:szCs w:val="26"/>
        </w:rPr>
      </w:pPr>
      <w:r w:rsidRPr="00FF7943">
        <w:rPr>
          <w:sz w:val="26"/>
          <w:szCs w:val="26"/>
        </w:rPr>
        <w:t xml:space="preserve">The Siskiyou Telephone </w:t>
      </w:r>
      <w:proofErr w:type="gramStart"/>
      <w:r w:rsidRPr="00FF7943">
        <w:rPr>
          <w:sz w:val="26"/>
          <w:szCs w:val="26"/>
        </w:rPr>
        <w:t>Company</w:t>
      </w:r>
      <w:r w:rsidR="00B50BEE">
        <w:rPr>
          <w:sz w:val="26"/>
          <w:szCs w:val="26"/>
        </w:rPr>
        <w:t>;</w:t>
      </w:r>
      <w:proofErr w:type="gramEnd"/>
      <w:r w:rsidR="00B50BEE">
        <w:rPr>
          <w:sz w:val="26"/>
          <w:szCs w:val="26"/>
        </w:rPr>
        <w:t xml:space="preserve"> </w:t>
      </w:r>
    </w:p>
    <w:p w:rsidRPr="00472730" w:rsidR="00343E5C" w:rsidP="0041469E" w:rsidRDefault="00FF7943" w14:paraId="2E81AD69" w14:textId="1F6D8EB7">
      <w:pPr>
        <w:pStyle w:val="Standard"/>
        <w:numPr>
          <w:ilvl w:val="0"/>
          <w:numId w:val="41"/>
        </w:numPr>
        <w:spacing w:after="120" w:line="240" w:lineRule="auto"/>
        <w:ind w:left="1080" w:right="1440"/>
        <w:rPr>
          <w:sz w:val="26"/>
          <w:szCs w:val="26"/>
        </w:rPr>
      </w:pPr>
      <w:r w:rsidRPr="00FF7943">
        <w:rPr>
          <w:sz w:val="26"/>
          <w:szCs w:val="26"/>
        </w:rPr>
        <w:t xml:space="preserve">Volcano Telephone </w:t>
      </w:r>
      <w:proofErr w:type="gramStart"/>
      <w:r w:rsidRPr="00FF7943">
        <w:rPr>
          <w:sz w:val="26"/>
          <w:szCs w:val="26"/>
        </w:rPr>
        <w:t>Company</w:t>
      </w:r>
      <w:r w:rsidR="00B50BEE">
        <w:rPr>
          <w:sz w:val="26"/>
          <w:szCs w:val="26"/>
        </w:rPr>
        <w:t>;</w:t>
      </w:r>
      <w:proofErr w:type="gramEnd"/>
      <w:r w:rsidR="00B50BEE">
        <w:rPr>
          <w:sz w:val="26"/>
          <w:szCs w:val="26"/>
        </w:rPr>
        <w:t xml:space="preserve"> </w:t>
      </w:r>
      <w:r w:rsidR="009E4E7C">
        <w:t xml:space="preserve"> </w:t>
      </w:r>
    </w:p>
    <w:p w:rsidRPr="00B75226" w:rsidR="000F40C8" w:rsidP="0041469E" w:rsidRDefault="000F40C8" w14:paraId="004B903B" w14:textId="77777777">
      <w:pPr>
        <w:pStyle w:val="ListAlpha"/>
        <w:numPr>
          <w:ilvl w:val="0"/>
          <w:numId w:val="41"/>
        </w:numPr>
        <w:spacing w:line="240" w:lineRule="auto"/>
        <w:ind w:left="1080" w:right="1440"/>
        <w:rPr>
          <w:sz w:val="26"/>
          <w:szCs w:val="26"/>
        </w:rPr>
      </w:pPr>
      <w:r w:rsidRPr="00B75226">
        <w:rPr>
          <w:sz w:val="26"/>
          <w:szCs w:val="26"/>
        </w:rPr>
        <w:t xml:space="preserve">Calaveras Telephone </w:t>
      </w:r>
      <w:proofErr w:type="gramStart"/>
      <w:r w:rsidRPr="00B75226">
        <w:rPr>
          <w:sz w:val="26"/>
          <w:szCs w:val="26"/>
        </w:rPr>
        <w:t>Company;</w:t>
      </w:r>
      <w:proofErr w:type="gramEnd"/>
    </w:p>
    <w:p w:rsidRPr="00B75226" w:rsidR="000F40C8" w:rsidP="0041469E" w:rsidRDefault="000F40C8" w14:paraId="6DE8C4F4" w14:textId="77777777">
      <w:pPr>
        <w:pStyle w:val="ListAlpha"/>
        <w:numPr>
          <w:ilvl w:val="0"/>
          <w:numId w:val="41"/>
        </w:numPr>
        <w:spacing w:line="240" w:lineRule="auto"/>
        <w:ind w:left="1080" w:right="1440"/>
        <w:rPr>
          <w:sz w:val="26"/>
          <w:szCs w:val="26"/>
        </w:rPr>
      </w:pPr>
      <w:r w:rsidRPr="00B75226">
        <w:rPr>
          <w:sz w:val="26"/>
          <w:szCs w:val="26"/>
        </w:rPr>
        <w:t xml:space="preserve">Ponderosa Telephone </w:t>
      </w:r>
      <w:proofErr w:type="gramStart"/>
      <w:r w:rsidRPr="00B75226">
        <w:rPr>
          <w:sz w:val="26"/>
          <w:szCs w:val="26"/>
        </w:rPr>
        <w:t>Co.;</w:t>
      </w:r>
      <w:proofErr w:type="gramEnd"/>
    </w:p>
    <w:p w:rsidRPr="00B75226" w:rsidR="000F40C8" w:rsidP="0041469E" w:rsidRDefault="000F40C8" w14:paraId="15D8B437" w14:textId="77777777">
      <w:pPr>
        <w:pStyle w:val="ListAlpha"/>
        <w:numPr>
          <w:ilvl w:val="0"/>
          <w:numId w:val="41"/>
        </w:numPr>
        <w:spacing w:line="240" w:lineRule="auto"/>
        <w:ind w:left="1080" w:right="1440"/>
        <w:rPr>
          <w:sz w:val="26"/>
          <w:szCs w:val="26"/>
        </w:rPr>
      </w:pPr>
      <w:proofErr w:type="spellStart"/>
      <w:r w:rsidRPr="00B75226">
        <w:rPr>
          <w:sz w:val="26"/>
          <w:szCs w:val="26"/>
        </w:rPr>
        <w:t>Winterhaven</w:t>
      </w:r>
      <w:proofErr w:type="spellEnd"/>
      <w:r w:rsidRPr="00B75226">
        <w:rPr>
          <w:sz w:val="26"/>
          <w:szCs w:val="26"/>
        </w:rPr>
        <w:t xml:space="preserve"> Telephone </w:t>
      </w:r>
      <w:proofErr w:type="gramStart"/>
      <w:r w:rsidRPr="00B75226">
        <w:rPr>
          <w:sz w:val="26"/>
          <w:szCs w:val="26"/>
        </w:rPr>
        <w:t>Company;</w:t>
      </w:r>
      <w:proofErr w:type="gramEnd"/>
    </w:p>
    <w:p w:rsidRPr="00B75226" w:rsidR="000F40C8" w:rsidP="0041469E" w:rsidRDefault="000F40C8" w14:paraId="35864F50" w14:textId="0B10DADB">
      <w:pPr>
        <w:pStyle w:val="ListAlpha"/>
        <w:numPr>
          <w:ilvl w:val="0"/>
          <w:numId w:val="41"/>
        </w:numPr>
        <w:spacing w:line="240" w:lineRule="auto"/>
        <w:ind w:left="1080" w:right="1440"/>
        <w:rPr>
          <w:sz w:val="26"/>
          <w:szCs w:val="26"/>
        </w:rPr>
      </w:pPr>
      <w:r w:rsidRPr="00B75226">
        <w:rPr>
          <w:sz w:val="26"/>
          <w:szCs w:val="26"/>
        </w:rPr>
        <w:lastRenderedPageBreak/>
        <w:t xml:space="preserve">Happy Valley Telephone Company; </w:t>
      </w:r>
      <w:r>
        <w:rPr>
          <w:sz w:val="26"/>
          <w:szCs w:val="26"/>
        </w:rPr>
        <w:t>and,</w:t>
      </w:r>
    </w:p>
    <w:p w:rsidRPr="00472730" w:rsidR="000F40C8" w:rsidP="0041469E" w:rsidRDefault="000F40C8" w14:paraId="4908C744" w14:textId="6E0B4FD9">
      <w:pPr>
        <w:pStyle w:val="ListAlpha"/>
        <w:numPr>
          <w:ilvl w:val="0"/>
          <w:numId w:val="41"/>
        </w:numPr>
        <w:spacing w:line="240" w:lineRule="auto"/>
        <w:ind w:left="1080" w:right="1440"/>
        <w:rPr>
          <w:sz w:val="26"/>
          <w:szCs w:val="26"/>
        </w:rPr>
      </w:pPr>
      <w:r w:rsidRPr="00B75226">
        <w:rPr>
          <w:sz w:val="26"/>
          <w:szCs w:val="26"/>
        </w:rPr>
        <w:t>Hornitos</w:t>
      </w:r>
      <w:r w:rsidRPr="00F917C6">
        <w:t xml:space="preserve"> Telephone Company</w:t>
      </w:r>
      <w:r>
        <w:t>.</w:t>
      </w:r>
    </w:p>
    <w:p w:rsidR="005939A5" w:rsidP="003E26B9" w:rsidRDefault="005939A5" w14:paraId="3FE64E2A" w14:textId="2A34BC98">
      <w:pPr>
        <w:pStyle w:val="Heading1"/>
        <w:numPr>
          <w:ilvl w:val="0"/>
          <w:numId w:val="1"/>
        </w:numPr>
      </w:pPr>
      <w:bookmarkStart w:name="_Toc8123723" w:id="67"/>
      <w:bookmarkStart w:name="_Toc80089424" w:id="68"/>
      <w:r>
        <w:t>Comments on Proposed Decision</w:t>
      </w:r>
      <w:bookmarkEnd w:id="67"/>
      <w:bookmarkEnd w:id="68"/>
    </w:p>
    <w:p w:rsidR="005939A5" w:rsidP="00F90B13" w:rsidRDefault="00F90B13" w14:paraId="015183DE" w14:textId="16645EC8">
      <w:pPr>
        <w:pStyle w:val="Standard"/>
        <w:ind w:firstLine="720"/>
        <w:rPr>
          <w:sz w:val="26"/>
          <w:szCs w:val="26"/>
        </w:rPr>
      </w:pPr>
      <w:r w:rsidRPr="00F90B13">
        <w:rPr>
          <w:sz w:val="26"/>
          <w:szCs w:val="26"/>
        </w:rPr>
        <w:t xml:space="preserve">The proposed decision of </w:t>
      </w:r>
      <w:r>
        <w:rPr>
          <w:sz w:val="26"/>
          <w:szCs w:val="26"/>
        </w:rPr>
        <w:t xml:space="preserve">ALJ Cathleen </w:t>
      </w:r>
      <w:r w:rsidR="00E64E41">
        <w:rPr>
          <w:sz w:val="26"/>
          <w:szCs w:val="26"/>
        </w:rPr>
        <w:t xml:space="preserve">A. </w:t>
      </w:r>
      <w:r>
        <w:rPr>
          <w:sz w:val="26"/>
          <w:szCs w:val="26"/>
        </w:rPr>
        <w:t>Fogel</w:t>
      </w:r>
      <w:r w:rsidRPr="00F90B13">
        <w:rPr>
          <w:sz w:val="26"/>
          <w:szCs w:val="26"/>
        </w:rPr>
        <w:t xml:space="preserve"> in this matter was mailed to the parties in accordance with Section 311 of the Public Utilities Code.  Comments allowed under Rule 14.3 of the Commission’s Rules of Practice and Procedure were filed on</w:t>
      </w:r>
      <w:r w:rsidR="003052AB">
        <w:rPr>
          <w:sz w:val="26"/>
          <w:szCs w:val="26"/>
        </w:rPr>
        <w:t xml:space="preserve"> </w:t>
      </w:r>
      <w:r w:rsidR="006641DB">
        <w:rPr>
          <w:sz w:val="26"/>
          <w:szCs w:val="26"/>
        </w:rPr>
        <w:t xml:space="preserve">July 29, </w:t>
      </w:r>
      <w:proofErr w:type="gramStart"/>
      <w:r w:rsidR="006641DB">
        <w:rPr>
          <w:sz w:val="26"/>
          <w:szCs w:val="26"/>
        </w:rPr>
        <w:t>2021</w:t>
      </w:r>
      <w:proofErr w:type="gramEnd"/>
      <w:r w:rsidR="006641DB">
        <w:rPr>
          <w:sz w:val="26"/>
          <w:szCs w:val="26"/>
        </w:rPr>
        <w:t xml:space="preserve"> and </w:t>
      </w:r>
      <w:r w:rsidR="003052AB">
        <w:rPr>
          <w:sz w:val="26"/>
          <w:szCs w:val="26"/>
        </w:rPr>
        <w:t xml:space="preserve">August 2, 2021 </w:t>
      </w:r>
      <w:r w:rsidRPr="00F90B13">
        <w:rPr>
          <w:sz w:val="26"/>
          <w:szCs w:val="26"/>
        </w:rPr>
        <w:t>by</w:t>
      </w:r>
      <w:r w:rsidR="006641DB">
        <w:rPr>
          <w:sz w:val="26"/>
          <w:szCs w:val="26"/>
        </w:rPr>
        <w:t xml:space="preserve"> </w:t>
      </w:r>
      <w:proofErr w:type="spellStart"/>
      <w:r w:rsidR="006641DB">
        <w:rPr>
          <w:sz w:val="26"/>
          <w:szCs w:val="26"/>
        </w:rPr>
        <w:t>CforAT</w:t>
      </w:r>
      <w:proofErr w:type="spellEnd"/>
      <w:r w:rsidR="007D3CAE">
        <w:rPr>
          <w:sz w:val="26"/>
          <w:szCs w:val="26"/>
        </w:rPr>
        <w:t xml:space="preserve">, NCIC Inmate Communications, the Justice Coalition, GTL, Securus, </w:t>
      </w:r>
      <w:r w:rsidR="00060433">
        <w:rPr>
          <w:sz w:val="26"/>
          <w:szCs w:val="26"/>
        </w:rPr>
        <w:t xml:space="preserve">TURN, </w:t>
      </w:r>
      <w:r w:rsidR="007D3CAE">
        <w:rPr>
          <w:sz w:val="26"/>
          <w:szCs w:val="26"/>
        </w:rPr>
        <w:t>Cal Advocates, and Prison Policy Initiative</w:t>
      </w:r>
      <w:r w:rsidRPr="00F90B13">
        <w:rPr>
          <w:sz w:val="26"/>
          <w:szCs w:val="26"/>
        </w:rPr>
        <w:t xml:space="preserve"> and reply comments were filed on </w:t>
      </w:r>
      <w:r w:rsidR="00060433">
        <w:rPr>
          <w:sz w:val="26"/>
          <w:szCs w:val="26"/>
        </w:rPr>
        <w:t>August 9</w:t>
      </w:r>
      <w:r w:rsidR="001E2B3F">
        <w:rPr>
          <w:sz w:val="26"/>
          <w:szCs w:val="26"/>
        </w:rPr>
        <w:t>, 2021</w:t>
      </w:r>
      <w:r w:rsidR="00060433">
        <w:rPr>
          <w:sz w:val="26"/>
          <w:szCs w:val="26"/>
        </w:rPr>
        <w:t xml:space="preserve"> by Cal Advocates, </w:t>
      </w:r>
      <w:proofErr w:type="spellStart"/>
      <w:r w:rsidR="00060433">
        <w:rPr>
          <w:sz w:val="26"/>
          <w:szCs w:val="26"/>
        </w:rPr>
        <w:t>CforAT</w:t>
      </w:r>
      <w:proofErr w:type="spellEnd"/>
      <w:r w:rsidR="00060433">
        <w:rPr>
          <w:sz w:val="26"/>
          <w:szCs w:val="26"/>
        </w:rPr>
        <w:t xml:space="preserve">, TURN, GTL, Securus, </w:t>
      </w:r>
      <w:r w:rsidR="00323726">
        <w:rPr>
          <w:sz w:val="26"/>
          <w:szCs w:val="26"/>
        </w:rPr>
        <w:t xml:space="preserve">the Prison Policy Initiative, and the Justice Coalition. </w:t>
      </w:r>
    </w:p>
    <w:p w:rsidR="009C1F7A" w:rsidP="00F90B13" w:rsidRDefault="002F54A9" w14:paraId="1CD47BA5" w14:textId="2394D2F5">
      <w:pPr>
        <w:pStyle w:val="Standard"/>
        <w:ind w:firstLine="720"/>
        <w:rPr>
          <w:sz w:val="26"/>
          <w:szCs w:val="26"/>
        </w:rPr>
      </w:pPr>
      <w:r>
        <w:rPr>
          <w:sz w:val="26"/>
          <w:szCs w:val="26"/>
        </w:rPr>
        <w:t xml:space="preserve">We have </w:t>
      </w:r>
      <w:r w:rsidR="00630792">
        <w:rPr>
          <w:sz w:val="26"/>
          <w:szCs w:val="26"/>
        </w:rPr>
        <w:t xml:space="preserve">in some instances </w:t>
      </w:r>
      <w:r>
        <w:rPr>
          <w:sz w:val="26"/>
          <w:szCs w:val="26"/>
        </w:rPr>
        <w:t xml:space="preserve">modified the </w:t>
      </w:r>
      <w:r w:rsidR="009C1F7A">
        <w:rPr>
          <w:sz w:val="26"/>
          <w:szCs w:val="26"/>
        </w:rPr>
        <w:t>final decision in resp</w:t>
      </w:r>
      <w:r>
        <w:rPr>
          <w:sz w:val="26"/>
          <w:szCs w:val="26"/>
        </w:rPr>
        <w:t xml:space="preserve">onse to </w:t>
      </w:r>
      <w:r w:rsidR="00193397">
        <w:rPr>
          <w:sz w:val="26"/>
          <w:szCs w:val="26"/>
        </w:rPr>
        <w:t>parties’</w:t>
      </w:r>
      <w:r w:rsidR="009C1F7A">
        <w:rPr>
          <w:sz w:val="26"/>
          <w:szCs w:val="26"/>
        </w:rPr>
        <w:t xml:space="preserve"> comments</w:t>
      </w:r>
      <w:r>
        <w:rPr>
          <w:sz w:val="26"/>
          <w:szCs w:val="26"/>
        </w:rPr>
        <w:t>, which we discuss below</w:t>
      </w:r>
      <w:r w:rsidR="009C1F7A">
        <w:rPr>
          <w:sz w:val="26"/>
          <w:szCs w:val="26"/>
        </w:rPr>
        <w:t xml:space="preserve">.  </w:t>
      </w:r>
    </w:p>
    <w:p w:rsidR="007F305F" w:rsidP="007F305F" w:rsidRDefault="007F305F" w14:paraId="180C7D26" w14:textId="24C3DBE6">
      <w:pPr>
        <w:pStyle w:val="Standard"/>
        <w:numPr>
          <w:ilvl w:val="0"/>
          <w:numId w:val="47"/>
        </w:numPr>
        <w:spacing w:line="240" w:lineRule="auto"/>
        <w:rPr>
          <w:sz w:val="26"/>
          <w:szCs w:val="26"/>
          <w:u w:val="single"/>
        </w:rPr>
      </w:pPr>
      <w:r>
        <w:rPr>
          <w:sz w:val="26"/>
          <w:szCs w:val="26"/>
          <w:u w:val="single"/>
        </w:rPr>
        <w:t xml:space="preserve">Claims that the $0.07 rate Fails to </w:t>
      </w:r>
      <w:r w:rsidR="008E4047">
        <w:rPr>
          <w:sz w:val="26"/>
          <w:szCs w:val="26"/>
          <w:u w:val="single"/>
        </w:rPr>
        <w:t>Account for Varying Costs based on the Size, Characteristics and Needs of Incarceration Facilities</w:t>
      </w:r>
    </w:p>
    <w:p w:rsidR="008E4047" w:rsidP="008E4047" w:rsidRDefault="008E4047" w14:paraId="08D7D874" w14:textId="1BABA1F3">
      <w:pPr>
        <w:pStyle w:val="Standard"/>
        <w:ind w:firstLine="720"/>
        <w:rPr>
          <w:sz w:val="26"/>
          <w:szCs w:val="26"/>
        </w:rPr>
      </w:pPr>
      <w:r w:rsidRPr="008E4047">
        <w:rPr>
          <w:sz w:val="26"/>
          <w:szCs w:val="26"/>
        </w:rPr>
        <w:t>In comments on the proposed decision, Securus contend</w:t>
      </w:r>
      <w:r w:rsidR="00BD380C">
        <w:rPr>
          <w:sz w:val="26"/>
          <w:szCs w:val="26"/>
        </w:rPr>
        <w:t>s</w:t>
      </w:r>
      <w:r w:rsidRPr="008E4047">
        <w:rPr>
          <w:sz w:val="26"/>
          <w:szCs w:val="26"/>
        </w:rPr>
        <w:t xml:space="preserve"> that the $0.07 per minute rate is “principally based on the price offered by the largest provider to serve the state’s entire prison system…. [and] fails to account for the fact, demonstrated in the record, that costs, and hence rates, vary significantly based on the size, characteristics and needs of the facility.”</w:t>
      </w:r>
      <w:r w:rsidRPr="008E4047">
        <w:rPr>
          <w:sz w:val="26"/>
          <w:szCs w:val="26"/>
          <w:vertAlign w:val="superscript"/>
        </w:rPr>
        <w:footnoteReference w:id="251"/>
      </w:r>
      <w:r w:rsidRPr="008E4047">
        <w:rPr>
          <w:sz w:val="26"/>
          <w:szCs w:val="26"/>
        </w:rPr>
        <w:t xml:space="preserve">  </w:t>
      </w:r>
      <w:r>
        <w:rPr>
          <w:sz w:val="26"/>
          <w:szCs w:val="26"/>
        </w:rPr>
        <w:t>GTL makes similar claims</w:t>
      </w:r>
      <w:r w:rsidR="00BD380C">
        <w:rPr>
          <w:sz w:val="26"/>
          <w:szCs w:val="26"/>
        </w:rPr>
        <w:t xml:space="preserve"> that the decision ignores the different sizes, needs and costs of various facilities</w:t>
      </w:r>
      <w:r>
        <w:rPr>
          <w:sz w:val="26"/>
          <w:szCs w:val="26"/>
        </w:rPr>
        <w:t>.</w:t>
      </w:r>
      <w:r>
        <w:rPr>
          <w:rStyle w:val="FootnoteReference"/>
          <w:sz w:val="26"/>
          <w:szCs w:val="26"/>
        </w:rPr>
        <w:footnoteReference w:id="252"/>
      </w:r>
    </w:p>
    <w:p w:rsidR="008E4047" w:rsidP="00707C19" w:rsidRDefault="00E44073" w14:paraId="633174C3" w14:textId="1DA56F44">
      <w:pPr>
        <w:pStyle w:val="Standard"/>
        <w:ind w:firstLine="720"/>
        <w:rPr>
          <w:sz w:val="26"/>
          <w:szCs w:val="26"/>
        </w:rPr>
      </w:pPr>
      <w:r>
        <w:rPr>
          <w:sz w:val="26"/>
          <w:szCs w:val="26"/>
        </w:rPr>
        <w:t xml:space="preserve">We disagree with these comments.  Section </w:t>
      </w:r>
      <w:r w:rsidR="00FC5506">
        <w:rPr>
          <w:sz w:val="26"/>
          <w:szCs w:val="26"/>
        </w:rPr>
        <w:t>6.3</w:t>
      </w:r>
      <w:r w:rsidRPr="3934F952" w:rsidR="5BAF1F64">
        <w:rPr>
          <w:sz w:val="26"/>
          <w:szCs w:val="26"/>
        </w:rPr>
        <w:t xml:space="preserve"> </w:t>
      </w:r>
      <w:r w:rsidRPr="3934F952" w:rsidR="3B7A2CF0">
        <w:rPr>
          <w:sz w:val="26"/>
          <w:szCs w:val="26"/>
        </w:rPr>
        <w:t>above</w:t>
      </w:r>
      <w:r w:rsidR="00553182">
        <w:rPr>
          <w:sz w:val="26"/>
          <w:szCs w:val="26"/>
        </w:rPr>
        <w:t xml:space="preserve"> states that “</w:t>
      </w:r>
      <w:r w:rsidRPr="00553182" w:rsidR="00553182">
        <w:rPr>
          <w:sz w:val="26"/>
          <w:szCs w:val="26"/>
        </w:rPr>
        <w:t xml:space="preserve">it is unlikely that it costs IPCS providers more than double the cost of providing call </w:t>
      </w:r>
      <w:r w:rsidRPr="00553182" w:rsidR="00553182">
        <w:rPr>
          <w:sz w:val="26"/>
          <w:szCs w:val="26"/>
        </w:rPr>
        <w:lastRenderedPageBreak/>
        <w:t xml:space="preserve">services to the California state prison system to provide IPCS to jails </w:t>
      </w:r>
      <w:r w:rsidRPr="00553182" w:rsidR="00553182">
        <w:rPr>
          <w:i/>
          <w:iCs/>
          <w:sz w:val="26"/>
          <w:szCs w:val="26"/>
        </w:rPr>
        <w:t>of all sizes</w:t>
      </w:r>
      <w:r w:rsidR="00553182">
        <w:rPr>
          <w:i/>
          <w:iCs/>
          <w:sz w:val="26"/>
          <w:szCs w:val="26"/>
        </w:rPr>
        <w:t xml:space="preserve">” </w:t>
      </w:r>
      <w:r w:rsidRPr="00553182" w:rsidR="00553182">
        <w:rPr>
          <w:sz w:val="26"/>
          <w:szCs w:val="26"/>
        </w:rPr>
        <w:t>(emphasis added).</w:t>
      </w:r>
      <w:r w:rsidR="00BD380C">
        <w:rPr>
          <w:sz w:val="26"/>
          <w:szCs w:val="26"/>
        </w:rPr>
        <w:t xml:space="preserve">  </w:t>
      </w:r>
      <w:r w:rsidR="00553182">
        <w:rPr>
          <w:sz w:val="26"/>
          <w:szCs w:val="26"/>
        </w:rPr>
        <w:t xml:space="preserve">We </w:t>
      </w:r>
      <w:r w:rsidR="00933113">
        <w:rPr>
          <w:sz w:val="26"/>
          <w:szCs w:val="26"/>
        </w:rPr>
        <w:t xml:space="preserve">agree that </w:t>
      </w:r>
      <w:r w:rsidR="00E91F53">
        <w:rPr>
          <w:sz w:val="26"/>
          <w:szCs w:val="26"/>
        </w:rPr>
        <w:t xml:space="preserve">costs to </w:t>
      </w:r>
      <w:r w:rsidR="00596A30">
        <w:rPr>
          <w:sz w:val="26"/>
          <w:szCs w:val="26"/>
        </w:rPr>
        <w:t xml:space="preserve">provide IPCS to </w:t>
      </w:r>
      <w:r w:rsidR="00350298">
        <w:rPr>
          <w:sz w:val="26"/>
          <w:szCs w:val="26"/>
        </w:rPr>
        <w:t>jails and prisons of varying sizes</w:t>
      </w:r>
      <w:r w:rsidR="00E91F53">
        <w:rPr>
          <w:sz w:val="26"/>
          <w:szCs w:val="26"/>
        </w:rPr>
        <w:t xml:space="preserve">, populations and with different security needs </w:t>
      </w:r>
      <w:r w:rsidR="009B3113">
        <w:rPr>
          <w:sz w:val="26"/>
          <w:szCs w:val="26"/>
        </w:rPr>
        <w:t xml:space="preserve">may </w:t>
      </w:r>
      <w:r w:rsidR="00596A30">
        <w:rPr>
          <w:sz w:val="26"/>
          <w:szCs w:val="26"/>
        </w:rPr>
        <w:t>vary</w:t>
      </w:r>
      <w:r w:rsidR="00BD380C">
        <w:rPr>
          <w:sz w:val="26"/>
          <w:szCs w:val="26"/>
        </w:rPr>
        <w:t xml:space="preserve"> and our method of arriving at the $0.07 per minute rate explicitly considers</w:t>
      </w:r>
      <w:r w:rsidR="00FC5A07">
        <w:rPr>
          <w:sz w:val="26"/>
          <w:szCs w:val="26"/>
        </w:rPr>
        <w:t xml:space="preserve"> and accounts for </w:t>
      </w:r>
      <w:r w:rsidR="00D62213">
        <w:rPr>
          <w:sz w:val="26"/>
          <w:szCs w:val="26"/>
        </w:rPr>
        <w:t>thi</w:t>
      </w:r>
      <w:r w:rsidR="00FC5A07">
        <w:rPr>
          <w:sz w:val="26"/>
          <w:szCs w:val="26"/>
        </w:rPr>
        <w:t xml:space="preserve">s.  </w:t>
      </w:r>
      <w:r w:rsidRPr="00BC3C35" w:rsidR="00BC3C35">
        <w:rPr>
          <w:sz w:val="26"/>
          <w:szCs w:val="26"/>
        </w:rPr>
        <w:t xml:space="preserve">GTL and Securus </w:t>
      </w:r>
      <w:r w:rsidR="00707C19">
        <w:rPr>
          <w:sz w:val="26"/>
          <w:szCs w:val="26"/>
        </w:rPr>
        <w:t xml:space="preserve">did not provide </w:t>
      </w:r>
      <w:r w:rsidRPr="00BC3C35" w:rsidR="00BC3C35">
        <w:rPr>
          <w:sz w:val="26"/>
          <w:szCs w:val="26"/>
        </w:rPr>
        <w:t xml:space="preserve">cost data </w:t>
      </w:r>
      <w:r w:rsidR="00707C19">
        <w:rPr>
          <w:sz w:val="26"/>
          <w:szCs w:val="26"/>
        </w:rPr>
        <w:t>on this topic</w:t>
      </w:r>
      <w:r w:rsidRPr="00BC3C35" w:rsidR="00BC3C35">
        <w:rPr>
          <w:sz w:val="26"/>
          <w:szCs w:val="26"/>
        </w:rPr>
        <w:t>.</w:t>
      </w:r>
      <w:r w:rsidR="00EE4650">
        <w:rPr>
          <w:sz w:val="26"/>
          <w:szCs w:val="26"/>
        </w:rPr>
        <w:t xml:space="preserve">  </w:t>
      </w:r>
    </w:p>
    <w:p w:rsidRPr="00364906" w:rsidR="00364906" w:rsidP="007F305F" w:rsidRDefault="00364906" w14:paraId="6DFBA34E" w14:textId="598F272C">
      <w:pPr>
        <w:pStyle w:val="Standard"/>
        <w:numPr>
          <w:ilvl w:val="0"/>
          <w:numId w:val="47"/>
        </w:numPr>
        <w:spacing w:line="240" w:lineRule="auto"/>
        <w:rPr>
          <w:sz w:val="26"/>
          <w:szCs w:val="26"/>
          <w:u w:val="single"/>
        </w:rPr>
      </w:pPr>
      <w:r w:rsidRPr="00364906">
        <w:rPr>
          <w:sz w:val="26"/>
          <w:szCs w:val="26"/>
          <w:u w:val="single"/>
        </w:rPr>
        <w:t xml:space="preserve">Claims that the $0.07 per Minute Rate Cap is Confiscatory and Constitutes a “Taking” </w:t>
      </w:r>
    </w:p>
    <w:p w:rsidR="00A43898" w:rsidP="00F90B13" w:rsidRDefault="00854646" w14:paraId="6C65127C" w14:textId="6EAA5659">
      <w:pPr>
        <w:pStyle w:val="Standard"/>
        <w:ind w:firstLine="720"/>
        <w:rPr>
          <w:sz w:val="26"/>
          <w:szCs w:val="26"/>
        </w:rPr>
      </w:pPr>
      <w:r>
        <w:rPr>
          <w:sz w:val="26"/>
          <w:szCs w:val="26"/>
        </w:rPr>
        <w:t>G</w:t>
      </w:r>
      <w:r w:rsidR="005D6B7B">
        <w:rPr>
          <w:sz w:val="26"/>
          <w:szCs w:val="26"/>
        </w:rPr>
        <w:t>TL contend</w:t>
      </w:r>
      <w:r w:rsidR="001D3415">
        <w:rPr>
          <w:sz w:val="26"/>
          <w:szCs w:val="26"/>
        </w:rPr>
        <w:t>s</w:t>
      </w:r>
      <w:r w:rsidR="005D6B7B">
        <w:rPr>
          <w:sz w:val="26"/>
          <w:szCs w:val="26"/>
        </w:rPr>
        <w:t xml:space="preserve"> in comments that the decision is “confiscatory</w:t>
      </w:r>
      <w:r w:rsidR="0073672D">
        <w:rPr>
          <w:sz w:val="26"/>
          <w:szCs w:val="26"/>
        </w:rPr>
        <w:t>,” and “would violate the Takings Clause.”</w:t>
      </w:r>
      <w:r w:rsidR="001D3415">
        <w:rPr>
          <w:rStyle w:val="FootnoteReference"/>
          <w:sz w:val="26"/>
          <w:szCs w:val="26"/>
        </w:rPr>
        <w:footnoteReference w:id="253"/>
      </w:r>
      <w:r w:rsidR="00FA675E">
        <w:rPr>
          <w:sz w:val="26"/>
          <w:szCs w:val="26"/>
        </w:rPr>
        <w:t xml:space="preserve">  Securus</w:t>
      </w:r>
      <w:r w:rsidR="00364906">
        <w:rPr>
          <w:sz w:val="26"/>
          <w:szCs w:val="26"/>
        </w:rPr>
        <w:t xml:space="preserve"> contends that for </w:t>
      </w:r>
      <w:r w:rsidRPr="007F7B8A" w:rsidR="00364906">
        <w:rPr>
          <w:sz w:val="26"/>
          <w:szCs w:val="26"/>
        </w:rPr>
        <w:t xml:space="preserve">providers serving smaller facilities, </w:t>
      </w:r>
      <w:r w:rsidR="00364906">
        <w:rPr>
          <w:sz w:val="26"/>
          <w:szCs w:val="26"/>
        </w:rPr>
        <w:t>“</w:t>
      </w:r>
      <w:r w:rsidRPr="007F7B8A" w:rsidR="00364906">
        <w:rPr>
          <w:sz w:val="26"/>
          <w:szCs w:val="26"/>
        </w:rPr>
        <w:t>th</w:t>
      </w:r>
      <w:r w:rsidR="00364906">
        <w:rPr>
          <w:sz w:val="26"/>
          <w:szCs w:val="26"/>
        </w:rPr>
        <w:t>e</w:t>
      </w:r>
      <w:r w:rsidRPr="007F7B8A" w:rsidR="00364906">
        <w:rPr>
          <w:sz w:val="26"/>
          <w:szCs w:val="26"/>
        </w:rPr>
        <w:t xml:space="preserve"> rate cap is below cost and confiscatory</w:t>
      </w:r>
      <w:r w:rsidR="00876537">
        <w:rPr>
          <w:sz w:val="26"/>
          <w:szCs w:val="26"/>
        </w:rPr>
        <w:t>.</w:t>
      </w:r>
      <w:r w:rsidR="00364906">
        <w:rPr>
          <w:sz w:val="26"/>
          <w:szCs w:val="26"/>
        </w:rPr>
        <w:t>”</w:t>
      </w:r>
      <w:r w:rsidR="00364906">
        <w:rPr>
          <w:rStyle w:val="FootnoteReference"/>
          <w:sz w:val="26"/>
          <w:szCs w:val="26"/>
        </w:rPr>
        <w:footnoteReference w:id="254"/>
      </w:r>
      <w:r w:rsidR="00364906">
        <w:rPr>
          <w:sz w:val="26"/>
          <w:szCs w:val="26"/>
        </w:rPr>
        <w:t xml:space="preserve"> </w:t>
      </w:r>
    </w:p>
    <w:p w:rsidR="00042545" w:rsidP="00F90B13" w:rsidRDefault="00DA4CB5" w14:paraId="39265C66" w14:textId="0D8D6B0F">
      <w:pPr>
        <w:pStyle w:val="Standard"/>
        <w:ind w:firstLine="720"/>
        <w:rPr>
          <w:sz w:val="26"/>
          <w:szCs w:val="26"/>
        </w:rPr>
      </w:pPr>
      <w:r>
        <w:rPr>
          <w:sz w:val="26"/>
          <w:szCs w:val="26"/>
        </w:rPr>
        <w:t>GTL states that “[r]</w:t>
      </w:r>
      <w:proofErr w:type="spellStart"/>
      <w:r w:rsidRPr="00DA4CB5">
        <w:rPr>
          <w:sz w:val="26"/>
          <w:szCs w:val="26"/>
        </w:rPr>
        <w:t>eview</w:t>
      </w:r>
      <w:proofErr w:type="spellEnd"/>
      <w:r w:rsidRPr="00DA4CB5">
        <w:rPr>
          <w:sz w:val="26"/>
          <w:szCs w:val="26"/>
        </w:rPr>
        <w:t xml:space="preserve"> of whether a rate is confiscatory must be “viewed in its entirety” to look at the “total effect” on the regulated business</w:t>
      </w:r>
      <w:r>
        <w:rPr>
          <w:sz w:val="26"/>
          <w:szCs w:val="26"/>
        </w:rPr>
        <w:t xml:space="preserve"> [footnote omitted]</w:t>
      </w:r>
      <w:r w:rsidRPr="00DA4CB5">
        <w:rPr>
          <w:sz w:val="26"/>
          <w:szCs w:val="26"/>
        </w:rPr>
        <w:t>.</w:t>
      </w:r>
      <w:r>
        <w:rPr>
          <w:sz w:val="26"/>
          <w:szCs w:val="26"/>
        </w:rPr>
        <w:t xml:space="preserve">  T</w:t>
      </w:r>
      <w:r w:rsidRPr="00DA4CB5">
        <w:rPr>
          <w:sz w:val="26"/>
          <w:szCs w:val="26"/>
        </w:rPr>
        <w:t xml:space="preserve">he </w:t>
      </w:r>
      <w:r>
        <w:rPr>
          <w:sz w:val="26"/>
          <w:szCs w:val="26"/>
        </w:rPr>
        <w:t>[proposed decision]</w:t>
      </w:r>
      <w:r w:rsidRPr="00DA4CB5">
        <w:rPr>
          <w:sz w:val="26"/>
          <w:szCs w:val="26"/>
        </w:rPr>
        <w:t xml:space="preserve"> conducts no such evaluation</w:t>
      </w:r>
      <w:r>
        <w:rPr>
          <w:sz w:val="26"/>
          <w:szCs w:val="26"/>
        </w:rPr>
        <w:t xml:space="preserve"> [footnote omitted].  </w:t>
      </w:r>
      <w:r w:rsidRPr="00DA4CB5">
        <w:rPr>
          <w:sz w:val="26"/>
          <w:szCs w:val="26"/>
        </w:rPr>
        <w:t>If it did, it would reflect that the proposed rate cap and ancillary service fee</w:t>
      </w:r>
      <w:r w:rsidR="00C6202C">
        <w:rPr>
          <w:sz w:val="26"/>
          <w:szCs w:val="26"/>
        </w:rPr>
        <w:t xml:space="preserve"> </w:t>
      </w:r>
      <w:r w:rsidRPr="00C6202C" w:rsidR="00C6202C">
        <w:rPr>
          <w:sz w:val="26"/>
          <w:szCs w:val="26"/>
        </w:rPr>
        <w:t>prohibitions/</w:t>
      </w:r>
      <w:r w:rsidR="00C6202C">
        <w:rPr>
          <w:sz w:val="26"/>
          <w:szCs w:val="26"/>
        </w:rPr>
        <w:t xml:space="preserve"> </w:t>
      </w:r>
      <w:r w:rsidRPr="00C6202C" w:rsidR="00C6202C">
        <w:rPr>
          <w:sz w:val="26"/>
          <w:szCs w:val="26"/>
        </w:rPr>
        <w:t>limitations do not allow IPCS providers to recover their costs of providing IPCS, and certainly do not take into consideration the amounts and rates of site commissions IPCS providers currently are obliged to pay under binding contracts</w:t>
      </w:r>
      <w:r w:rsidR="00C6202C">
        <w:rPr>
          <w:sz w:val="26"/>
          <w:szCs w:val="26"/>
        </w:rPr>
        <w:t>.”</w:t>
      </w:r>
      <w:r w:rsidR="00C6202C">
        <w:rPr>
          <w:rStyle w:val="FootnoteReference"/>
          <w:sz w:val="26"/>
          <w:szCs w:val="26"/>
        </w:rPr>
        <w:footnoteReference w:id="255"/>
      </w:r>
      <w:r w:rsidR="00741B34">
        <w:rPr>
          <w:sz w:val="26"/>
          <w:szCs w:val="26"/>
        </w:rPr>
        <w:t xml:space="preserve">  Securus makes similar assertions</w:t>
      </w:r>
      <w:r w:rsidR="00B264D9">
        <w:rPr>
          <w:sz w:val="26"/>
          <w:szCs w:val="26"/>
        </w:rPr>
        <w:t xml:space="preserve"> that the</w:t>
      </w:r>
      <w:r w:rsidR="00741B34">
        <w:rPr>
          <w:sz w:val="26"/>
          <w:szCs w:val="26"/>
        </w:rPr>
        <w:t xml:space="preserve"> “</w:t>
      </w:r>
      <w:r w:rsidR="00B264D9">
        <w:rPr>
          <w:sz w:val="26"/>
          <w:szCs w:val="26"/>
        </w:rPr>
        <w:t xml:space="preserve">interim </w:t>
      </w:r>
      <w:r w:rsidRPr="00B264D9" w:rsidR="00B264D9">
        <w:rPr>
          <w:sz w:val="26"/>
          <w:szCs w:val="26"/>
        </w:rPr>
        <w:t>rate cap does not enable Securus to recover its costs, including the costs of</w:t>
      </w:r>
      <w:r w:rsidR="00B264D9">
        <w:rPr>
          <w:sz w:val="26"/>
          <w:szCs w:val="26"/>
        </w:rPr>
        <w:t xml:space="preserve"> </w:t>
      </w:r>
      <w:r w:rsidRPr="00B264D9" w:rsidR="00B264D9">
        <w:rPr>
          <w:sz w:val="26"/>
          <w:szCs w:val="26"/>
        </w:rPr>
        <w:t xml:space="preserve">site commissions as required by GTL v. </w:t>
      </w:r>
      <w:r w:rsidRPr="73BF4038" w:rsidR="546A2379">
        <w:rPr>
          <w:sz w:val="26"/>
          <w:szCs w:val="26"/>
        </w:rPr>
        <w:t>FCC, and is thus confiscatory.”</w:t>
      </w:r>
      <w:r w:rsidR="00A43898">
        <w:rPr>
          <w:rStyle w:val="FootnoteReference"/>
          <w:sz w:val="26"/>
          <w:szCs w:val="26"/>
        </w:rPr>
        <w:footnoteReference w:id="256"/>
      </w:r>
      <w:r w:rsidRPr="73BF4038" w:rsidR="2CB4D3FC">
        <w:rPr>
          <w:sz w:val="26"/>
          <w:szCs w:val="26"/>
        </w:rPr>
        <w:t xml:space="preserve">  GTL additionally asserts that </w:t>
      </w:r>
      <w:r w:rsidRPr="73BF4038" w:rsidR="080FAAE9">
        <w:rPr>
          <w:sz w:val="26"/>
          <w:szCs w:val="26"/>
        </w:rPr>
        <w:t xml:space="preserve">the decision did not </w:t>
      </w:r>
      <w:r w:rsidRPr="73BF4038" w:rsidR="5BBB7590">
        <w:rPr>
          <w:sz w:val="26"/>
          <w:szCs w:val="26"/>
        </w:rPr>
        <w:t>“</w:t>
      </w:r>
      <w:r w:rsidRPr="73BF4038" w:rsidR="080FAAE9">
        <w:rPr>
          <w:sz w:val="26"/>
          <w:szCs w:val="26"/>
        </w:rPr>
        <w:t>consider whether the prohibitions/limitations on ancillary service fees would permit</w:t>
      </w:r>
      <w:r w:rsidRPr="73BF4038" w:rsidR="30E205CB">
        <w:rPr>
          <w:sz w:val="26"/>
          <w:szCs w:val="26"/>
        </w:rPr>
        <w:t xml:space="preserve">… </w:t>
      </w:r>
      <w:r w:rsidRPr="73BF4038" w:rsidR="080FAAE9">
        <w:rPr>
          <w:sz w:val="26"/>
          <w:szCs w:val="26"/>
        </w:rPr>
        <w:lastRenderedPageBreak/>
        <w:t>recovery.</w:t>
      </w:r>
      <w:r w:rsidRPr="73BF4038" w:rsidR="2CC26AAE">
        <w:rPr>
          <w:sz w:val="26"/>
          <w:szCs w:val="26"/>
        </w:rPr>
        <w:t xml:space="preserve"> </w:t>
      </w:r>
      <w:r w:rsidRPr="73BF4038" w:rsidR="080FAAE9">
        <w:rPr>
          <w:sz w:val="26"/>
          <w:szCs w:val="26"/>
        </w:rPr>
        <w:t xml:space="preserve"> The </w:t>
      </w:r>
      <w:r w:rsidRPr="73BF4038" w:rsidR="30E205CB">
        <w:rPr>
          <w:sz w:val="26"/>
          <w:szCs w:val="26"/>
        </w:rPr>
        <w:t>[proposed decision]</w:t>
      </w:r>
      <w:r w:rsidRPr="73BF4038" w:rsidR="080FAAE9">
        <w:rPr>
          <w:sz w:val="26"/>
          <w:szCs w:val="26"/>
        </w:rPr>
        <w:t>’s treatment of ancillary service fees will not</w:t>
      </w:r>
      <w:r w:rsidRPr="73BF4038" w:rsidR="30E205CB">
        <w:rPr>
          <w:sz w:val="26"/>
          <w:szCs w:val="26"/>
        </w:rPr>
        <w:t>.”</w:t>
      </w:r>
      <w:r w:rsidR="00A542EE">
        <w:rPr>
          <w:rStyle w:val="FootnoteReference"/>
          <w:sz w:val="26"/>
          <w:szCs w:val="26"/>
        </w:rPr>
        <w:footnoteReference w:id="257"/>
      </w:r>
    </w:p>
    <w:p w:rsidR="009E3CEC" w:rsidP="00B355FF" w:rsidRDefault="58482374" w14:paraId="35B5E32E" w14:textId="798E5396">
      <w:pPr>
        <w:pStyle w:val="Standard"/>
        <w:ind w:firstLine="720"/>
        <w:rPr>
          <w:sz w:val="26"/>
          <w:szCs w:val="26"/>
        </w:rPr>
      </w:pPr>
      <w:r w:rsidRPr="73BF4038">
        <w:rPr>
          <w:sz w:val="26"/>
          <w:szCs w:val="26"/>
        </w:rPr>
        <w:t xml:space="preserve">We disagree with these GTL and Securus assertions.  First, this decision is based on the record before us.  </w:t>
      </w:r>
      <w:r w:rsidRPr="73BF4038" w:rsidR="2DB4DFE8">
        <w:rPr>
          <w:sz w:val="26"/>
          <w:szCs w:val="26"/>
        </w:rPr>
        <w:t xml:space="preserve">All </w:t>
      </w:r>
      <w:r w:rsidRPr="73BF4038" w:rsidR="256FA8AF">
        <w:rPr>
          <w:sz w:val="26"/>
          <w:szCs w:val="26"/>
        </w:rPr>
        <w:t xml:space="preserve">IPCS </w:t>
      </w:r>
      <w:r w:rsidRPr="73BF4038" w:rsidR="2DB4DFE8">
        <w:rPr>
          <w:sz w:val="26"/>
          <w:szCs w:val="26"/>
        </w:rPr>
        <w:t>provider</w:t>
      </w:r>
      <w:r w:rsidRPr="73BF4038" w:rsidR="4418D0DF">
        <w:rPr>
          <w:sz w:val="26"/>
          <w:szCs w:val="26"/>
        </w:rPr>
        <w:t xml:space="preserve"> </w:t>
      </w:r>
      <w:r w:rsidRPr="73BF4038" w:rsidR="256FA8AF">
        <w:rPr>
          <w:sz w:val="26"/>
          <w:szCs w:val="26"/>
        </w:rPr>
        <w:t>parties to this proceeding</w:t>
      </w:r>
      <w:r w:rsidRPr="73BF4038" w:rsidR="4418D0DF">
        <w:rPr>
          <w:sz w:val="26"/>
          <w:szCs w:val="26"/>
        </w:rPr>
        <w:t xml:space="preserve"> </w:t>
      </w:r>
      <w:r w:rsidRPr="73BF4038" w:rsidR="2DB4DFE8">
        <w:rPr>
          <w:sz w:val="26"/>
          <w:szCs w:val="26"/>
        </w:rPr>
        <w:t xml:space="preserve">have had the opportunity to </w:t>
      </w:r>
      <w:r w:rsidRPr="73BF4038" w:rsidR="3779BD26">
        <w:rPr>
          <w:sz w:val="26"/>
          <w:szCs w:val="26"/>
        </w:rPr>
        <w:t xml:space="preserve">file as part of the record </w:t>
      </w:r>
      <w:r w:rsidRPr="73BF4038" w:rsidR="2DB4DFE8">
        <w:rPr>
          <w:sz w:val="26"/>
          <w:szCs w:val="26"/>
        </w:rPr>
        <w:t xml:space="preserve">cost data </w:t>
      </w:r>
      <w:r w:rsidRPr="73BF4038" w:rsidR="256FA8AF">
        <w:rPr>
          <w:sz w:val="26"/>
          <w:szCs w:val="26"/>
        </w:rPr>
        <w:t>to back up these and similar claims, but they have not done so.</w:t>
      </w:r>
      <w:r w:rsidR="000432F4">
        <w:rPr>
          <w:rStyle w:val="FootnoteReference"/>
          <w:sz w:val="26"/>
          <w:szCs w:val="26"/>
        </w:rPr>
        <w:footnoteReference w:id="258"/>
      </w:r>
      <w:r w:rsidRPr="73BF4038" w:rsidR="3779BD26">
        <w:rPr>
          <w:sz w:val="26"/>
          <w:szCs w:val="26"/>
        </w:rPr>
        <w:t xml:space="preserve">  </w:t>
      </w:r>
      <w:r w:rsidRPr="73BF4038" w:rsidR="50A43DC8">
        <w:rPr>
          <w:sz w:val="26"/>
          <w:szCs w:val="26"/>
        </w:rPr>
        <w:t xml:space="preserve">IPCS providers provision of </w:t>
      </w:r>
      <w:r w:rsidRPr="73BF4038" w:rsidR="33DFB12D">
        <w:rPr>
          <w:sz w:val="26"/>
          <w:szCs w:val="26"/>
        </w:rPr>
        <w:t xml:space="preserve">data </w:t>
      </w:r>
      <w:r w:rsidRPr="73BF4038" w:rsidR="07BA26DD">
        <w:rPr>
          <w:sz w:val="26"/>
          <w:szCs w:val="26"/>
        </w:rPr>
        <w:t xml:space="preserve">during discovery </w:t>
      </w:r>
      <w:r w:rsidRPr="73BF4038" w:rsidR="33DFB12D">
        <w:rPr>
          <w:sz w:val="26"/>
          <w:szCs w:val="26"/>
        </w:rPr>
        <w:t xml:space="preserve">in response to data requests, to either Cal Advocates or this Commission’s Communication Division, </w:t>
      </w:r>
      <w:r w:rsidRPr="73BF4038" w:rsidR="50A43DC8">
        <w:rPr>
          <w:sz w:val="26"/>
          <w:szCs w:val="26"/>
        </w:rPr>
        <w:t>is not part of the record</w:t>
      </w:r>
      <w:r w:rsidR="006E4980">
        <w:rPr>
          <w:rStyle w:val="FootnoteReference"/>
          <w:sz w:val="26"/>
          <w:szCs w:val="26"/>
        </w:rPr>
        <w:footnoteReference w:id="259"/>
      </w:r>
      <w:r w:rsidRPr="73BF4038" w:rsidR="67938829">
        <w:rPr>
          <w:sz w:val="26"/>
          <w:szCs w:val="26"/>
        </w:rPr>
        <w:t xml:space="preserve"> and as </w:t>
      </w:r>
      <w:r w:rsidRPr="73BF4038" w:rsidR="63429F4E">
        <w:rPr>
          <w:sz w:val="26"/>
          <w:szCs w:val="26"/>
        </w:rPr>
        <w:t xml:space="preserve">such we have no </w:t>
      </w:r>
      <w:r w:rsidRPr="73BF4038" w:rsidR="67938829">
        <w:rPr>
          <w:sz w:val="26"/>
          <w:szCs w:val="26"/>
        </w:rPr>
        <w:t xml:space="preserve">basis to  </w:t>
      </w:r>
      <w:r w:rsidRPr="73BF4038" w:rsidR="4EF13EC5">
        <w:rPr>
          <w:sz w:val="26"/>
          <w:szCs w:val="26"/>
        </w:rPr>
        <w:t>corroborate these parties</w:t>
      </w:r>
      <w:r w:rsidRPr="73BF4038" w:rsidR="1E2BF4BF">
        <w:rPr>
          <w:sz w:val="26"/>
          <w:szCs w:val="26"/>
        </w:rPr>
        <w:t>’</w:t>
      </w:r>
      <w:r w:rsidRPr="73BF4038" w:rsidR="4EF13EC5">
        <w:rPr>
          <w:sz w:val="26"/>
          <w:szCs w:val="26"/>
        </w:rPr>
        <w:t xml:space="preserve"> claims that the $0.07 rate is confiscatory and constitutes a “taking.”</w:t>
      </w:r>
      <w:r w:rsidRPr="73BF4038" w:rsidR="4418D0DF">
        <w:rPr>
          <w:sz w:val="26"/>
          <w:szCs w:val="26"/>
        </w:rPr>
        <w:t xml:space="preserve">  </w:t>
      </w:r>
      <w:r w:rsidRPr="73BF4038" w:rsidR="4985801E">
        <w:rPr>
          <w:sz w:val="26"/>
          <w:szCs w:val="26"/>
        </w:rPr>
        <w:t>Despite providers claims to the contrary, t</w:t>
      </w:r>
      <w:r w:rsidRPr="73BF4038" w:rsidR="003DE9C9">
        <w:rPr>
          <w:sz w:val="26"/>
          <w:szCs w:val="26"/>
        </w:rPr>
        <w:t xml:space="preserve">he rate data </w:t>
      </w:r>
      <w:r w:rsidR="004E5574">
        <w:rPr>
          <w:sz w:val="26"/>
          <w:szCs w:val="26"/>
        </w:rPr>
        <w:t xml:space="preserve">before us, </w:t>
      </w:r>
      <w:r w:rsidRPr="73BF4038" w:rsidR="1E4F4835">
        <w:rPr>
          <w:sz w:val="26"/>
          <w:szCs w:val="26"/>
        </w:rPr>
        <w:t xml:space="preserve">provided by the Staff Proposal </w:t>
      </w:r>
      <w:r w:rsidRPr="73BF4038" w:rsidR="631082DB">
        <w:rPr>
          <w:sz w:val="26"/>
          <w:szCs w:val="26"/>
        </w:rPr>
        <w:t>and</w:t>
      </w:r>
      <w:r w:rsidRPr="73BF4038" w:rsidR="0A6F338D">
        <w:rPr>
          <w:sz w:val="26"/>
          <w:szCs w:val="26"/>
        </w:rPr>
        <w:t xml:space="preserve"> </w:t>
      </w:r>
      <w:r w:rsidRPr="73BF4038" w:rsidR="1E4F4835">
        <w:rPr>
          <w:sz w:val="26"/>
          <w:szCs w:val="26"/>
        </w:rPr>
        <w:t>non-provider</w:t>
      </w:r>
      <w:r w:rsidRPr="73BF4038" w:rsidR="0A6F338D">
        <w:rPr>
          <w:sz w:val="26"/>
          <w:szCs w:val="26"/>
        </w:rPr>
        <w:t xml:space="preserve"> parties’ comments</w:t>
      </w:r>
      <w:r w:rsidR="004E5574">
        <w:rPr>
          <w:sz w:val="26"/>
          <w:szCs w:val="26"/>
        </w:rPr>
        <w:t>,</w:t>
      </w:r>
      <w:r w:rsidRPr="73BF4038" w:rsidR="0A6F338D">
        <w:rPr>
          <w:sz w:val="26"/>
          <w:szCs w:val="26"/>
        </w:rPr>
        <w:t xml:space="preserve"> </w:t>
      </w:r>
      <w:r w:rsidRPr="73BF4038" w:rsidR="4985801E">
        <w:rPr>
          <w:sz w:val="26"/>
          <w:szCs w:val="26"/>
        </w:rPr>
        <w:t xml:space="preserve">suggests that the $0.07 rate is not confiscatory and does not constitute a taking.  </w:t>
      </w:r>
    </w:p>
    <w:p w:rsidR="001F40F3" w:rsidP="00CF2D1C" w:rsidRDefault="200855B7" w14:paraId="6D8BF057" w14:textId="770F84C2">
      <w:pPr>
        <w:pStyle w:val="Standard"/>
        <w:ind w:firstLine="720"/>
        <w:rPr>
          <w:sz w:val="26"/>
          <w:szCs w:val="26"/>
        </w:rPr>
      </w:pPr>
      <w:r w:rsidRPr="73BF4038">
        <w:rPr>
          <w:sz w:val="26"/>
          <w:szCs w:val="26"/>
        </w:rPr>
        <w:t xml:space="preserve">While Securus cites to the case of </w:t>
      </w:r>
      <w:r w:rsidRPr="00F95753">
        <w:rPr>
          <w:i/>
          <w:iCs/>
          <w:sz w:val="26"/>
          <w:szCs w:val="26"/>
        </w:rPr>
        <w:t>Ponderosa Tel. Co. v. Cal. Pub. Util. Comm</w:t>
      </w:r>
      <w:r w:rsidRPr="73BF4038" w:rsidR="00FA3395">
        <w:rPr>
          <w:rStyle w:val="FootnoteReference"/>
          <w:sz w:val="26"/>
          <w:szCs w:val="26"/>
        </w:rPr>
        <w:footnoteReference w:id="260"/>
      </w:r>
      <w:r w:rsidRPr="73BF4038">
        <w:rPr>
          <w:sz w:val="26"/>
          <w:szCs w:val="26"/>
        </w:rPr>
        <w:t xml:space="preserve"> </w:t>
      </w:r>
      <w:r w:rsidRPr="73BF4038" w:rsidR="3B576925">
        <w:rPr>
          <w:sz w:val="26"/>
          <w:szCs w:val="26"/>
        </w:rPr>
        <w:t>to support its claim that the rate of $0.07 is confiscatory, it fail</w:t>
      </w:r>
      <w:r w:rsidR="009E3CEC">
        <w:rPr>
          <w:sz w:val="26"/>
          <w:szCs w:val="26"/>
        </w:rPr>
        <w:t>s</w:t>
      </w:r>
      <w:r w:rsidRPr="73BF4038" w:rsidR="3B576925">
        <w:rPr>
          <w:sz w:val="26"/>
          <w:szCs w:val="26"/>
        </w:rPr>
        <w:t xml:space="preserve"> to acknowledge that in that same case, </w:t>
      </w:r>
      <w:r w:rsidRPr="73BF4038" w:rsidR="57C2819A">
        <w:rPr>
          <w:sz w:val="26"/>
          <w:szCs w:val="26"/>
        </w:rPr>
        <w:t xml:space="preserve">the Court of Appeals states </w:t>
      </w:r>
      <w:r w:rsidR="00FA3395">
        <w:rPr>
          <w:sz w:val="26"/>
          <w:szCs w:val="26"/>
        </w:rPr>
        <w:t>“[t]</w:t>
      </w:r>
      <w:r w:rsidRPr="00FA3395" w:rsidR="00FA3395">
        <w:rPr>
          <w:sz w:val="26"/>
          <w:szCs w:val="26"/>
        </w:rPr>
        <w:t xml:space="preserve">he </w:t>
      </w:r>
      <w:proofErr w:type="gramStart"/>
      <w:r w:rsidRPr="00FA3395" w:rsidR="00FA3395">
        <w:rPr>
          <w:sz w:val="26"/>
          <w:szCs w:val="26"/>
        </w:rPr>
        <w:t>burden</w:t>
      </w:r>
      <w:proofErr w:type="gramEnd"/>
      <w:r w:rsidRPr="00FA3395" w:rsidR="00FA3395">
        <w:rPr>
          <w:sz w:val="26"/>
          <w:szCs w:val="26"/>
        </w:rPr>
        <w:t xml:space="preserve"> is on petitioners to show the rate of return (or cost of capital) established by the </w:t>
      </w:r>
      <w:r w:rsidR="00FA3395">
        <w:rPr>
          <w:sz w:val="26"/>
          <w:szCs w:val="26"/>
        </w:rPr>
        <w:t>[Commission]</w:t>
      </w:r>
      <w:r w:rsidRPr="00FA3395" w:rsidR="00FA3395">
        <w:rPr>
          <w:sz w:val="26"/>
          <w:szCs w:val="26"/>
        </w:rPr>
        <w:t xml:space="preserve"> was clearly confiscatory.  That is, there must be a clear showing </w:t>
      </w:r>
      <w:r w:rsidRPr="00FA3395" w:rsidR="00FA3395">
        <w:rPr>
          <w:sz w:val="26"/>
          <w:szCs w:val="26"/>
        </w:rPr>
        <w:lastRenderedPageBreak/>
        <w:t xml:space="preserve">the rate of return was </w:t>
      </w:r>
      <w:r w:rsidR="00AC2F46">
        <w:rPr>
          <w:sz w:val="26"/>
          <w:szCs w:val="26"/>
        </w:rPr>
        <w:t>‘</w:t>
      </w:r>
      <w:r w:rsidRPr="00FA3395" w:rsidR="00FA3395">
        <w:rPr>
          <w:sz w:val="26"/>
          <w:szCs w:val="26"/>
        </w:rPr>
        <w:t xml:space="preserve">so </w:t>
      </w:r>
      <w:r w:rsidR="00CF2D1C">
        <w:rPr>
          <w:sz w:val="26"/>
          <w:szCs w:val="26"/>
        </w:rPr>
        <w:t>“</w:t>
      </w:r>
      <w:r w:rsidRPr="73BF4038" w:rsidR="22DC15A8">
        <w:rPr>
          <w:sz w:val="26"/>
          <w:szCs w:val="26"/>
        </w:rPr>
        <w:t>unjust</w:t>
      </w:r>
      <w:r w:rsidR="00CF2D1C">
        <w:rPr>
          <w:sz w:val="26"/>
          <w:szCs w:val="26"/>
        </w:rPr>
        <w:t>”</w:t>
      </w:r>
      <w:r w:rsidR="00FA3395">
        <w:rPr>
          <w:sz w:val="26"/>
          <w:szCs w:val="26"/>
        </w:rPr>
        <w:t xml:space="preserve"> </w:t>
      </w:r>
      <w:r w:rsidRPr="00FA3395" w:rsidR="00FA3395">
        <w:rPr>
          <w:sz w:val="26"/>
          <w:szCs w:val="26"/>
        </w:rPr>
        <w:t>as to be confiscatory,</w:t>
      </w:r>
      <w:r w:rsidR="00AC2F46">
        <w:rPr>
          <w:sz w:val="26"/>
          <w:szCs w:val="26"/>
        </w:rPr>
        <w:t>’</w:t>
      </w:r>
      <w:r w:rsidRPr="00FA3395" w:rsidR="00FA3395">
        <w:rPr>
          <w:sz w:val="26"/>
          <w:szCs w:val="26"/>
        </w:rPr>
        <w:t xml:space="preserve"> such as by demonstrating the rate is so unreasonably low it will</w:t>
      </w:r>
      <w:r w:rsidR="00FA3395">
        <w:rPr>
          <w:sz w:val="26"/>
          <w:szCs w:val="26"/>
        </w:rPr>
        <w:t xml:space="preserve"> </w:t>
      </w:r>
      <w:r w:rsidRPr="00FA3395" w:rsidR="00FA3395">
        <w:rPr>
          <w:sz w:val="26"/>
          <w:szCs w:val="26"/>
        </w:rPr>
        <w:t>threaten the utility’s financial integrity by impeding the utility’s ability to raise future capital or adequately compensate current equity holders.</w:t>
      </w:r>
      <w:r w:rsidR="00FA3395">
        <w:rPr>
          <w:sz w:val="26"/>
          <w:szCs w:val="26"/>
        </w:rPr>
        <w:t>”</w:t>
      </w:r>
      <w:r w:rsidR="00FA3395">
        <w:rPr>
          <w:rStyle w:val="FootnoteReference"/>
          <w:sz w:val="26"/>
          <w:szCs w:val="26"/>
        </w:rPr>
        <w:footnoteReference w:id="261"/>
      </w:r>
      <w:r w:rsidRPr="00FA3395" w:rsidR="00FA3395">
        <w:rPr>
          <w:sz w:val="26"/>
          <w:szCs w:val="26"/>
        </w:rPr>
        <w:t xml:space="preserve">  </w:t>
      </w:r>
    </w:p>
    <w:p w:rsidR="00793E11" w:rsidP="00CF2D1C" w:rsidRDefault="009450DF" w14:paraId="209BC2C2" w14:textId="792971BB">
      <w:pPr>
        <w:pStyle w:val="Standard"/>
        <w:ind w:firstLine="720"/>
        <w:rPr>
          <w:sz w:val="26"/>
          <w:szCs w:val="26"/>
        </w:rPr>
      </w:pPr>
      <w:r>
        <w:rPr>
          <w:sz w:val="26"/>
          <w:szCs w:val="26"/>
        </w:rPr>
        <w:t>Additionally, t</w:t>
      </w:r>
      <w:r w:rsidR="00965859">
        <w:rPr>
          <w:sz w:val="26"/>
          <w:szCs w:val="26"/>
        </w:rPr>
        <w:t xml:space="preserve">here is a zone of reasonableness within which this Commission can establish a rate </w:t>
      </w:r>
      <w:proofErr w:type="gramStart"/>
      <w:r w:rsidR="00965859">
        <w:rPr>
          <w:sz w:val="26"/>
          <w:szCs w:val="26"/>
        </w:rPr>
        <w:t>as long as</w:t>
      </w:r>
      <w:proofErr w:type="gramEnd"/>
      <w:r w:rsidR="00965859">
        <w:rPr>
          <w:sz w:val="26"/>
          <w:szCs w:val="26"/>
        </w:rPr>
        <w:t xml:space="preserve"> it is higher than a confiscatory rate: “[a]</w:t>
      </w:r>
      <w:r w:rsidRPr="00FA3395" w:rsidR="00FA3395">
        <w:rPr>
          <w:sz w:val="26"/>
          <w:szCs w:val="26"/>
        </w:rPr>
        <w:t xml:space="preserve"> rate of return lower than the utility asserts is necessary may nevertheless be reasonable or within a range of reasonableness, constitutionally speaking, if it is ‘higher than a confiscatory level.’”</w:t>
      </w:r>
      <w:r w:rsidR="00965859">
        <w:rPr>
          <w:rStyle w:val="FootnoteReference"/>
          <w:sz w:val="26"/>
          <w:szCs w:val="26"/>
        </w:rPr>
        <w:footnoteReference w:id="262"/>
      </w:r>
      <w:r w:rsidR="00200EC7">
        <w:rPr>
          <w:sz w:val="26"/>
          <w:szCs w:val="26"/>
        </w:rPr>
        <w:t xml:space="preserve">  </w:t>
      </w:r>
      <w:r w:rsidRPr="73BF4038" w:rsidR="5A2839B1">
        <w:rPr>
          <w:rStyle w:val="FootnoteReference"/>
          <w:sz w:val="26"/>
          <w:szCs w:val="26"/>
        </w:rPr>
        <w:t xml:space="preserve"> </w:t>
      </w:r>
      <w:r w:rsidR="00A01D7F">
        <w:rPr>
          <w:sz w:val="26"/>
          <w:szCs w:val="26"/>
        </w:rPr>
        <w:t>“</w:t>
      </w:r>
      <w:r w:rsidRPr="222DBE68" w:rsidR="7566AEB6">
        <w:rPr>
          <w:sz w:val="26"/>
          <w:szCs w:val="26"/>
        </w:rPr>
        <w:t>[M]</w:t>
      </w:r>
      <w:proofErr w:type="spellStart"/>
      <w:r w:rsidRPr="222DBE68" w:rsidR="7566AEB6">
        <w:rPr>
          <w:sz w:val="26"/>
          <w:szCs w:val="26"/>
        </w:rPr>
        <w:t>erely</w:t>
      </w:r>
      <w:proofErr w:type="spellEnd"/>
      <w:r w:rsidRPr="00F95753" w:rsidR="4DB9E444">
        <w:rPr>
          <w:sz w:val="26"/>
          <w:szCs w:val="26"/>
        </w:rPr>
        <w:t xml:space="preserve"> asserting in general language that rates are confiscatory is not sufficient.... [I]n order to invoke constitutional protection, the facts relied on must be specifically set forth and from them it must clearly appear that the rates would </w:t>
      </w:r>
      <w:r w:rsidRPr="00F95753" w:rsidR="4DB9E444">
        <w:rPr>
          <w:i/>
          <w:iCs/>
          <w:sz w:val="26"/>
          <w:szCs w:val="26"/>
        </w:rPr>
        <w:t>necessarily</w:t>
      </w:r>
      <w:r w:rsidRPr="222DBE68" w:rsidR="51CD1F1E">
        <w:rPr>
          <w:sz w:val="26"/>
          <w:szCs w:val="26"/>
        </w:rPr>
        <w:t xml:space="preserve"> </w:t>
      </w:r>
      <w:r w:rsidRPr="00F95753" w:rsidR="4DB9E444">
        <w:rPr>
          <w:sz w:val="26"/>
          <w:szCs w:val="26"/>
        </w:rPr>
        <w:t>deny to plaintiff just compensation and deprive it of its property without due process of law.”</w:t>
      </w:r>
      <w:r w:rsidRPr="222DBE68" w:rsidR="200855B7">
        <w:rPr>
          <w:rStyle w:val="FootnoteReference"/>
          <w:sz w:val="26"/>
          <w:szCs w:val="26"/>
        </w:rPr>
        <w:footnoteReference w:id="263"/>
      </w:r>
      <w:r w:rsidRPr="222DBE68" w:rsidR="20F01264">
        <w:rPr>
          <w:rStyle w:val="FootnoteReference"/>
          <w:sz w:val="26"/>
          <w:szCs w:val="26"/>
        </w:rPr>
        <w:t xml:space="preserve">  </w:t>
      </w:r>
      <w:r w:rsidR="00A01D7F">
        <w:rPr>
          <w:sz w:val="26"/>
          <w:szCs w:val="26"/>
        </w:rPr>
        <w:t xml:space="preserve"> </w:t>
      </w:r>
      <w:r w:rsidR="00303EAC">
        <w:rPr>
          <w:sz w:val="26"/>
          <w:szCs w:val="26"/>
        </w:rPr>
        <w:t>Thus</w:t>
      </w:r>
      <w:r w:rsidRPr="73BF4038" w:rsidR="5A2839B1">
        <w:rPr>
          <w:sz w:val="26"/>
          <w:szCs w:val="26"/>
        </w:rPr>
        <w:t>, by failing to sub</w:t>
      </w:r>
      <w:r w:rsidR="00B545AA">
        <w:rPr>
          <w:sz w:val="26"/>
          <w:szCs w:val="26"/>
        </w:rPr>
        <w:t>mit</w:t>
      </w:r>
      <w:r w:rsidRPr="73BF4038" w:rsidR="5A2839B1">
        <w:rPr>
          <w:sz w:val="26"/>
          <w:szCs w:val="26"/>
        </w:rPr>
        <w:t xml:space="preserve"> cost data to the record </w:t>
      </w:r>
      <w:r w:rsidRPr="73BF4038" w:rsidR="3E7572B7">
        <w:rPr>
          <w:sz w:val="26"/>
          <w:szCs w:val="26"/>
        </w:rPr>
        <w:t>to demonstrate that the rate of $0.07 is unreasonably lo</w:t>
      </w:r>
      <w:r w:rsidRPr="73BF4038" w:rsidR="283327E5">
        <w:rPr>
          <w:sz w:val="26"/>
          <w:szCs w:val="26"/>
        </w:rPr>
        <w:t>w, Securus</w:t>
      </w:r>
      <w:r w:rsidRPr="222DBE68" w:rsidR="498E12E6">
        <w:rPr>
          <w:sz w:val="26"/>
          <w:szCs w:val="26"/>
        </w:rPr>
        <w:t>, GTL</w:t>
      </w:r>
      <w:r w:rsidRPr="73BF4038" w:rsidR="283327E5">
        <w:rPr>
          <w:sz w:val="26"/>
          <w:szCs w:val="26"/>
        </w:rPr>
        <w:t xml:space="preserve"> and the other ICPS provider parties have failed to meet the burden of proof required for us to consider modifying this interim rate.  The IP</w:t>
      </w:r>
      <w:r w:rsidR="00B545AA">
        <w:rPr>
          <w:sz w:val="26"/>
          <w:szCs w:val="26"/>
        </w:rPr>
        <w:t>C</w:t>
      </w:r>
      <w:r w:rsidRPr="73BF4038" w:rsidR="283327E5">
        <w:rPr>
          <w:sz w:val="26"/>
          <w:szCs w:val="26"/>
        </w:rPr>
        <w:t xml:space="preserve">S provider parties are encouraged to provide such </w:t>
      </w:r>
      <w:r w:rsidR="001F40F3">
        <w:rPr>
          <w:sz w:val="26"/>
          <w:szCs w:val="26"/>
        </w:rPr>
        <w:t>data</w:t>
      </w:r>
      <w:r w:rsidRPr="73BF4038" w:rsidR="283327E5">
        <w:rPr>
          <w:sz w:val="26"/>
          <w:szCs w:val="26"/>
        </w:rPr>
        <w:t xml:space="preserve"> in Phase </w:t>
      </w:r>
      <w:r w:rsidRPr="73BF4038" w:rsidR="426B85D1">
        <w:rPr>
          <w:sz w:val="26"/>
          <w:szCs w:val="26"/>
        </w:rPr>
        <w:t>II of this proceeding for our consideration in setting permanent rates.</w:t>
      </w:r>
    </w:p>
    <w:p w:rsidR="00793E11" w:rsidP="004E2D24" w:rsidRDefault="00793E11" w14:paraId="60F5C97F" w14:textId="57506563">
      <w:pPr>
        <w:pStyle w:val="Standard"/>
        <w:ind w:firstLine="720"/>
        <w:rPr>
          <w:sz w:val="26"/>
          <w:szCs w:val="26"/>
        </w:rPr>
      </w:pPr>
      <w:r>
        <w:rPr>
          <w:sz w:val="26"/>
          <w:szCs w:val="26"/>
        </w:rPr>
        <w:t xml:space="preserve">Regarding Securus and GTL’s assertions that the $0.07 per minute rate cap will not allow them to cover </w:t>
      </w:r>
      <w:r w:rsidR="00AE3F80">
        <w:rPr>
          <w:sz w:val="26"/>
          <w:szCs w:val="26"/>
        </w:rPr>
        <w:t xml:space="preserve">site </w:t>
      </w:r>
      <w:r>
        <w:rPr>
          <w:sz w:val="26"/>
          <w:szCs w:val="26"/>
        </w:rPr>
        <w:t>commission costs</w:t>
      </w:r>
      <w:r w:rsidR="00B16BF5">
        <w:rPr>
          <w:sz w:val="26"/>
          <w:szCs w:val="26"/>
        </w:rPr>
        <w:t xml:space="preserve">, we </w:t>
      </w:r>
      <w:r w:rsidRPr="73BF4038" w:rsidR="7FF3A9D3">
        <w:rPr>
          <w:sz w:val="26"/>
          <w:szCs w:val="26"/>
        </w:rPr>
        <w:t xml:space="preserve">similarly do not have </w:t>
      </w:r>
      <w:proofErr w:type="gramStart"/>
      <w:r w:rsidRPr="73BF4038" w:rsidR="7FF3A9D3">
        <w:rPr>
          <w:sz w:val="26"/>
          <w:szCs w:val="26"/>
        </w:rPr>
        <w:t xml:space="preserve">data </w:t>
      </w:r>
      <w:r w:rsidRPr="73BF4038" w:rsidR="0A982725">
        <w:rPr>
          <w:sz w:val="26"/>
          <w:szCs w:val="26"/>
        </w:rPr>
        <w:t xml:space="preserve"> in</w:t>
      </w:r>
      <w:proofErr w:type="gramEnd"/>
      <w:r w:rsidRPr="73BF4038" w:rsidR="0A982725">
        <w:rPr>
          <w:sz w:val="26"/>
          <w:szCs w:val="26"/>
        </w:rPr>
        <w:t xml:space="preserve"> the record of this proceeding to </w:t>
      </w:r>
      <w:r w:rsidRPr="7467D58A" w:rsidR="7D4E4AEF">
        <w:rPr>
          <w:sz w:val="26"/>
          <w:szCs w:val="26"/>
        </w:rPr>
        <w:t xml:space="preserve">confirm or dispute </w:t>
      </w:r>
      <w:r w:rsidRPr="7467D58A" w:rsidR="0A982725">
        <w:rPr>
          <w:sz w:val="26"/>
          <w:szCs w:val="26"/>
        </w:rPr>
        <w:t>this assertion.</w:t>
      </w:r>
      <w:r w:rsidRPr="73BF4038" w:rsidR="502C3B03">
        <w:rPr>
          <w:sz w:val="26"/>
          <w:szCs w:val="26"/>
        </w:rPr>
        <w:t xml:space="preserve">  </w:t>
      </w:r>
      <w:r w:rsidR="00842FE6">
        <w:rPr>
          <w:sz w:val="26"/>
          <w:szCs w:val="26"/>
        </w:rPr>
        <w:t>A</w:t>
      </w:r>
      <w:r w:rsidR="000D0CEB">
        <w:rPr>
          <w:sz w:val="26"/>
          <w:szCs w:val="26"/>
        </w:rPr>
        <w:t xml:space="preserve">s discussed in section </w:t>
      </w:r>
      <w:r w:rsidR="008D3229">
        <w:rPr>
          <w:sz w:val="26"/>
          <w:szCs w:val="26"/>
        </w:rPr>
        <w:t>5.4</w:t>
      </w:r>
      <w:r w:rsidRPr="73BF4038" w:rsidR="5FAB8E74">
        <w:rPr>
          <w:sz w:val="26"/>
          <w:szCs w:val="26"/>
        </w:rPr>
        <w:t xml:space="preserve"> above</w:t>
      </w:r>
      <w:r w:rsidR="000D0CEB">
        <w:rPr>
          <w:sz w:val="26"/>
          <w:szCs w:val="26"/>
        </w:rPr>
        <w:t xml:space="preserve">, we do not view site commission costs beyond </w:t>
      </w:r>
      <w:r w:rsidR="00DD2237">
        <w:rPr>
          <w:sz w:val="26"/>
          <w:szCs w:val="26"/>
        </w:rPr>
        <w:t xml:space="preserve">the </w:t>
      </w:r>
      <w:r w:rsidR="00DD2237">
        <w:rPr>
          <w:sz w:val="26"/>
          <w:szCs w:val="26"/>
        </w:rPr>
        <w:lastRenderedPageBreak/>
        <w:t xml:space="preserve">level necessary to contribute to facilities’ actual costs to provide IPCS to the incarcerated as </w:t>
      </w:r>
      <w:r w:rsidR="004B23AC">
        <w:rPr>
          <w:sz w:val="26"/>
          <w:szCs w:val="26"/>
        </w:rPr>
        <w:t xml:space="preserve">necessary for the provision of calling services.  </w:t>
      </w:r>
      <w:r w:rsidR="006B1675">
        <w:rPr>
          <w:sz w:val="26"/>
          <w:szCs w:val="26"/>
        </w:rPr>
        <w:t>Nonetheless, w</w:t>
      </w:r>
      <w:r w:rsidRPr="73BF4038" w:rsidR="1315C558">
        <w:rPr>
          <w:sz w:val="26"/>
          <w:szCs w:val="26"/>
        </w:rPr>
        <w:t>e recognize that site commissions are components of the IP</w:t>
      </w:r>
      <w:r w:rsidR="00B545AA">
        <w:rPr>
          <w:sz w:val="26"/>
          <w:szCs w:val="26"/>
        </w:rPr>
        <w:t>C</w:t>
      </w:r>
      <w:r w:rsidRPr="73BF4038" w:rsidR="1315C558">
        <w:rPr>
          <w:sz w:val="26"/>
          <w:szCs w:val="26"/>
        </w:rPr>
        <w:t>S providers’ existing contracts and have already include</w:t>
      </w:r>
      <w:r w:rsidRPr="73BF4038" w:rsidR="17A2231A">
        <w:rPr>
          <w:sz w:val="26"/>
          <w:szCs w:val="26"/>
        </w:rPr>
        <w:t xml:space="preserve">d this consideration in setting the rate cap of $0.07.  </w:t>
      </w:r>
      <w:r w:rsidR="00530C07">
        <w:rPr>
          <w:sz w:val="26"/>
          <w:szCs w:val="26"/>
        </w:rPr>
        <w:t>We expect that the implementation time</w:t>
      </w:r>
      <w:r w:rsidR="00D908FA">
        <w:rPr>
          <w:sz w:val="26"/>
          <w:szCs w:val="26"/>
        </w:rPr>
        <w:t>-</w:t>
      </w:r>
      <w:r w:rsidR="00530C07">
        <w:rPr>
          <w:sz w:val="26"/>
          <w:szCs w:val="26"/>
        </w:rPr>
        <w:t xml:space="preserve">period provided for here will allow IPCS providers to renegotiate contracts </w:t>
      </w:r>
      <w:r w:rsidRPr="008F7727" w:rsidR="007A731C">
        <w:rPr>
          <w:sz w:val="26"/>
          <w:szCs w:val="26"/>
        </w:rPr>
        <w:t>that</w:t>
      </w:r>
      <w:r w:rsidR="007A731C">
        <w:rPr>
          <w:sz w:val="26"/>
          <w:szCs w:val="26"/>
        </w:rPr>
        <w:t xml:space="preserve"> </w:t>
      </w:r>
      <w:r w:rsidRPr="008F7727" w:rsidR="007A731C">
        <w:rPr>
          <w:sz w:val="26"/>
          <w:szCs w:val="26"/>
        </w:rPr>
        <w:t>currently provide for site commission payments</w:t>
      </w:r>
      <w:r w:rsidR="007A731C">
        <w:rPr>
          <w:sz w:val="26"/>
          <w:szCs w:val="26"/>
        </w:rPr>
        <w:t xml:space="preserve"> </w:t>
      </w:r>
      <w:r w:rsidR="00530C07">
        <w:rPr>
          <w:sz w:val="26"/>
          <w:szCs w:val="26"/>
        </w:rPr>
        <w:t xml:space="preserve">that would exceed the $0.07 per minute rate we adopt here.  </w:t>
      </w:r>
      <w:r w:rsidR="00C71D62">
        <w:rPr>
          <w:sz w:val="26"/>
          <w:szCs w:val="26"/>
        </w:rPr>
        <w:t>N</w:t>
      </w:r>
      <w:r w:rsidR="00530C07">
        <w:rPr>
          <w:sz w:val="26"/>
          <w:szCs w:val="26"/>
        </w:rPr>
        <w:t xml:space="preserve">o IPCS provider </w:t>
      </w:r>
      <w:r w:rsidRPr="73BF4038" w:rsidR="45676CA2">
        <w:rPr>
          <w:sz w:val="26"/>
          <w:szCs w:val="26"/>
        </w:rPr>
        <w:t>contend</w:t>
      </w:r>
      <w:r w:rsidRPr="73BF4038" w:rsidR="161DCFC0">
        <w:rPr>
          <w:sz w:val="26"/>
          <w:szCs w:val="26"/>
        </w:rPr>
        <w:t>s</w:t>
      </w:r>
      <w:r w:rsidR="00530C07">
        <w:rPr>
          <w:sz w:val="26"/>
          <w:szCs w:val="26"/>
        </w:rPr>
        <w:t xml:space="preserve"> in comments that </w:t>
      </w:r>
      <w:r w:rsidRPr="1EE01876" w:rsidR="6B8088ED">
        <w:rPr>
          <w:sz w:val="26"/>
          <w:szCs w:val="26"/>
        </w:rPr>
        <w:t>it</w:t>
      </w:r>
      <w:r w:rsidR="00530C07">
        <w:rPr>
          <w:sz w:val="26"/>
          <w:szCs w:val="26"/>
        </w:rPr>
        <w:t xml:space="preserve"> would be unable to accomplish this.  </w:t>
      </w:r>
    </w:p>
    <w:p w:rsidRPr="00214FB1" w:rsidR="00214FB1" w:rsidP="00214FB1" w:rsidRDefault="2DA925CC" w14:paraId="4F2F42F5" w14:textId="23760C64">
      <w:pPr>
        <w:pStyle w:val="Standard"/>
        <w:numPr>
          <w:ilvl w:val="0"/>
          <w:numId w:val="47"/>
        </w:numPr>
        <w:spacing w:line="240" w:lineRule="auto"/>
        <w:rPr>
          <w:sz w:val="26"/>
          <w:szCs w:val="26"/>
          <w:u w:val="single"/>
        </w:rPr>
      </w:pPr>
      <w:r w:rsidRPr="73BF4038">
        <w:rPr>
          <w:sz w:val="26"/>
          <w:szCs w:val="26"/>
          <w:u w:val="single"/>
        </w:rPr>
        <w:t xml:space="preserve">Claims that the $0.07 </w:t>
      </w:r>
      <w:r w:rsidR="00594784">
        <w:rPr>
          <w:sz w:val="26"/>
          <w:szCs w:val="26"/>
          <w:u w:val="single"/>
        </w:rPr>
        <w:t>P</w:t>
      </w:r>
      <w:r w:rsidRPr="73BF4038">
        <w:rPr>
          <w:sz w:val="26"/>
          <w:szCs w:val="26"/>
          <w:u w:val="single"/>
        </w:rPr>
        <w:t xml:space="preserve">er </w:t>
      </w:r>
      <w:r w:rsidR="00594784">
        <w:rPr>
          <w:sz w:val="26"/>
          <w:szCs w:val="26"/>
          <w:u w:val="single"/>
        </w:rPr>
        <w:t>M</w:t>
      </w:r>
      <w:r w:rsidRPr="73BF4038">
        <w:rPr>
          <w:sz w:val="26"/>
          <w:szCs w:val="26"/>
          <w:u w:val="single"/>
        </w:rPr>
        <w:t xml:space="preserve">inute </w:t>
      </w:r>
      <w:r w:rsidR="00594784">
        <w:rPr>
          <w:sz w:val="26"/>
          <w:szCs w:val="26"/>
          <w:u w:val="single"/>
        </w:rPr>
        <w:t>R</w:t>
      </w:r>
      <w:r w:rsidRPr="73BF4038">
        <w:rPr>
          <w:sz w:val="26"/>
          <w:szCs w:val="26"/>
          <w:u w:val="single"/>
        </w:rPr>
        <w:t xml:space="preserve">ate </w:t>
      </w:r>
      <w:r w:rsidR="008F7727">
        <w:rPr>
          <w:sz w:val="26"/>
          <w:szCs w:val="26"/>
          <w:u w:val="single"/>
        </w:rPr>
        <w:t>W</w:t>
      </w:r>
      <w:r w:rsidRPr="73BF4038">
        <w:rPr>
          <w:sz w:val="26"/>
          <w:szCs w:val="26"/>
          <w:u w:val="single"/>
        </w:rPr>
        <w:t xml:space="preserve">ould </w:t>
      </w:r>
      <w:r w:rsidR="00594784">
        <w:rPr>
          <w:sz w:val="26"/>
          <w:szCs w:val="26"/>
          <w:u w:val="single"/>
        </w:rPr>
        <w:t>R</w:t>
      </w:r>
      <w:r w:rsidRPr="73BF4038">
        <w:rPr>
          <w:sz w:val="26"/>
          <w:szCs w:val="26"/>
          <w:u w:val="single"/>
        </w:rPr>
        <w:t xml:space="preserve">equire </w:t>
      </w:r>
      <w:r w:rsidR="00594784">
        <w:rPr>
          <w:sz w:val="26"/>
          <w:szCs w:val="26"/>
          <w:u w:val="single"/>
        </w:rPr>
        <w:t>P</w:t>
      </w:r>
      <w:r w:rsidRPr="73BF4038">
        <w:rPr>
          <w:sz w:val="26"/>
          <w:szCs w:val="26"/>
          <w:u w:val="single"/>
        </w:rPr>
        <w:t xml:space="preserve">roviders to </w:t>
      </w:r>
      <w:r w:rsidR="00594784">
        <w:rPr>
          <w:sz w:val="26"/>
          <w:szCs w:val="26"/>
          <w:u w:val="single"/>
        </w:rPr>
        <w:t>R</w:t>
      </w:r>
      <w:r w:rsidRPr="73BF4038">
        <w:rPr>
          <w:sz w:val="26"/>
          <w:szCs w:val="26"/>
          <w:u w:val="single"/>
        </w:rPr>
        <w:t xml:space="preserve">educe </w:t>
      </w:r>
      <w:r w:rsidR="00594784">
        <w:rPr>
          <w:sz w:val="26"/>
          <w:szCs w:val="26"/>
          <w:u w:val="single"/>
        </w:rPr>
        <w:t>S</w:t>
      </w:r>
      <w:r w:rsidRPr="73BF4038">
        <w:rPr>
          <w:sz w:val="26"/>
          <w:szCs w:val="26"/>
          <w:u w:val="single"/>
        </w:rPr>
        <w:t xml:space="preserve">ervices to the </w:t>
      </w:r>
      <w:r w:rsidR="00594784">
        <w:rPr>
          <w:sz w:val="26"/>
          <w:szCs w:val="26"/>
          <w:u w:val="single"/>
        </w:rPr>
        <w:t>I</w:t>
      </w:r>
      <w:r w:rsidRPr="73BF4038">
        <w:rPr>
          <w:sz w:val="26"/>
          <w:szCs w:val="26"/>
          <w:u w:val="single"/>
        </w:rPr>
        <w:t xml:space="preserve">ncarcerated and/or </w:t>
      </w:r>
      <w:r w:rsidR="00594784">
        <w:rPr>
          <w:sz w:val="26"/>
          <w:szCs w:val="26"/>
          <w:u w:val="single"/>
        </w:rPr>
        <w:t>T</w:t>
      </w:r>
      <w:r w:rsidRPr="73BF4038">
        <w:rPr>
          <w:sz w:val="26"/>
          <w:szCs w:val="26"/>
          <w:u w:val="single"/>
        </w:rPr>
        <w:t xml:space="preserve">ransfer </w:t>
      </w:r>
      <w:r w:rsidR="00594784">
        <w:rPr>
          <w:sz w:val="26"/>
          <w:szCs w:val="26"/>
          <w:u w:val="single"/>
        </w:rPr>
        <w:t>C</w:t>
      </w:r>
      <w:r w:rsidRPr="73BF4038">
        <w:rPr>
          <w:sz w:val="26"/>
          <w:szCs w:val="26"/>
          <w:u w:val="single"/>
        </w:rPr>
        <w:t xml:space="preserve">ertain </w:t>
      </w:r>
      <w:r w:rsidR="00594784">
        <w:rPr>
          <w:sz w:val="26"/>
          <w:szCs w:val="26"/>
          <w:u w:val="single"/>
        </w:rPr>
        <w:t>C</w:t>
      </w:r>
      <w:r w:rsidRPr="73BF4038">
        <w:rPr>
          <w:sz w:val="26"/>
          <w:szCs w:val="26"/>
          <w:u w:val="single"/>
        </w:rPr>
        <w:t xml:space="preserve">osts of </w:t>
      </w:r>
      <w:r w:rsidR="00594784">
        <w:rPr>
          <w:sz w:val="26"/>
          <w:szCs w:val="26"/>
          <w:u w:val="single"/>
        </w:rPr>
        <w:t>P</w:t>
      </w:r>
      <w:r w:rsidRPr="73BF4038">
        <w:rPr>
          <w:sz w:val="26"/>
          <w:szCs w:val="26"/>
          <w:u w:val="single"/>
        </w:rPr>
        <w:t xml:space="preserve">roviding </w:t>
      </w:r>
      <w:r w:rsidR="00594784">
        <w:rPr>
          <w:sz w:val="26"/>
          <w:szCs w:val="26"/>
          <w:u w:val="single"/>
        </w:rPr>
        <w:t>S</w:t>
      </w:r>
      <w:r w:rsidRPr="73BF4038">
        <w:rPr>
          <w:sz w:val="26"/>
          <w:szCs w:val="26"/>
          <w:u w:val="single"/>
        </w:rPr>
        <w:t xml:space="preserve">ervices to </w:t>
      </w:r>
      <w:r w:rsidR="00594784">
        <w:rPr>
          <w:sz w:val="26"/>
          <w:szCs w:val="26"/>
          <w:u w:val="single"/>
        </w:rPr>
        <w:t>I</w:t>
      </w:r>
      <w:r w:rsidRPr="73BF4038">
        <w:rPr>
          <w:sz w:val="26"/>
          <w:szCs w:val="26"/>
          <w:u w:val="single"/>
        </w:rPr>
        <w:t xml:space="preserve">ncarceration </w:t>
      </w:r>
      <w:r w:rsidR="00594784">
        <w:rPr>
          <w:sz w:val="26"/>
          <w:szCs w:val="26"/>
          <w:u w:val="single"/>
        </w:rPr>
        <w:t>F</w:t>
      </w:r>
      <w:r w:rsidRPr="73BF4038">
        <w:rPr>
          <w:sz w:val="26"/>
          <w:szCs w:val="26"/>
          <w:u w:val="single"/>
        </w:rPr>
        <w:t xml:space="preserve">acilities. </w:t>
      </w:r>
    </w:p>
    <w:p w:rsidRPr="00F90B13" w:rsidR="000328A5" w:rsidP="00F90B13" w:rsidRDefault="55BB2307" w14:paraId="01254BFD" w14:textId="720E615E">
      <w:pPr>
        <w:pStyle w:val="Standard"/>
        <w:ind w:firstLine="720"/>
        <w:rPr>
          <w:sz w:val="26"/>
          <w:szCs w:val="26"/>
        </w:rPr>
      </w:pPr>
      <w:r w:rsidRPr="73BF4038">
        <w:rPr>
          <w:sz w:val="26"/>
          <w:szCs w:val="26"/>
        </w:rPr>
        <w:t xml:space="preserve">NCIC Inmate Communications contends that </w:t>
      </w:r>
      <w:r w:rsidRPr="73BF4038" w:rsidR="59E4E49D">
        <w:rPr>
          <w:sz w:val="26"/>
          <w:szCs w:val="26"/>
        </w:rPr>
        <w:t>the $0.07 per minute rate combined with the elimination of most ancillary service fees</w:t>
      </w:r>
      <w:r w:rsidRPr="73BF4038" w:rsidR="5D362841">
        <w:rPr>
          <w:sz w:val="26"/>
          <w:szCs w:val="26"/>
        </w:rPr>
        <w:t xml:space="preserve"> is “far below our cost of providing service” and will result in </w:t>
      </w:r>
      <w:r w:rsidRPr="73BF4038" w:rsidR="49FAEFEC">
        <w:rPr>
          <w:sz w:val="26"/>
          <w:szCs w:val="26"/>
        </w:rPr>
        <w:t xml:space="preserve">NCIC having to </w:t>
      </w:r>
      <w:r w:rsidRPr="73BF4038" w:rsidR="0CAC7E45">
        <w:rPr>
          <w:sz w:val="26"/>
          <w:szCs w:val="26"/>
        </w:rPr>
        <w:t xml:space="preserve">eliminating </w:t>
      </w:r>
      <w:r w:rsidRPr="73BF4038" w:rsidR="4CB841C3">
        <w:rPr>
          <w:sz w:val="26"/>
          <w:szCs w:val="26"/>
        </w:rPr>
        <w:t>a</w:t>
      </w:r>
      <w:r w:rsidRPr="73BF4038" w:rsidR="0CAC7E45">
        <w:rPr>
          <w:sz w:val="26"/>
          <w:szCs w:val="26"/>
        </w:rPr>
        <w:t xml:space="preserve">ccess to a live account representative, instead </w:t>
      </w:r>
      <w:r w:rsidRPr="73BF4038" w:rsidR="38DF5FE8">
        <w:rPr>
          <w:sz w:val="26"/>
          <w:szCs w:val="26"/>
        </w:rPr>
        <w:t xml:space="preserve">requiring family members to use its website for information </w:t>
      </w:r>
      <w:r w:rsidRPr="73BF4038" w:rsidR="591F8430">
        <w:rPr>
          <w:sz w:val="26"/>
          <w:szCs w:val="26"/>
        </w:rPr>
        <w:t>and to maintain their accounts</w:t>
      </w:r>
      <w:r w:rsidRPr="73BF4038" w:rsidR="6BD6BE41">
        <w:rPr>
          <w:sz w:val="26"/>
          <w:szCs w:val="26"/>
        </w:rPr>
        <w:t>.</w:t>
      </w:r>
      <w:r w:rsidR="00846C2E">
        <w:rPr>
          <w:rStyle w:val="FootnoteReference"/>
          <w:sz w:val="26"/>
          <w:szCs w:val="26"/>
        </w:rPr>
        <w:footnoteReference w:id="264"/>
      </w:r>
      <w:r w:rsidRPr="73BF4038" w:rsidR="6BD6BE41">
        <w:rPr>
          <w:sz w:val="26"/>
          <w:szCs w:val="26"/>
        </w:rPr>
        <w:t xml:space="preserve">  More</w:t>
      </w:r>
      <w:r w:rsidRPr="73BF4038" w:rsidR="730ACA6E">
        <w:rPr>
          <w:sz w:val="26"/>
          <w:szCs w:val="26"/>
        </w:rPr>
        <w:t xml:space="preserve"> generally, NCIC Inmate Communications asserts that “providers” </w:t>
      </w:r>
      <w:r w:rsidRPr="73BF4038" w:rsidR="4983DB36">
        <w:rPr>
          <w:sz w:val="26"/>
          <w:szCs w:val="26"/>
        </w:rPr>
        <w:t xml:space="preserve">will no longer be able to </w:t>
      </w:r>
      <w:r w:rsidRPr="73BF4038" w:rsidR="4B476EFD">
        <w:rPr>
          <w:sz w:val="26"/>
          <w:szCs w:val="26"/>
        </w:rPr>
        <w:t xml:space="preserve">pay commissions, </w:t>
      </w:r>
      <w:r w:rsidRPr="73BF4038" w:rsidR="49FAEFEC">
        <w:rPr>
          <w:sz w:val="26"/>
          <w:szCs w:val="26"/>
        </w:rPr>
        <w:t xml:space="preserve">will </w:t>
      </w:r>
      <w:r w:rsidRPr="73BF4038" w:rsidR="4983DB36">
        <w:rPr>
          <w:sz w:val="26"/>
          <w:szCs w:val="26"/>
        </w:rPr>
        <w:t>have to</w:t>
      </w:r>
      <w:r w:rsidRPr="73BF4038" w:rsidR="4B476EFD">
        <w:rPr>
          <w:sz w:val="26"/>
          <w:szCs w:val="26"/>
        </w:rPr>
        <w:t xml:space="preserve"> </w:t>
      </w:r>
      <w:r w:rsidRPr="73BF4038" w:rsidR="05A35E28">
        <w:rPr>
          <w:sz w:val="26"/>
          <w:szCs w:val="26"/>
        </w:rPr>
        <w:t>pass on overhead costs</w:t>
      </w:r>
      <w:r w:rsidRPr="73BF4038" w:rsidR="0F469541">
        <w:rPr>
          <w:sz w:val="26"/>
          <w:szCs w:val="26"/>
        </w:rPr>
        <w:t xml:space="preserve"> </w:t>
      </w:r>
      <w:r w:rsidRPr="73BF4038" w:rsidR="4983DB36">
        <w:rPr>
          <w:sz w:val="26"/>
          <w:szCs w:val="26"/>
        </w:rPr>
        <w:t>such as bandwidth charges, maintenance, and installation costs to facilities</w:t>
      </w:r>
      <w:r w:rsidRPr="73BF4038" w:rsidR="4CB841C3">
        <w:rPr>
          <w:sz w:val="26"/>
          <w:szCs w:val="26"/>
        </w:rPr>
        <w:t>,</w:t>
      </w:r>
      <w:r w:rsidRPr="73BF4038" w:rsidR="4983DB36">
        <w:rPr>
          <w:sz w:val="26"/>
          <w:szCs w:val="26"/>
        </w:rPr>
        <w:t xml:space="preserve"> and </w:t>
      </w:r>
      <w:r w:rsidRPr="73BF4038" w:rsidR="49FAEFEC">
        <w:rPr>
          <w:sz w:val="26"/>
          <w:szCs w:val="26"/>
        </w:rPr>
        <w:t>will</w:t>
      </w:r>
      <w:r w:rsidRPr="73BF4038" w:rsidR="4983DB36">
        <w:rPr>
          <w:sz w:val="26"/>
          <w:szCs w:val="26"/>
        </w:rPr>
        <w:t xml:space="preserve"> be forced to restrict the number of phones, </w:t>
      </w:r>
      <w:r w:rsidRPr="73BF4038" w:rsidR="0E38B7F7">
        <w:rPr>
          <w:sz w:val="26"/>
          <w:szCs w:val="26"/>
        </w:rPr>
        <w:t>available calling hours per day to encourage the incarcerated to use non-regulated services such as video calling, text messages and email.</w:t>
      </w:r>
      <w:r w:rsidR="00506724">
        <w:rPr>
          <w:rStyle w:val="FootnoteReference"/>
          <w:sz w:val="26"/>
          <w:szCs w:val="26"/>
        </w:rPr>
        <w:footnoteReference w:id="265"/>
      </w:r>
      <w:r w:rsidRPr="73BF4038" w:rsidR="0E38B7F7">
        <w:rPr>
          <w:sz w:val="26"/>
          <w:szCs w:val="26"/>
        </w:rPr>
        <w:t xml:space="preserve"> </w:t>
      </w:r>
    </w:p>
    <w:p w:rsidR="007F71E8" w:rsidP="00F90B13" w:rsidRDefault="23F10299" w14:paraId="64A52367" w14:textId="56AD706F">
      <w:pPr>
        <w:pStyle w:val="Standard"/>
        <w:ind w:firstLine="720"/>
        <w:rPr>
          <w:sz w:val="26"/>
          <w:szCs w:val="26"/>
        </w:rPr>
      </w:pPr>
      <w:r w:rsidRPr="73BF4038">
        <w:rPr>
          <w:sz w:val="26"/>
          <w:szCs w:val="26"/>
        </w:rPr>
        <w:t xml:space="preserve">We are cognizant that </w:t>
      </w:r>
      <w:r w:rsidRPr="73BF4038" w:rsidR="5D5EF2C1">
        <w:rPr>
          <w:sz w:val="26"/>
          <w:szCs w:val="26"/>
        </w:rPr>
        <w:t xml:space="preserve">our adopted </w:t>
      </w:r>
      <w:r w:rsidRPr="73BF4038">
        <w:rPr>
          <w:sz w:val="26"/>
          <w:szCs w:val="26"/>
        </w:rPr>
        <w:t xml:space="preserve">$0.07 per minute rate cap and </w:t>
      </w:r>
      <w:r w:rsidRPr="73BF4038" w:rsidR="1316644B">
        <w:rPr>
          <w:sz w:val="26"/>
          <w:szCs w:val="26"/>
        </w:rPr>
        <w:t xml:space="preserve">ancillary fee requirements may result in changes to contracts and possibly services, but </w:t>
      </w:r>
      <w:r w:rsidRPr="73BF4038" w:rsidR="1316644B">
        <w:rPr>
          <w:sz w:val="26"/>
          <w:szCs w:val="26"/>
        </w:rPr>
        <w:lastRenderedPageBreak/>
        <w:t xml:space="preserve">these comments do not persuade us to modify </w:t>
      </w:r>
      <w:r w:rsidRPr="73BF4038" w:rsidR="5D5EF2C1">
        <w:rPr>
          <w:sz w:val="26"/>
          <w:szCs w:val="26"/>
        </w:rPr>
        <w:t>our approach</w:t>
      </w:r>
      <w:r w:rsidR="007F71E8">
        <w:rPr>
          <w:sz w:val="26"/>
          <w:szCs w:val="26"/>
        </w:rPr>
        <w:t xml:space="preserve">.  These </w:t>
      </w:r>
      <w:r w:rsidRPr="73BF4038" w:rsidR="4F53E841">
        <w:rPr>
          <w:sz w:val="26"/>
          <w:szCs w:val="26"/>
        </w:rPr>
        <w:t>assertions are speculative at this juncture and no data has been provided to support the assertion that th</w:t>
      </w:r>
      <w:r w:rsidRPr="73BF4038" w:rsidR="2A395AC3">
        <w:rPr>
          <w:sz w:val="26"/>
          <w:szCs w:val="26"/>
        </w:rPr>
        <w:t xml:space="preserve">e rate of $0.07 </w:t>
      </w:r>
      <w:r w:rsidR="007F71E8">
        <w:rPr>
          <w:sz w:val="26"/>
          <w:szCs w:val="26"/>
        </w:rPr>
        <w:t xml:space="preserve">and the ancillary fee provisions </w:t>
      </w:r>
      <w:r w:rsidRPr="73BF4038" w:rsidR="2A395AC3">
        <w:rPr>
          <w:sz w:val="26"/>
          <w:szCs w:val="26"/>
        </w:rPr>
        <w:t>will require the changes NCIC Inmate Communications asserts</w:t>
      </w:r>
      <w:r w:rsidRPr="73BF4038" w:rsidR="5D5EF2C1">
        <w:rPr>
          <w:sz w:val="26"/>
          <w:szCs w:val="26"/>
        </w:rPr>
        <w:t xml:space="preserve">.  </w:t>
      </w:r>
    </w:p>
    <w:p w:rsidR="00E431AE" w:rsidP="00F90B13" w:rsidRDefault="14B9D276" w14:paraId="5F6D332C" w14:textId="279E5E4B">
      <w:pPr>
        <w:pStyle w:val="Standard"/>
        <w:ind w:firstLine="720"/>
        <w:rPr>
          <w:sz w:val="26"/>
          <w:szCs w:val="26"/>
        </w:rPr>
      </w:pPr>
      <w:r w:rsidRPr="06309433">
        <w:rPr>
          <w:sz w:val="26"/>
          <w:szCs w:val="26"/>
        </w:rPr>
        <w:t xml:space="preserve">Moreover, </w:t>
      </w:r>
      <w:r w:rsidRPr="06309433" w:rsidR="284AE699">
        <w:rPr>
          <w:sz w:val="26"/>
          <w:szCs w:val="26"/>
        </w:rPr>
        <w:t>we find alarming</w:t>
      </w:r>
      <w:r w:rsidRPr="73BF4038">
        <w:rPr>
          <w:sz w:val="26"/>
          <w:szCs w:val="26"/>
        </w:rPr>
        <w:t xml:space="preserve"> </w:t>
      </w:r>
      <w:r w:rsidRPr="73BF4038" w:rsidR="523130D3">
        <w:rPr>
          <w:sz w:val="26"/>
          <w:szCs w:val="26"/>
        </w:rPr>
        <w:t>NCIC Inmate Communications’ comment that changes will be made to encourage the incarcerate</w:t>
      </w:r>
      <w:r w:rsidRPr="73BF4038" w:rsidR="37DF8514">
        <w:rPr>
          <w:sz w:val="26"/>
          <w:szCs w:val="26"/>
        </w:rPr>
        <w:t>d to use non-regulated services.  W</w:t>
      </w:r>
      <w:r w:rsidRPr="73BF4038">
        <w:rPr>
          <w:sz w:val="26"/>
          <w:szCs w:val="26"/>
        </w:rPr>
        <w:t>e are concerned that the I</w:t>
      </w:r>
      <w:r w:rsidR="00BE2A9C">
        <w:rPr>
          <w:sz w:val="26"/>
          <w:szCs w:val="26"/>
        </w:rPr>
        <w:t>PC</w:t>
      </w:r>
      <w:r w:rsidRPr="73BF4038">
        <w:rPr>
          <w:sz w:val="26"/>
          <w:szCs w:val="26"/>
        </w:rPr>
        <w:t xml:space="preserve">S providers will attempt to make voice communication inaccessible </w:t>
      </w:r>
      <w:proofErr w:type="gramStart"/>
      <w:r w:rsidRPr="73BF4038" w:rsidR="27CD776E">
        <w:rPr>
          <w:sz w:val="26"/>
          <w:szCs w:val="26"/>
        </w:rPr>
        <w:t>in order to</w:t>
      </w:r>
      <w:proofErr w:type="gramEnd"/>
      <w:r w:rsidRPr="73BF4038" w:rsidR="27CD776E">
        <w:rPr>
          <w:sz w:val="26"/>
          <w:szCs w:val="26"/>
        </w:rPr>
        <w:t xml:space="preserve"> force incarcerated persons and their loved ones to use more expen</w:t>
      </w:r>
      <w:r w:rsidRPr="73BF4038" w:rsidR="46CB6AB9">
        <w:rPr>
          <w:sz w:val="26"/>
          <w:szCs w:val="26"/>
        </w:rPr>
        <w:t>sive communication services such as video calling.  We strongly dis</w:t>
      </w:r>
      <w:r w:rsidRPr="73BF4038">
        <w:rPr>
          <w:sz w:val="26"/>
          <w:szCs w:val="26"/>
        </w:rPr>
        <w:t>courage the I</w:t>
      </w:r>
      <w:r w:rsidR="00D55F28">
        <w:rPr>
          <w:sz w:val="26"/>
          <w:szCs w:val="26"/>
        </w:rPr>
        <w:t>PC</w:t>
      </w:r>
      <w:r w:rsidRPr="73BF4038">
        <w:rPr>
          <w:sz w:val="26"/>
          <w:szCs w:val="26"/>
        </w:rPr>
        <w:t>S providers from</w:t>
      </w:r>
      <w:r w:rsidRPr="73BF4038" w:rsidR="34A11B3E">
        <w:rPr>
          <w:sz w:val="26"/>
          <w:szCs w:val="26"/>
        </w:rPr>
        <w:t xml:space="preserve"> taking such measures </w:t>
      </w:r>
      <w:proofErr w:type="gramStart"/>
      <w:r w:rsidRPr="73BF4038" w:rsidR="34A11B3E">
        <w:rPr>
          <w:sz w:val="26"/>
          <w:szCs w:val="26"/>
        </w:rPr>
        <w:t>in order to</w:t>
      </w:r>
      <w:proofErr w:type="gramEnd"/>
      <w:r w:rsidRPr="73BF4038" w:rsidR="34A11B3E">
        <w:rPr>
          <w:sz w:val="26"/>
          <w:szCs w:val="26"/>
        </w:rPr>
        <w:t xml:space="preserve"> circumvent the interim relief this decision provides.</w:t>
      </w:r>
      <w:r w:rsidRPr="73BF4038">
        <w:rPr>
          <w:sz w:val="26"/>
          <w:szCs w:val="26"/>
        </w:rPr>
        <w:t xml:space="preserve"> </w:t>
      </w:r>
      <w:r w:rsidRPr="73BF4038" w:rsidR="77B30086">
        <w:rPr>
          <w:sz w:val="26"/>
          <w:szCs w:val="26"/>
        </w:rPr>
        <w:t xml:space="preserve"> </w:t>
      </w:r>
      <w:r w:rsidRPr="73BF4038" w:rsidR="5D5EF2C1">
        <w:rPr>
          <w:sz w:val="26"/>
          <w:szCs w:val="26"/>
        </w:rPr>
        <w:t xml:space="preserve">We will work with providers in Phase II </w:t>
      </w:r>
      <w:r w:rsidRPr="73BF4038" w:rsidR="2B1CB6F1">
        <w:rPr>
          <w:sz w:val="26"/>
          <w:szCs w:val="26"/>
        </w:rPr>
        <w:t xml:space="preserve">of this proceeding </w:t>
      </w:r>
      <w:r w:rsidRPr="73BF4038" w:rsidR="5D5EF2C1">
        <w:rPr>
          <w:sz w:val="26"/>
          <w:szCs w:val="26"/>
        </w:rPr>
        <w:t xml:space="preserve">to assess impacts on the industry and individual facilities as we </w:t>
      </w:r>
      <w:r w:rsidRPr="73BF4038" w:rsidR="3EED58F9">
        <w:rPr>
          <w:sz w:val="26"/>
          <w:szCs w:val="26"/>
        </w:rPr>
        <w:t xml:space="preserve">move towards adopting a permanent rate cap. </w:t>
      </w:r>
    </w:p>
    <w:p w:rsidR="006D4343" w:rsidP="009018E6" w:rsidRDefault="0BE37E48" w14:paraId="05C46C39" w14:textId="59A15FED">
      <w:pPr>
        <w:pStyle w:val="Standard"/>
        <w:numPr>
          <w:ilvl w:val="0"/>
          <w:numId w:val="47"/>
        </w:numPr>
        <w:spacing w:line="240" w:lineRule="auto"/>
        <w:rPr>
          <w:sz w:val="26"/>
          <w:szCs w:val="26"/>
          <w:u w:val="single"/>
        </w:rPr>
      </w:pPr>
      <w:r w:rsidRPr="73BF4038">
        <w:rPr>
          <w:sz w:val="26"/>
          <w:szCs w:val="26"/>
          <w:u w:val="single"/>
        </w:rPr>
        <w:t xml:space="preserve"> Claims that </w:t>
      </w:r>
      <w:r w:rsidRPr="73BF4038" w:rsidR="0D1659E5">
        <w:rPr>
          <w:sz w:val="26"/>
          <w:szCs w:val="26"/>
          <w:u w:val="single"/>
        </w:rPr>
        <w:t xml:space="preserve">the </w:t>
      </w:r>
      <w:r w:rsidR="00594784">
        <w:rPr>
          <w:sz w:val="26"/>
          <w:szCs w:val="26"/>
          <w:u w:val="single"/>
        </w:rPr>
        <w:t>D</w:t>
      </w:r>
      <w:r w:rsidRPr="73BF4038">
        <w:rPr>
          <w:sz w:val="26"/>
          <w:szCs w:val="26"/>
          <w:u w:val="single"/>
        </w:rPr>
        <w:t>ecision is “</w:t>
      </w:r>
      <w:r w:rsidR="00594784">
        <w:rPr>
          <w:sz w:val="26"/>
          <w:szCs w:val="26"/>
          <w:u w:val="single"/>
        </w:rPr>
        <w:t>I</w:t>
      </w:r>
      <w:r w:rsidRPr="73BF4038">
        <w:rPr>
          <w:sz w:val="26"/>
          <w:szCs w:val="26"/>
          <w:u w:val="single"/>
        </w:rPr>
        <w:t xml:space="preserve">nsufficiently </w:t>
      </w:r>
      <w:r w:rsidR="00594784">
        <w:rPr>
          <w:sz w:val="26"/>
          <w:szCs w:val="26"/>
          <w:u w:val="single"/>
        </w:rPr>
        <w:t>D</w:t>
      </w:r>
      <w:r w:rsidRPr="73BF4038">
        <w:rPr>
          <w:sz w:val="26"/>
          <w:szCs w:val="26"/>
          <w:u w:val="single"/>
        </w:rPr>
        <w:t xml:space="preserve">eferential” </w:t>
      </w:r>
      <w:r w:rsidRPr="73BF4038" w:rsidR="242E1C3B">
        <w:rPr>
          <w:sz w:val="26"/>
          <w:szCs w:val="26"/>
          <w:u w:val="single"/>
        </w:rPr>
        <w:t xml:space="preserve">to </w:t>
      </w:r>
      <w:r w:rsidR="00594784">
        <w:rPr>
          <w:sz w:val="26"/>
          <w:szCs w:val="26"/>
          <w:u w:val="single"/>
        </w:rPr>
        <w:t>O</w:t>
      </w:r>
      <w:r w:rsidRPr="73BF4038" w:rsidR="7803C4BC">
        <w:rPr>
          <w:sz w:val="26"/>
          <w:szCs w:val="26"/>
          <w:u w:val="single"/>
        </w:rPr>
        <w:t xml:space="preserve">ther </w:t>
      </w:r>
      <w:r w:rsidR="00594784">
        <w:rPr>
          <w:sz w:val="26"/>
          <w:szCs w:val="26"/>
          <w:u w:val="single"/>
        </w:rPr>
        <w:t>A</w:t>
      </w:r>
      <w:r w:rsidRPr="73BF4038" w:rsidR="7803C4BC">
        <w:rPr>
          <w:sz w:val="26"/>
          <w:szCs w:val="26"/>
          <w:u w:val="single"/>
        </w:rPr>
        <w:t xml:space="preserve">gencies and </w:t>
      </w:r>
      <w:r w:rsidR="00594784">
        <w:rPr>
          <w:sz w:val="26"/>
          <w:szCs w:val="26"/>
          <w:u w:val="single"/>
        </w:rPr>
        <w:t>B</w:t>
      </w:r>
      <w:r w:rsidRPr="73BF4038" w:rsidR="7803C4BC">
        <w:rPr>
          <w:sz w:val="26"/>
          <w:szCs w:val="26"/>
          <w:u w:val="single"/>
        </w:rPr>
        <w:t xml:space="preserve">ranches of </w:t>
      </w:r>
      <w:r w:rsidR="00594784">
        <w:rPr>
          <w:sz w:val="26"/>
          <w:szCs w:val="26"/>
          <w:u w:val="single"/>
        </w:rPr>
        <w:t>G</w:t>
      </w:r>
      <w:r w:rsidRPr="73BF4038" w:rsidR="7803C4BC">
        <w:rPr>
          <w:sz w:val="26"/>
          <w:szCs w:val="26"/>
          <w:u w:val="single"/>
        </w:rPr>
        <w:t>overnment</w:t>
      </w:r>
      <w:r w:rsidRPr="73BF4038" w:rsidR="38184720">
        <w:rPr>
          <w:sz w:val="26"/>
          <w:szCs w:val="26"/>
          <w:u w:val="single"/>
        </w:rPr>
        <w:t xml:space="preserve"> and </w:t>
      </w:r>
      <w:r w:rsidR="00594784">
        <w:rPr>
          <w:sz w:val="26"/>
          <w:szCs w:val="26"/>
          <w:u w:val="single"/>
        </w:rPr>
        <w:t>D</w:t>
      </w:r>
      <w:r w:rsidRPr="73BF4038" w:rsidR="38184720">
        <w:rPr>
          <w:sz w:val="26"/>
          <w:szCs w:val="26"/>
          <w:u w:val="single"/>
        </w:rPr>
        <w:t xml:space="preserve">oes </w:t>
      </w:r>
      <w:r w:rsidR="00594784">
        <w:rPr>
          <w:sz w:val="26"/>
          <w:szCs w:val="26"/>
          <w:u w:val="single"/>
        </w:rPr>
        <w:t>N</w:t>
      </w:r>
      <w:r w:rsidRPr="73BF4038" w:rsidR="38184720">
        <w:rPr>
          <w:sz w:val="26"/>
          <w:szCs w:val="26"/>
          <w:u w:val="single"/>
        </w:rPr>
        <w:t xml:space="preserve">ot </w:t>
      </w:r>
      <w:r w:rsidR="00594784">
        <w:rPr>
          <w:sz w:val="26"/>
          <w:szCs w:val="26"/>
          <w:u w:val="single"/>
        </w:rPr>
        <w:t>C</w:t>
      </w:r>
      <w:r w:rsidRPr="73BF4038" w:rsidR="38184720">
        <w:rPr>
          <w:sz w:val="26"/>
          <w:szCs w:val="26"/>
          <w:u w:val="single"/>
        </w:rPr>
        <w:t xml:space="preserve">onsider </w:t>
      </w:r>
      <w:r w:rsidR="00594784">
        <w:rPr>
          <w:sz w:val="26"/>
          <w:szCs w:val="26"/>
          <w:u w:val="single"/>
        </w:rPr>
        <w:t>I</w:t>
      </w:r>
      <w:r w:rsidRPr="73BF4038" w:rsidR="38184720">
        <w:rPr>
          <w:sz w:val="26"/>
          <w:szCs w:val="26"/>
          <w:u w:val="single"/>
        </w:rPr>
        <w:t xml:space="preserve">mpacts </w:t>
      </w:r>
      <w:r w:rsidRPr="73BF4038" w:rsidR="4C8EE197">
        <w:rPr>
          <w:sz w:val="26"/>
          <w:szCs w:val="26"/>
          <w:u w:val="single"/>
        </w:rPr>
        <w:t xml:space="preserve">on </w:t>
      </w:r>
      <w:r w:rsidR="00594784">
        <w:rPr>
          <w:sz w:val="26"/>
          <w:szCs w:val="26"/>
          <w:u w:val="single"/>
        </w:rPr>
        <w:t>P</w:t>
      </w:r>
      <w:r w:rsidRPr="73BF4038" w:rsidR="4C8EE197">
        <w:rPr>
          <w:sz w:val="26"/>
          <w:szCs w:val="26"/>
          <w:u w:val="single"/>
        </w:rPr>
        <w:t xml:space="preserve">ublic </w:t>
      </w:r>
      <w:r w:rsidR="00594784">
        <w:rPr>
          <w:sz w:val="26"/>
          <w:szCs w:val="26"/>
          <w:u w:val="single"/>
        </w:rPr>
        <w:t>S</w:t>
      </w:r>
      <w:r w:rsidRPr="73BF4038" w:rsidR="4C8EE197">
        <w:rPr>
          <w:sz w:val="26"/>
          <w:szCs w:val="26"/>
          <w:u w:val="single"/>
        </w:rPr>
        <w:t xml:space="preserve">afety or the </w:t>
      </w:r>
      <w:r w:rsidR="00594784">
        <w:rPr>
          <w:sz w:val="26"/>
          <w:szCs w:val="26"/>
          <w:u w:val="single"/>
        </w:rPr>
        <w:t>I</w:t>
      </w:r>
      <w:r w:rsidRPr="73BF4038" w:rsidR="4C8EE197">
        <w:rPr>
          <w:sz w:val="26"/>
          <w:szCs w:val="26"/>
          <w:u w:val="single"/>
        </w:rPr>
        <w:t>ncarcerated</w:t>
      </w:r>
      <w:r w:rsidRPr="73BF4038" w:rsidR="067FD771">
        <w:rPr>
          <w:sz w:val="26"/>
          <w:szCs w:val="26"/>
          <w:u w:val="single"/>
        </w:rPr>
        <w:t xml:space="preserve"> of </w:t>
      </w:r>
      <w:r w:rsidR="00594784">
        <w:rPr>
          <w:sz w:val="26"/>
          <w:szCs w:val="26"/>
          <w:u w:val="single"/>
        </w:rPr>
        <w:t>D</w:t>
      </w:r>
      <w:r w:rsidRPr="73BF4038" w:rsidR="067FD771">
        <w:rPr>
          <w:sz w:val="26"/>
          <w:szCs w:val="26"/>
          <w:u w:val="single"/>
        </w:rPr>
        <w:t xml:space="preserve">ecreases </w:t>
      </w:r>
      <w:r w:rsidRPr="73BF4038" w:rsidR="4C1A4F58">
        <w:rPr>
          <w:sz w:val="26"/>
          <w:szCs w:val="26"/>
          <w:u w:val="single"/>
        </w:rPr>
        <w:t xml:space="preserve">in </w:t>
      </w:r>
      <w:r w:rsidR="00594784">
        <w:rPr>
          <w:sz w:val="26"/>
          <w:szCs w:val="26"/>
          <w:u w:val="single"/>
        </w:rPr>
        <w:t>S</w:t>
      </w:r>
      <w:r w:rsidRPr="73BF4038" w:rsidR="4C1A4F58">
        <w:rPr>
          <w:sz w:val="26"/>
          <w:szCs w:val="26"/>
          <w:u w:val="single"/>
        </w:rPr>
        <w:t xml:space="preserve">ite </w:t>
      </w:r>
      <w:r w:rsidR="00594784">
        <w:rPr>
          <w:sz w:val="26"/>
          <w:szCs w:val="26"/>
          <w:u w:val="single"/>
        </w:rPr>
        <w:t>C</w:t>
      </w:r>
      <w:r w:rsidRPr="73BF4038" w:rsidR="4C1A4F58">
        <w:rPr>
          <w:sz w:val="26"/>
          <w:szCs w:val="26"/>
          <w:u w:val="single"/>
        </w:rPr>
        <w:t>ommissions</w:t>
      </w:r>
    </w:p>
    <w:p w:rsidR="00CA01AC" w:rsidP="00181B0C" w:rsidRDefault="00CA01AC" w14:paraId="204C18B5" w14:textId="77777777">
      <w:pPr>
        <w:pStyle w:val="Standard"/>
        <w:spacing w:line="240" w:lineRule="auto"/>
        <w:ind w:left="1080"/>
        <w:rPr>
          <w:sz w:val="26"/>
          <w:szCs w:val="26"/>
          <w:u w:val="single"/>
        </w:rPr>
      </w:pPr>
    </w:p>
    <w:p w:rsidR="001669D2" w:rsidP="000C38A2" w:rsidRDefault="2FBD718C" w14:paraId="44819357" w14:textId="0457FB81">
      <w:pPr>
        <w:pStyle w:val="Standard"/>
        <w:ind w:firstLine="720"/>
        <w:rPr>
          <w:rFonts w:eastAsiaTheme="majorEastAsia" w:cstheme="majorBidi"/>
          <w:sz w:val="26"/>
          <w:szCs w:val="32"/>
        </w:rPr>
      </w:pPr>
      <w:r w:rsidRPr="73BF4038">
        <w:rPr>
          <w:sz w:val="26"/>
          <w:szCs w:val="26"/>
        </w:rPr>
        <w:t>GTL contends</w:t>
      </w:r>
      <w:r w:rsidRPr="73BF4038" w:rsidR="594DF75C">
        <w:rPr>
          <w:rFonts w:eastAsiaTheme="majorEastAsia" w:cstheme="majorBidi"/>
          <w:sz w:val="26"/>
          <w:szCs w:val="26"/>
        </w:rPr>
        <w:t xml:space="preserve"> that the decision is “insufficiently deferential to the agencies and branches of government that are closer to and actively involved in considering how to balance the competing interests involved with site commissions and IPCS rates generally.”</w:t>
      </w:r>
      <w:r w:rsidR="004B5EC4">
        <w:rPr>
          <w:rStyle w:val="FootnoteReference"/>
          <w:rFonts w:eastAsiaTheme="majorEastAsia" w:cstheme="majorBidi"/>
          <w:sz w:val="26"/>
          <w:szCs w:val="32"/>
        </w:rPr>
        <w:footnoteReference w:id="266"/>
      </w:r>
      <w:r w:rsidRPr="73BF4038" w:rsidR="586CCD87">
        <w:rPr>
          <w:rFonts w:eastAsiaTheme="majorEastAsia" w:cstheme="majorBidi"/>
          <w:sz w:val="26"/>
          <w:szCs w:val="26"/>
        </w:rPr>
        <w:t xml:space="preserve">  GTL contends that local administrators </w:t>
      </w:r>
      <w:r w:rsidRPr="73BF4038" w:rsidR="6D01FA24">
        <w:rPr>
          <w:rFonts w:eastAsiaTheme="majorEastAsia" w:cstheme="majorBidi"/>
          <w:sz w:val="26"/>
          <w:szCs w:val="26"/>
        </w:rPr>
        <w:t xml:space="preserve">are best positioned to assess the need for site commissions and the legislature intends to revisit SB 555 in the coming legislative session. </w:t>
      </w:r>
      <w:r w:rsidRPr="73BF4038" w:rsidR="065614AD">
        <w:rPr>
          <w:rFonts w:eastAsiaTheme="majorEastAsia" w:cstheme="majorBidi"/>
          <w:sz w:val="26"/>
          <w:szCs w:val="26"/>
        </w:rPr>
        <w:t xml:space="preserve"> For these </w:t>
      </w:r>
      <w:r w:rsidRPr="73BF4038" w:rsidR="5BFDED52">
        <w:rPr>
          <w:rFonts w:eastAsiaTheme="majorEastAsia" w:cstheme="majorBidi"/>
          <w:sz w:val="26"/>
          <w:szCs w:val="26"/>
        </w:rPr>
        <w:t xml:space="preserve">and other </w:t>
      </w:r>
      <w:r w:rsidRPr="73BF4038" w:rsidR="065614AD">
        <w:rPr>
          <w:rFonts w:eastAsiaTheme="majorEastAsia" w:cstheme="majorBidi"/>
          <w:sz w:val="26"/>
          <w:szCs w:val="26"/>
        </w:rPr>
        <w:t>reasons, GTL recommends we decline to adopt the decision</w:t>
      </w:r>
      <w:r w:rsidRPr="73BF4038" w:rsidR="5BFDED52">
        <w:rPr>
          <w:rFonts w:eastAsiaTheme="majorEastAsia" w:cstheme="majorBidi"/>
          <w:sz w:val="26"/>
          <w:szCs w:val="26"/>
        </w:rPr>
        <w:t xml:space="preserve">, because the “current regulatory regime, is functioning well to provide just and </w:t>
      </w:r>
      <w:r w:rsidRPr="73BF4038" w:rsidR="5BFDED52">
        <w:rPr>
          <w:rFonts w:eastAsiaTheme="majorEastAsia" w:cstheme="majorBidi"/>
          <w:sz w:val="26"/>
          <w:szCs w:val="26"/>
        </w:rPr>
        <w:lastRenderedPageBreak/>
        <w:t>reasonable rates</w:t>
      </w:r>
      <w:r w:rsidRPr="73BF4038" w:rsidR="2449C345">
        <w:rPr>
          <w:rFonts w:eastAsiaTheme="majorEastAsia" w:cstheme="majorBidi"/>
          <w:sz w:val="26"/>
          <w:szCs w:val="26"/>
        </w:rPr>
        <w:t>.</w:t>
      </w:r>
      <w:r w:rsidRPr="73BF4038" w:rsidR="5BFDED52">
        <w:rPr>
          <w:rFonts w:eastAsiaTheme="majorEastAsia" w:cstheme="majorBidi"/>
          <w:sz w:val="26"/>
          <w:szCs w:val="26"/>
        </w:rPr>
        <w:t>”</w:t>
      </w:r>
      <w:r w:rsidR="006C0095">
        <w:rPr>
          <w:rStyle w:val="FootnoteReference"/>
          <w:rFonts w:eastAsiaTheme="majorEastAsia" w:cstheme="majorBidi"/>
          <w:sz w:val="26"/>
          <w:szCs w:val="32"/>
        </w:rPr>
        <w:footnoteReference w:id="267"/>
      </w:r>
      <w:r w:rsidRPr="73BF4038" w:rsidR="065614AD">
        <w:rPr>
          <w:rFonts w:eastAsiaTheme="majorEastAsia" w:cstheme="majorBidi"/>
          <w:sz w:val="26"/>
          <w:szCs w:val="26"/>
        </w:rPr>
        <w:t xml:space="preserve"> </w:t>
      </w:r>
      <w:r w:rsidRPr="73BF4038" w:rsidR="7B843FC9">
        <w:rPr>
          <w:rFonts w:eastAsiaTheme="majorEastAsia" w:cstheme="majorBidi"/>
          <w:sz w:val="26"/>
          <w:szCs w:val="26"/>
        </w:rPr>
        <w:t xml:space="preserve"> </w:t>
      </w:r>
      <w:r w:rsidRPr="73BF4038" w:rsidR="522793AD">
        <w:rPr>
          <w:rFonts w:eastAsiaTheme="majorEastAsia" w:cstheme="majorBidi"/>
          <w:sz w:val="26"/>
          <w:szCs w:val="26"/>
        </w:rPr>
        <w:t>Securus similarly contends that Penal Code 4025 places no limits on the amount of site commissions that local authorities may seek, and this Commission has no authority to limit their discretion by capping their revenue source.</w:t>
      </w:r>
      <w:r w:rsidR="000C38A2">
        <w:rPr>
          <w:rStyle w:val="FootnoteReference"/>
          <w:rFonts w:eastAsiaTheme="majorEastAsia" w:cstheme="majorBidi"/>
          <w:sz w:val="26"/>
          <w:szCs w:val="32"/>
        </w:rPr>
        <w:footnoteReference w:id="268"/>
      </w:r>
      <w:r w:rsidRPr="73BF4038" w:rsidR="522793AD">
        <w:rPr>
          <w:rFonts w:eastAsiaTheme="majorEastAsia" w:cstheme="majorBidi"/>
          <w:sz w:val="26"/>
          <w:szCs w:val="26"/>
        </w:rPr>
        <w:t xml:space="preserve">  </w:t>
      </w:r>
    </w:p>
    <w:p w:rsidR="006D4AF8" w:rsidP="73BF4038" w:rsidRDefault="690DE8CB" w14:paraId="5520294F" w14:textId="01941C62">
      <w:pPr>
        <w:pStyle w:val="Standard"/>
        <w:ind w:firstLine="720"/>
        <w:rPr>
          <w:rFonts w:eastAsiaTheme="majorEastAsia" w:cstheme="majorBidi"/>
          <w:sz w:val="26"/>
          <w:szCs w:val="26"/>
        </w:rPr>
      </w:pPr>
      <w:r w:rsidRPr="73BF4038">
        <w:rPr>
          <w:rFonts w:eastAsiaTheme="majorEastAsia" w:cstheme="majorBidi"/>
          <w:sz w:val="26"/>
          <w:szCs w:val="26"/>
        </w:rPr>
        <w:t xml:space="preserve">As discussed </w:t>
      </w:r>
      <w:r w:rsidR="00500370">
        <w:rPr>
          <w:rFonts w:eastAsiaTheme="majorEastAsia" w:cstheme="majorBidi"/>
          <w:sz w:val="26"/>
          <w:szCs w:val="26"/>
        </w:rPr>
        <w:t>throughout this decision</w:t>
      </w:r>
      <w:r w:rsidRPr="73BF4038">
        <w:rPr>
          <w:rFonts w:eastAsiaTheme="majorEastAsia" w:cstheme="majorBidi"/>
          <w:sz w:val="26"/>
          <w:szCs w:val="26"/>
        </w:rPr>
        <w:t>, we disagree that the current regime is functioning to provide just and reasonable rates</w:t>
      </w:r>
      <w:r w:rsidRPr="73BF4038" w:rsidR="68ABBEE0">
        <w:rPr>
          <w:rFonts w:eastAsiaTheme="majorEastAsia" w:cstheme="majorBidi"/>
          <w:sz w:val="26"/>
          <w:szCs w:val="26"/>
        </w:rPr>
        <w:t xml:space="preserve">.  We respect </w:t>
      </w:r>
      <w:r w:rsidRPr="73BF4038" w:rsidR="3218199E">
        <w:rPr>
          <w:rFonts w:eastAsiaTheme="majorEastAsia" w:cstheme="majorBidi"/>
          <w:sz w:val="26"/>
          <w:szCs w:val="26"/>
        </w:rPr>
        <w:t>local government and the state legislature’s authority</w:t>
      </w:r>
      <w:r w:rsidRPr="06309433" w:rsidR="40F58E1E">
        <w:rPr>
          <w:rFonts w:eastAsiaTheme="majorEastAsia" w:cstheme="majorBidi"/>
          <w:sz w:val="26"/>
          <w:szCs w:val="26"/>
        </w:rPr>
        <w:t>,</w:t>
      </w:r>
      <w:r w:rsidRPr="73BF4038" w:rsidR="3218199E">
        <w:rPr>
          <w:rFonts w:eastAsiaTheme="majorEastAsia" w:cstheme="majorBidi"/>
          <w:sz w:val="26"/>
          <w:szCs w:val="26"/>
        </w:rPr>
        <w:t xml:space="preserve"> and welcome further action or discussions with both.  Nonetheless, </w:t>
      </w:r>
      <w:r w:rsidRPr="73BF4038" w:rsidR="7E7701A8">
        <w:rPr>
          <w:rFonts w:eastAsiaTheme="majorEastAsia" w:cstheme="majorBidi"/>
          <w:sz w:val="26"/>
          <w:szCs w:val="26"/>
        </w:rPr>
        <w:t xml:space="preserve">we are obligated under Section 451 </w:t>
      </w:r>
      <w:r w:rsidRPr="73BF4038" w:rsidR="5A2E1D66">
        <w:rPr>
          <w:rFonts w:eastAsiaTheme="majorEastAsia" w:cstheme="majorBidi"/>
          <w:sz w:val="26"/>
          <w:szCs w:val="26"/>
        </w:rPr>
        <w:t xml:space="preserve">of the Public Utilities Code </w:t>
      </w:r>
      <w:r w:rsidRPr="73BF4038" w:rsidR="7E7701A8">
        <w:rPr>
          <w:rFonts w:eastAsiaTheme="majorEastAsia" w:cstheme="majorBidi"/>
          <w:sz w:val="26"/>
          <w:szCs w:val="26"/>
        </w:rPr>
        <w:t>to ensure just and reasonable calling service rates for all Californians</w:t>
      </w:r>
      <w:r w:rsidRPr="73BF4038" w:rsidR="626AC5E5">
        <w:rPr>
          <w:rFonts w:eastAsiaTheme="majorEastAsia" w:cstheme="majorBidi"/>
          <w:sz w:val="26"/>
          <w:szCs w:val="26"/>
        </w:rPr>
        <w:t>,</w:t>
      </w:r>
      <w:r w:rsidRPr="73BF4038" w:rsidR="7E7701A8">
        <w:rPr>
          <w:rFonts w:eastAsiaTheme="majorEastAsia" w:cstheme="majorBidi"/>
          <w:sz w:val="26"/>
          <w:szCs w:val="26"/>
        </w:rPr>
        <w:t xml:space="preserve"> including the incarcerated</w:t>
      </w:r>
      <w:r w:rsidRPr="73BF4038" w:rsidR="7691C1B4">
        <w:rPr>
          <w:rFonts w:eastAsiaTheme="majorEastAsia" w:cstheme="majorBidi"/>
          <w:sz w:val="26"/>
          <w:szCs w:val="26"/>
        </w:rPr>
        <w:t xml:space="preserve">, and disagree that Penal Code 4025 limits </w:t>
      </w:r>
      <w:r w:rsidRPr="73BF4038" w:rsidR="51694F84">
        <w:rPr>
          <w:rFonts w:eastAsiaTheme="majorEastAsia" w:cstheme="majorBidi"/>
          <w:sz w:val="26"/>
          <w:szCs w:val="26"/>
        </w:rPr>
        <w:t>our ability and obligation to ensure the provision of such rates to the incarcerate</w:t>
      </w:r>
      <w:r w:rsidRPr="73BF4038" w:rsidR="7EFCAA1C">
        <w:rPr>
          <w:rFonts w:eastAsiaTheme="majorEastAsia" w:cstheme="majorBidi"/>
          <w:sz w:val="26"/>
          <w:szCs w:val="26"/>
        </w:rPr>
        <w:t>d.</w:t>
      </w:r>
    </w:p>
    <w:p w:rsidR="00DB594A" w:rsidP="73BF4038" w:rsidRDefault="4C8EE197" w14:paraId="726F6DFC" w14:textId="77777777">
      <w:pPr>
        <w:pStyle w:val="Standard"/>
        <w:ind w:firstLine="720"/>
        <w:rPr>
          <w:rFonts w:eastAsiaTheme="majorEastAsia" w:cstheme="majorBidi"/>
          <w:sz w:val="26"/>
          <w:szCs w:val="26"/>
        </w:rPr>
      </w:pPr>
      <w:r w:rsidRPr="73BF4038">
        <w:rPr>
          <w:rFonts w:eastAsiaTheme="majorEastAsia" w:cstheme="majorBidi"/>
          <w:sz w:val="26"/>
          <w:szCs w:val="26"/>
        </w:rPr>
        <w:t xml:space="preserve">GTL also asserts that the decision does not </w:t>
      </w:r>
      <w:r w:rsidRPr="73BF4038" w:rsidR="0D3BAF3D">
        <w:rPr>
          <w:rFonts w:eastAsiaTheme="majorEastAsia" w:cstheme="majorBidi"/>
          <w:sz w:val="26"/>
          <w:szCs w:val="26"/>
        </w:rPr>
        <w:t>consider potential impacts on the incarcerate</w:t>
      </w:r>
      <w:r w:rsidRPr="73BF4038" w:rsidR="2857A2F7">
        <w:rPr>
          <w:rFonts w:eastAsiaTheme="majorEastAsia" w:cstheme="majorBidi"/>
          <w:sz w:val="26"/>
          <w:szCs w:val="26"/>
        </w:rPr>
        <w:t xml:space="preserve">d from </w:t>
      </w:r>
      <w:r w:rsidRPr="73BF4038" w:rsidR="0D3BAF3D">
        <w:rPr>
          <w:rFonts w:eastAsiaTheme="majorEastAsia" w:cstheme="majorBidi"/>
          <w:sz w:val="26"/>
          <w:szCs w:val="26"/>
        </w:rPr>
        <w:t>decreases in site commission fees</w:t>
      </w:r>
      <w:r w:rsidRPr="73BF4038" w:rsidR="2857A2F7">
        <w:rPr>
          <w:rFonts w:eastAsiaTheme="majorEastAsia" w:cstheme="majorBidi"/>
          <w:sz w:val="26"/>
          <w:szCs w:val="26"/>
        </w:rPr>
        <w:t xml:space="preserve"> that currently fund reh</w:t>
      </w:r>
      <w:r w:rsidRPr="73BF4038" w:rsidR="6886A133">
        <w:rPr>
          <w:rFonts w:eastAsiaTheme="majorEastAsia" w:cstheme="majorBidi"/>
          <w:sz w:val="26"/>
          <w:szCs w:val="26"/>
        </w:rPr>
        <w:t>abilitation and educational programs</w:t>
      </w:r>
      <w:r w:rsidRPr="73BF4038" w:rsidR="527804DD">
        <w:rPr>
          <w:rFonts w:eastAsiaTheme="majorEastAsia" w:cstheme="majorBidi"/>
          <w:sz w:val="26"/>
          <w:szCs w:val="26"/>
        </w:rPr>
        <w:t>,</w:t>
      </w:r>
      <w:r w:rsidRPr="73BF4038" w:rsidR="6886A133">
        <w:rPr>
          <w:rFonts w:eastAsiaTheme="majorEastAsia" w:cstheme="majorBidi"/>
          <w:sz w:val="26"/>
          <w:szCs w:val="26"/>
        </w:rPr>
        <w:t xml:space="preserve"> or on public safety, due to a rate cap that insufficiently considers </w:t>
      </w:r>
      <w:r w:rsidRPr="73BF4038" w:rsidR="527804DD">
        <w:rPr>
          <w:rFonts w:eastAsiaTheme="majorEastAsia" w:cstheme="majorBidi"/>
          <w:sz w:val="26"/>
          <w:szCs w:val="26"/>
        </w:rPr>
        <w:t>varied local incarceration facility factors</w:t>
      </w:r>
      <w:r w:rsidRPr="73BF4038" w:rsidR="0D3BAF3D">
        <w:rPr>
          <w:rFonts w:eastAsiaTheme="majorEastAsia" w:cstheme="majorBidi"/>
          <w:sz w:val="26"/>
          <w:szCs w:val="26"/>
        </w:rPr>
        <w:t>.</w:t>
      </w:r>
      <w:r w:rsidR="00640367">
        <w:rPr>
          <w:rStyle w:val="FootnoteReference"/>
          <w:rFonts w:eastAsiaTheme="majorEastAsia" w:cstheme="majorBidi"/>
          <w:sz w:val="26"/>
          <w:szCs w:val="32"/>
        </w:rPr>
        <w:footnoteReference w:id="269"/>
      </w:r>
      <w:r w:rsidRPr="73BF4038" w:rsidR="0D3BAF3D">
        <w:rPr>
          <w:rFonts w:eastAsiaTheme="majorEastAsia" w:cstheme="majorBidi"/>
          <w:sz w:val="26"/>
          <w:szCs w:val="26"/>
        </w:rPr>
        <w:t xml:space="preserve"> </w:t>
      </w:r>
      <w:r w:rsidRPr="73BF4038" w:rsidR="527804DD">
        <w:rPr>
          <w:rFonts w:eastAsiaTheme="majorEastAsia" w:cstheme="majorBidi"/>
          <w:sz w:val="26"/>
          <w:szCs w:val="26"/>
        </w:rPr>
        <w:t xml:space="preserve"> We disagree.  Again, this decision is based on the record before us.  Neither providers nor incarceration facilities provided </w:t>
      </w:r>
      <w:r w:rsidRPr="73BF4038" w:rsidR="57528D7E">
        <w:rPr>
          <w:rFonts w:eastAsiaTheme="majorEastAsia" w:cstheme="majorBidi"/>
          <w:sz w:val="26"/>
          <w:szCs w:val="26"/>
        </w:rPr>
        <w:t xml:space="preserve">data </w:t>
      </w:r>
      <w:r w:rsidRPr="73BF4038" w:rsidR="19CE3457">
        <w:rPr>
          <w:rFonts w:eastAsiaTheme="majorEastAsia" w:cstheme="majorBidi"/>
          <w:sz w:val="26"/>
          <w:szCs w:val="26"/>
        </w:rPr>
        <w:t>demonstrating that this decision would negatively impact these factors.</w:t>
      </w:r>
      <w:r w:rsidRPr="73BF4038" w:rsidR="57528D7E">
        <w:rPr>
          <w:rFonts w:eastAsiaTheme="majorEastAsia" w:cstheme="majorBidi"/>
          <w:sz w:val="26"/>
          <w:szCs w:val="26"/>
        </w:rPr>
        <w:t xml:space="preserve"> </w:t>
      </w:r>
      <w:r w:rsidR="00D55F28">
        <w:rPr>
          <w:rFonts w:eastAsiaTheme="majorEastAsia" w:cstheme="majorBidi"/>
          <w:sz w:val="26"/>
          <w:szCs w:val="26"/>
        </w:rPr>
        <w:t xml:space="preserve"> </w:t>
      </w:r>
    </w:p>
    <w:p w:rsidR="003B1305" w:rsidP="73BF4038" w:rsidRDefault="00D55F28" w14:paraId="5A50CD2D" w14:textId="43EAAA92">
      <w:pPr>
        <w:pStyle w:val="Standard"/>
        <w:ind w:firstLine="720"/>
        <w:rPr>
          <w:rFonts w:eastAsiaTheme="majorEastAsia" w:cstheme="majorBidi"/>
          <w:sz w:val="26"/>
          <w:szCs w:val="26"/>
        </w:rPr>
      </w:pPr>
      <w:r>
        <w:rPr>
          <w:rFonts w:eastAsiaTheme="majorEastAsia" w:cstheme="majorBidi"/>
          <w:sz w:val="26"/>
          <w:szCs w:val="26"/>
        </w:rPr>
        <w:t>A</w:t>
      </w:r>
      <w:r w:rsidR="00287EE9">
        <w:rPr>
          <w:rFonts w:eastAsiaTheme="majorEastAsia" w:cstheme="majorBidi"/>
          <w:sz w:val="26"/>
          <w:szCs w:val="26"/>
        </w:rPr>
        <w:t xml:space="preserve">s stated earlier, </w:t>
      </w:r>
      <w:r w:rsidRPr="73BF4038" w:rsidR="57528D7E">
        <w:rPr>
          <w:rFonts w:eastAsiaTheme="majorEastAsia" w:cstheme="majorBidi"/>
          <w:sz w:val="26"/>
          <w:szCs w:val="26"/>
        </w:rPr>
        <w:t xml:space="preserve">we </w:t>
      </w:r>
      <w:r w:rsidRPr="73BF4038" w:rsidR="19CE3457">
        <w:rPr>
          <w:rFonts w:eastAsiaTheme="majorEastAsia" w:cstheme="majorBidi"/>
          <w:sz w:val="26"/>
          <w:szCs w:val="26"/>
        </w:rPr>
        <w:t xml:space="preserve">are obligated under </w:t>
      </w:r>
      <w:r w:rsidRPr="73BF4038" w:rsidR="205050D4">
        <w:rPr>
          <w:rFonts w:eastAsiaTheme="majorEastAsia" w:cstheme="majorBidi"/>
          <w:sz w:val="26"/>
          <w:szCs w:val="26"/>
        </w:rPr>
        <w:t xml:space="preserve">Public Utilities Code </w:t>
      </w:r>
      <w:r w:rsidRPr="73BF4038" w:rsidR="19CE3457">
        <w:rPr>
          <w:rFonts w:eastAsiaTheme="majorEastAsia" w:cstheme="majorBidi"/>
          <w:sz w:val="26"/>
          <w:szCs w:val="26"/>
        </w:rPr>
        <w:t>Section 451 to ensure just and reasonable calling service rates for all Californians, including the incarcerated.</w:t>
      </w:r>
      <w:r w:rsidR="006B61AD">
        <w:rPr>
          <w:rFonts w:eastAsiaTheme="majorEastAsia" w:cstheme="majorBidi"/>
          <w:sz w:val="26"/>
          <w:szCs w:val="26"/>
        </w:rPr>
        <w:t xml:space="preserve">  </w:t>
      </w:r>
      <w:r w:rsidRPr="73BF4038" w:rsidR="37D314BD">
        <w:rPr>
          <w:rFonts w:eastAsiaTheme="majorEastAsia" w:cstheme="majorBidi"/>
          <w:sz w:val="26"/>
          <w:szCs w:val="26"/>
        </w:rPr>
        <w:t xml:space="preserve">This obligation does not allow us to defer the setting of reasonable rates </w:t>
      </w:r>
      <w:r w:rsidR="006B61AD">
        <w:rPr>
          <w:rFonts w:eastAsiaTheme="majorEastAsia" w:cstheme="majorBidi"/>
          <w:sz w:val="26"/>
          <w:szCs w:val="26"/>
        </w:rPr>
        <w:t xml:space="preserve">in response </w:t>
      </w:r>
      <w:r w:rsidRPr="73BF4038" w:rsidR="37D314BD">
        <w:rPr>
          <w:rFonts w:eastAsiaTheme="majorEastAsia" w:cstheme="majorBidi"/>
          <w:sz w:val="26"/>
          <w:szCs w:val="26"/>
        </w:rPr>
        <w:t xml:space="preserve">to parties with </w:t>
      </w:r>
      <w:r w:rsidR="00DB594A">
        <w:rPr>
          <w:rFonts w:eastAsiaTheme="majorEastAsia" w:cstheme="majorBidi"/>
          <w:sz w:val="26"/>
          <w:szCs w:val="26"/>
        </w:rPr>
        <w:t>a financial interest in</w:t>
      </w:r>
      <w:r w:rsidRPr="73BF4038" w:rsidR="69173803">
        <w:rPr>
          <w:rFonts w:eastAsiaTheme="majorEastAsia" w:cstheme="majorBidi"/>
          <w:sz w:val="26"/>
          <w:szCs w:val="26"/>
        </w:rPr>
        <w:t xml:space="preserve"> the </w:t>
      </w:r>
      <w:r w:rsidR="00A26602">
        <w:rPr>
          <w:rFonts w:eastAsiaTheme="majorEastAsia" w:cstheme="majorBidi"/>
          <w:sz w:val="26"/>
          <w:szCs w:val="26"/>
        </w:rPr>
        <w:t>continuation of current rates</w:t>
      </w:r>
      <w:r w:rsidRPr="73BF4038" w:rsidR="69173803">
        <w:rPr>
          <w:rFonts w:eastAsiaTheme="majorEastAsia" w:cstheme="majorBidi"/>
          <w:sz w:val="26"/>
          <w:szCs w:val="26"/>
        </w:rPr>
        <w:t>.</w:t>
      </w:r>
      <w:r w:rsidRPr="73BF4038" w:rsidR="3284FEF4">
        <w:rPr>
          <w:rFonts w:eastAsiaTheme="majorEastAsia" w:cstheme="majorBidi"/>
          <w:sz w:val="26"/>
          <w:szCs w:val="26"/>
        </w:rPr>
        <w:t xml:space="preserve"> We expect that the ICPS providers and </w:t>
      </w:r>
      <w:r w:rsidRPr="73BF4038" w:rsidR="3284FEF4">
        <w:rPr>
          <w:rFonts w:eastAsiaTheme="majorEastAsia" w:cstheme="majorBidi"/>
          <w:sz w:val="26"/>
          <w:szCs w:val="26"/>
        </w:rPr>
        <w:lastRenderedPageBreak/>
        <w:t xml:space="preserve">incarceration facilities will make the </w:t>
      </w:r>
      <w:r w:rsidRPr="73BF4038" w:rsidR="7C4C2516">
        <w:rPr>
          <w:rFonts w:eastAsiaTheme="majorEastAsia" w:cstheme="majorBidi"/>
          <w:sz w:val="26"/>
          <w:szCs w:val="26"/>
        </w:rPr>
        <w:t>necessary adjustments to ensure compliance with the $0.07 rate cap we establish</w:t>
      </w:r>
      <w:r w:rsidR="00D11B00">
        <w:rPr>
          <w:rFonts w:eastAsiaTheme="majorEastAsia" w:cstheme="majorBidi"/>
          <w:sz w:val="26"/>
          <w:szCs w:val="26"/>
        </w:rPr>
        <w:t xml:space="preserve"> here</w:t>
      </w:r>
      <w:r w:rsidRPr="73BF4038" w:rsidR="7C4C2516">
        <w:rPr>
          <w:rFonts w:eastAsiaTheme="majorEastAsia" w:cstheme="majorBidi"/>
          <w:sz w:val="26"/>
          <w:szCs w:val="26"/>
        </w:rPr>
        <w:t>.</w:t>
      </w:r>
    </w:p>
    <w:p w:rsidR="00B61E7C" w:rsidP="000F5997" w:rsidRDefault="57528D7E" w14:paraId="28EAF4F4" w14:textId="20DBDFD8">
      <w:pPr>
        <w:pStyle w:val="Standard"/>
        <w:ind w:firstLine="720"/>
        <w:rPr>
          <w:rFonts w:eastAsiaTheme="majorEastAsia" w:cstheme="majorBidi"/>
          <w:sz w:val="26"/>
          <w:szCs w:val="32"/>
        </w:rPr>
      </w:pPr>
      <w:r w:rsidRPr="73BF4038">
        <w:rPr>
          <w:rFonts w:eastAsiaTheme="majorEastAsia" w:cstheme="majorBidi"/>
          <w:sz w:val="26"/>
          <w:szCs w:val="26"/>
        </w:rPr>
        <w:t xml:space="preserve">We will </w:t>
      </w:r>
      <w:r w:rsidRPr="73BF4038" w:rsidR="06151727">
        <w:rPr>
          <w:rFonts w:eastAsiaTheme="majorEastAsia" w:cstheme="majorBidi"/>
          <w:sz w:val="26"/>
          <w:szCs w:val="26"/>
        </w:rPr>
        <w:t xml:space="preserve">consider modifications to the rate and fee schedules adopted in this </w:t>
      </w:r>
      <w:r w:rsidRPr="73BF4038" w:rsidR="7E7701A8">
        <w:rPr>
          <w:rFonts w:eastAsiaTheme="majorEastAsia" w:cstheme="majorBidi"/>
          <w:sz w:val="26"/>
          <w:szCs w:val="26"/>
        </w:rPr>
        <w:t>interim decision</w:t>
      </w:r>
      <w:r w:rsidRPr="73BF4038" w:rsidR="06151727">
        <w:rPr>
          <w:rFonts w:eastAsiaTheme="majorEastAsia" w:cstheme="majorBidi"/>
          <w:sz w:val="26"/>
          <w:szCs w:val="26"/>
        </w:rPr>
        <w:t xml:space="preserve"> in Phase II of this proceeding as we consider a more permanent rate cap</w:t>
      </w:r>
      <w:r w:rsidRPr="73BF4038" w:rsidR="7E7701A8">
        <w:rPr>
          <w:rFonts w:eastAsiaTheme="majorEastAsia" w:cstheme="majorBidi"/>
          <w:sz w:val="26"/>
          <w:szCs w:val="26"/>
        </w:rPr>
        <w:t xml:space="preserve">. </w:t>
      </w:r>
      <w:r w:rsidRPr="73BF4038" w:rsidR="508E908D">
        <w:rPr>
          <w:rFonts w:eastAsiaTheme="majorEastAsia" w:cstheme="majorBidi"/>
          <w:sz w:val="26"/>
          <w:szCs w:val="26"/>
        </w:rPr>
        <w:t xml:space="preserve"> </w:t>
      </w:r>
    </w:p>
    <w:p w:rsidRPr="008C2EE5" w:rsidR="00E7559B" w:rsidP="73BF4038" w:rsidRDefault="2CC97F32" w14:paraId="53299D56" w14:textId="6FC1CE60">
      <w:pPr>
        <w:pStyle w:val="Standard"/>
        <w:numPr>
          <w:ilvl w:val="0"/>
          <w:numId w:val="47"/>
        </w:numPr>
        <w:spacing w:line="240" w:lineRule="auto"/>
        <w:rPr>
          <w:sz w:val="26"/>
          <w:szCs w:val="26"/>
          <w:u w:val="single"/>
        </w:rPr>
      </w:pPr>
      <w:r w:rsidRPr="73BF4038">
        <w:rPr>
          <w:rFonts w:eastAsiaTheme="majorEastAsia" w:cstheme="majorBidi"/>
          <w:sz w:val="26"/>
          <w:szCs w:val="26"/>
          <w:u w:val="single"/>
        </w:rPr>
        <w:t xml:space="preserve">Request to Establish </w:t>
      </w:r>
      <w:proofErr w:type="gramStart"/>
      <w:r w:rsidRPr="73BF4038">
        <w:rPr>
          <w:rFonts w:eastAsiaTheme="majorEastAsia" w:cstheme="majorBidi"/>
          <w:sz w:val="26"/>
          <w:szCs w:val="26"/>
          <w:u w:val="single"/>
        </w:rPr>
        <w:t>A</w:t>
      </w:r>
      <w:proofErr w:type="gramEnd"/>
      <w:r w:rsidRPr="73BF4038">
        <w:rPr>
          <w:rFonts w:eastAsiaTheme="majorEastAsia" w:cstheme="majorBidi"/>
          <w:sz w:val="26"/>
          <w:szCs w:val="26"/>
          <w:u w:val="single"/>
        </w:rPr>
        <w:t xml:space="preserve"> Waiver Process</w:t>
      </w:r>
    </w:p>
    <w:p w:rsidRPr="008C2EE5" w:rsidR="00E7559B" w:rsidP="00F95753" w:rsidRDefault="00E7559B" w14:paraId="6F3C076E" w14:textId="46601212">
      <w:pPr>
        <w:pStyle w:val="Standard"/>
        <w:spacing w:line="240" w:lineRule="auto"/>
        <w:ind w:left="360"/>
        <w:rPr>
          <w:u w:val="single"/>
        </w:rPr>
      </w:pPr>
    </w:p>
    <w:p w:rsidR="006B61AD" w:rsidP="008848E0" w:rsidRDefault="2CC97F32" w14:paraId="383D6F9C" w14:textId="1C9E76F6">
      <w:pPr>
        <w:pStyle w:val="Standard"/>
        <w:ind w:firstLine="720"/>
        <w:rPr>
          <w:sz w:val="26"/>
          <w:szCs w:val="26"/>
        </w:rPr>
      </w:pPr>
      <w:r w:rsidRPr="00F95753">
        <w:rPr>
          <w:sz w:val="26"/>
          <w:szCs w:val="26"/>
        </w:rPr>
        <w:t xml:space="preserve">Securus requests that we establish a waiver process </w:t>
      </w:r>
      <w:proofErr w:type="gramStart"/>
      <w:r w:rsidRPr="00F95753">
        <w:rPr>
          <w:sz w:val="26"/>
          <w:szCs w:val="26"/>
        </w:rPr>
        <w:t>similar to</w:t>
      </w:r>
      <w:proofErr w:type="gramEnd"/>
      <w:r w:rsidRPr="00F95753">
        <w:rPr>
          <w:sz w:val="26"/>
          <w:szCs w:val="26"/>
        </w:rPr>
        <w:t xml:space="preserve"> the FCC’s</w:t>
      </w:r>
      <w:r w:rsidRPr="3934F952" w:rsidR="7822F96C">
        <w:rPr>
          <w:sz w:val="26"/>
          <w:szCs w:val="26"/>
        </w:rPr>
        <w:t xml:space="preserve"> </w:t>
      </w:r>
      <w:r w:rsidRPr="3934F952" w:rsidR="56798540">
        <w:rPr>
          <w:sz w:val="26"/>
          <w:szCs w:val="26"/>
        </w:rPr>
        <w:t xml:space="preserve">waiver </w:t>
      </w:r>
      <w:r w:rsidRPr="3934F952" w:rsidR="7822F96C">
        <w:rPr>
          <w:sz w:val="26"/>
          <w:szCs w:val="26"/>
        </w:rPr>
        <w:t xml:space="preserve">process </w:t>
      </w:r>
      <w:r w:rsidRPr="3934F952" w:rsidR="343AB32E">
        <w:rPr>
          <w:sz w:val="26"/>
          <w:szCs w:val="26"/>
        </w:rPr>
        <w:t>“</w:t>
      </w:r>
      <w:r w:rsidRPr="3934F952" w:rsidR="7822F96C">
        <w:rPr>
          <w:sz w:val="26"/>
          <w:szCs w:val="26"/>
        </w:rPr>
        <w:t xml:space="preserve">where the IPCS provider has the opportunity to demonstrate to the </w:t>
      </w:r>
      <w:r w:rsidRPr="3934F952" w:rsidR="006B61AD">
        <w:rPr>
          <w:sz w:val="26"/>
          <w:szCs w:val="26"/>
        </w:rPr>
        <w:t>[Commission]</w:t>
      </w:r>
      <w:r w:rsidRPr="3934F952" w:rsidR="7822F96C">
        <w:rPr>
          <w:sz w:val="26"/>
          <w:szCs w:val="26"/>
        </w:rPr>
        <w:t xml:space="preserve"> that its reasonably-incurred costs to provide service at a facility exceed those rates.</w:t>
      </w:r>
      <w:r w:rsidRPr="3934F952" w:rsidR="5E1D594D">
        <w:rPr>
          <w:sz w:val="26"/>
          <w:szCs w:val="26"/>
        </w:rPr>
        <w:t>”</w:t>
      </w:r>
      <w:r w:rsidRPr="006B61AD" w:rsidR="009920AF">
        <w:rPr>
          <w:rStyle w:val="FootnoteReference"/>
          <w:sz w:val="26"/>
          <w:szCs w:val="26"/>
        </w:rPr>
        <w:footnoteReference w:id="270"/>
      </w:r>
      <w:r w:rsidRPr="3934F952" w:rsidR="102F5713">
        <w:rPr>
          <w:rStyle w:val="FootnoteReference"/>
          <w:sz w:val="26"/>
          <w:szCs w:val="26"/>
        </w:rPr>
        <w:t xml:space="preserve">   </w:t>
      </w:r>
      <w:r w:rsidRPr="3934F952" w:rsidR="021F248A">
        <w:rPr>
          <w:sz w:val="26"/>
          <w:szCs w:val="26"/>
        </w:rPr>
        <w:t>GTL similarly asserts that a waiver process should be implemented</w:t>
      </w:r>
      <w:r w:rsidRPr="3934F952" w:rsidR="212D342C">
        <w:rPr>
          <w:sz w:val="26"/>
          <w:szCs w:val="26"/>
        </w:rPr>
        <w:t>.</w:t>
      </w:r>
      <w:r w:rsidRPr="006B61AD">
        <w:rPr>
          <w:rStyle w:val="FootnoteReference"/>
          <w:sz w:val="26"/>
          <w:szCs w:val="26"/>
        </w:rPr>
        <w:footnoteReference w:id="271"/>
      </w:r>
      <w:r w:rsidRPr="3934F952" w:rsidR="212D342C">
        <w:rPr>
          <w:sz w:val="26"/>
          <w:szCs w:val="26"/>
        </w:rPr>
        <w:t xml:space="preserve">  </w:t>
      </w:r>
    </w:p>
    <w:p w:rsidRPr="008C2EE5" w:rsidR="00E7559B" w:rsidP="00F95753" w:rsidRDefault="102F5713" w14:paraId="16066A1F" w14:textId="599B092C">
      <w:pPr>
        <w:pStyle w:val="Standard"/>
        <w:ind w:firstLine="720"/>
        <w:rPr>
          <w:u w:val="single"/>
        </w:rPr>
      </w:pPr>
      <w:r w:rsidRPr="006B61AD">
        <w:rPr>
          <w:sz w:val="26"/>
          <w:szCs w:val="26"/>
        </w:rPr>
        <w:t>W</w:t>
      </w:r>
      <w:r w:rsidRPr="006B61AD" w:rsidR="40CA7BBE">
        <w:rPr>
          <w:sz w:val="26"/>
          <w:szCs w:val="26"/>
        </w:rPr>
        <w:t xml:space="preserve">e decline to adopt a waiver process in this phase of the proceeding as </w:t>
      </w:r>
      <w:r w:rsidR="006B61AD">
        <w:rPr>
          <w:sz w:val="26"/>
          <w:szCs w:val="26"/>
        </w:rPr>
        <w:t xml:space="preserve">our </w:t>
      </w:r>
      <w:r w:rsidRPr="006B61AD" w:rsidR="40CA7BBE">
        <w:rPr>
          <w:sz w:val="26"/>
          <w:szCs w:val="26"/>
        </w:rPr>
        <w:t xml:space="preserve">goal is to establish an </w:t>
      </w:r>
      <w:r w:rsidRPr="006B61AD" w:rsidR="2C945AC5">
        <w:rPr>
          <w:sz w:val="26"/>
          <w:szCs w:val="26"/>
        </w:rPr>
        <w:t xml:space="preserve">interim rate </w:t>
      </w:r>
      <w:r w:rsidRPr="00F95753" w:rsidR="4A9E7291">
        <w:rPr>
          <w:sz w:val="26"/>
          <w:szCs w:val="26"/>
        </w:rPr>
        <w:t xml:space="preserve">based on the record </w:t>
      </w:r>
      <w:r w:rsidRPr="73BF4038" w:rsidR="4A9E7291">
        <w:rPr>
          <w:sz w:val="26"/>
          <w:szCs w:val="26"/>
        </w:rPr>
        <w:t>we have before us.  Imple</w:t>
      </w:r>
      <w:r w:rsidRPr="73BF4038" w:rsidR="3803C62E">
        <w:rPr>
          <w:sz w:val="26"/>
          <w:szCs w:val="26"/>
        </w:rPr>
        <w:t>me</w:t>
      </w:r>
      <w:r w:rsidRPr="73BF4038" w:rsidR="4A9E7291">
        <w:rPr>
          <w:sz w:val="26"/>
          <w:szCs w:val="26"/>
        </w:rPr>
        <w:t xml:space="preserve">nting a waiver process </w:t>
      </w:r>
      <w:r w:rsidRPr="73BF4038" w:rsidR="6680DE2A">
        <w:rPr>
          <w:sz w:val="26"/>
          <w:szCs w:val="26"/>
        </w:rPr>
        <w:t>would</w:t>
      </w:r>
      <w:r w:rsidRPr="73BF4038" w:rsidR="3330934F">
        <w:rPr>
          <w:sz w:val="26"/>
          <w:szCs w:val="26"/>
        </w:rPr>
        <w:t xml:space="preserve"> likely cause unnecessary delay in implementing the interim rate we establish in this decision and would </w:t>
      </w:r>
      <w:r w:rsidR="009B6737">
        <w:rPr>
          <w:sz w:val="26"/>
          <w:szCs w:val="26"/>
        </w:rPr>
        <w:t>impede the provision of</w:t>
      </w:r>
      <w:r w:rsidRPr="73BF4038" w:rsidR="3330934F">
        <w:rPr>
          <w:sz w:val="26"/>
          <w:szCs w:val="26"/>
        </w:rPr>
        <w:t xml:space="preserve"> immediate relief for incarcerated persons a</w:t>
      </w:r>
      <w:r w:rsidRPr="73BF4038" w:rsidR="26BB45BB">
        <w:rPr>
          <w:sz w:val="26"/>
          <w:szCs w:val="26"/>
        </w:rPr>
        <w:t>nd</w:t>
      </w:r>
      <w:r w:rsidRPr="73BF4038" w:rsidR="3330934F">
        <w:rPr>
          <w:sz w:val="26"/>
          <w:szCs w:val="26"/>
        </w:rPr>
        <w:t xml:space="preserve"> their loved ones. </w:t>
      </w:r>
      <w:r w:rsidRPr="73BF4038" w:rsidR="6680DE2A">
        <w:rPr>
          <w:sz w:val="26"/>
          <w:szCs w:val="26"/>
        </w:rPr>
        <w:t xml:space="preserve"> </w:t>
      </w:r>
      <w:r w:rsidRPr="73BF4038" w:rsidR="67E24B89">
        <w:rPr>
          <w:sz w:val="26"/>
          <w:szCs w:val="26"/>
        </w:rPr>
        <w:t>We will consider implementing a waiver process in Phase II of this proceeding</w:t>
      </w:r>
      <w:r w:rsidRPr="73BF4038" w:rsidR="79172B47">
        <w:rPr>
          <w:sz w:val="26"/>
          <w:szCs w:val="26"/>
        </w:rPr>
        <w:t>.</w:t>
      </w:r>
      <w:r w:rsidRPr="73BF4038" w:rsidR="1BDCA46D">
        <w:rPr>
          <w:sz w:val="26"/>
          <w:szCs w:val="26"/>
          <w:u w:val="single"/>
        </w:rPr>
        <w:t xml:space="preserve"> </w:t>
      </w:r>
    </w:p>
    <w:p w:rsidRPr="002D4D30" w:rsidR="00E7559B" w:rsidP="002D4D30" w:rsidRDefault="0530A4B9" w14:paraId="672757E5" w14:textId="4BA33BF9">
      <w:pPr>
        <w:pStyle w:val="Standard"/>
        <w:numPr>
          <w:ilvl w:val="0"/>
          <w:numId w:val="47"/>
        </w:numPr>
        <w:spacing w:line="240" w:lineRule="auto"/>
        <w:rPr>
          <w:sz w:val="26"/>
          <w:szCs w:val="26"/>
          <w:u w:val="single"/>
        </w:rPr>
      </w:pPr>
      <w:r w:rsidRPr="73BF4038">
        <w:rPr>
          <w:rFonts w:eastAsiaTheme="majorEastAsia" w:cstheme="majorBidi"/>
          <w:sz w:val="26"/>
          <w:szCs w:val="26"/>
          <w:u w:val="single"/>
        </w:rPr>
        <w:t xml:space="preserve">Claims that the </w:t>
      </w:r>
      <w:r w:rsidR="00594784">
        <w:rPr>
          <w:rFonts w:eastAsiaTheme="majorEastAsia" w:cstheme="majorBidi"/>
          <w:sz w:val="26"/>
          <w:szCs w:val="26"/>
          <w:u w:val="single"/>
        </w:rPr>
        <w:t>D</w:t>
      </w:r>
      <w:r w:rsidRPr="73BF4038">
        <w:rPr>
          <w:rFonts w:eastAsiaTheme="majorEastAsia" w:cstheme="majorBidi"/>
          <w:sz w:val="26"/>
          <w:szCs w:val="26"/>
          <w:u w:val="single"/>
        </w:rPr>
        <w:t xml:space="preserve">ecision is </w:t>
      </w:r>
      <w:r w:rsidR="00594784">
        <w:rPr>
          <w:rFonts w:eastAsiaTheme="majorEastAsia" w:cstheme="majorBidi"/>
          <w:sz w:val="26"/>
          <w:szCs w:val="26"/>
          <w:u w:val="single"/>
        </w:rPr>
        <w:t>A</w:t>
      </w:r>
      <w:r w:rsidRPr="73BF4038">
        <w:rPr>
          <w:rFonts w:eastAsiaTheme="majorEastAsia" w:cstheme="majorBidi"/>
          <w:sz w:val="26"/>
          <w:szCs w:val="26"/>
          <w:u w:val="single"/>
        </w:rPr>
        <w:t xml:space="preserve">rbitrary and </w:t>
      </w:r>
      <w:r w:rsidR="00594784">
        <w:rPr>
          <w:rFonts w:eastAsiaTheme="majorEastAsia" w:cstheme="majorBidi"/>
          <w:sz w:val="26"/>
          <w:szCs w:val="26"/>
          <w:u w:val="single"/>
        </w:rPr>
        <w:t>C</w:t>
      </w:r>
      <w:r w:rsidRPr="73BF4038">
        <w:rPr>
          <w:rFonts w:eastAsiaTheme="majorEastAsia" w:cstheme="majorBidi"/>
          <w:sz w:val="26"/>
          <w:szCs w:val="26"/>
          <w:u w:val="single"/>
        </w:rPr>
        <w:t xml:space="preserve">apricious and </w:t>
      </w:r>
      <w:r w:rsidR="00594784">
        <w:rPr>
          <w:rFonts w:eastAsiaTheme="majorEastAsia" w:cstheme="majorBidi"/>
          <w:sz w:val="26"/>
          <w:szCs w:val="26"/>
          <w:u w:val="single"/>
        </w:rPr>
        <w:t>L</w:t>
      </w:r>
      <w:r w:rsidRPr="73BF4038">
        <w:rPr>
          <w:rFonts w:eastAsiaTheme="majorEastAsia" w:cstheme="majorBidi"/>
          <w:sz w:val="26"/>
          <w:szCs w:val="26"/>
          <w:u w:val="single"/>
        </w:rPr>
        <w:t xml:space="preserve">acks </w:t>
      </w:r>
      <w:r w:rsidR="00594784">
        <w:rPr>
          <w:rFonts w:eastAsiaTheme="majorEastAsia" w:cstheme="majorBidi"/>
          <w:sz w:val="26"/>
          <w:szCs w:val="26"/>
          <w:u w:val="single"/>
        </w:rPr>
        <w:t>S</w:t>
      </w:r>
      <w:r w:rsidRPr="73BF4038">
        <w:rPr>
          <w:rFonts w:eastAsiaTheme="majorEastAsia" w:cstheme="majorBidi"/>
          <w:sz w:val="26"/>
          <w:szCs w:val="26"/>
          <w:u w:val="single"/>
        </w:rPr>
        <w:t xml:space="preserve">ubstantial </w:t>
      </w:r>
      <w:r w:rsidR="00594784">
        <w:rPr>
          <w:rFonts w:eastAsiaTheme="majorEastAsia" w:cstheme="majorBidi"/>
          <w:sz w:val="26"/>
          <w:szCs w:val="26"/>
          <w:u w:val="single"/>
        </w:rPr>
        <w:t>E</w:t>
      </w:r>
      <w:r w:rsidRPr="73BF4038">
        <w:rPr>
          <w:rFonts w:eastAsiaTheme="majorEastAsia" w:cstheme="majorBidi"/>
          <w:sz w:val="26"/>
          <w:szCs w:val="26"/>
          <w:u w:val="single"/>
        </w:rPr>
        <w:t>vidence</w:t>
      </w:r>
    </w:p>
    <w:p w:rsidRPr="008C2EE5" w:rsidR="002D4D30" w:rsidP="00F95753" w:rsidRDefault="002D4D30" w14:paraId="1A2FD11C" w14:textId="77777777">
      <w:pPr>
        <w:pStyle w:val="Standard"/>
        <w:spacing w:line="240" w:lineRule="auto"/>
        <w:rPr>
          <w:sz w:val="26"/>
          <w:szCs w:val="26"/>
          <w:u w:val="single"/>
        </w:rPr>
      </w:pPr>
    </w:p>
    <w:p w:rsidR="00BC2415" w:rsidP="008848E0" w:rsidRDefault="008848E0" w14:paraId="40E2C668" w14:textId="5C36E865">
      <w:pPr>
        <w:pStyle w:val="Standard"/>
        <w:rPr>
          <w:sz w:val="26"/>
          <w:szCs w:val="26"/>
        </w:rPr>
      </w:pPr>
      <w:r>
        <w:tab/>
      </w:r>
      <w:r w:rsidRPr="00F95753" w:rsidR="0530A4B9">
        <w:rPr>
          <w:sz w:val="26"/>
          <w:szCs w:val="26"/>
        </w:rPr>
        <w:t>Securus alleges in its comments that th</w:t>
      </w:r>
      <w:r w:rsidRPr="3934F952" w:rsidR="0530A4B9">
        <w:rPr>
          <w:sz w:val="26"/>
          <w:szCs w:val="26"/>
        </w:rPr>
        <w:t xml:space="preserve">e </w:t>
      </w:r>
      <w:r w:rsidRPr="00F95753" w:rsidR="0530A4B9">
        <w:rPr>
          <w:sz w:val="26"/>
          <w:szCs w:val="26"/>
        </w:rPr>
        <w:t>decision is arbitrary and capricious</w:t>
      </w:r>
      <w:r w:rsidRPr="3934F952" w:rsidR="0530A4B9">
        <w:rPr>
          <w:sz w:val="26"/>
          <w:szCs w:val="26"/>
        </w:rPr>
        <w:t xml:space="preserve"> and lacks substantial evidence</w:t>
      </w:r>
      <w:r w:rsidRPr="3934F952" w:rsidR="12C08AEF">
        <w:rPr>
          <w:sz w:val="26"/>
          <w:szCs w:val="26"/>
        </w:rPr>
        <w:t xml:space="preserve"> and that</w:t>
      </w:r>
      <w:r w:rsidRPr="3934F952" w:rsidR="0097797C">
        <w:rPr>
          <w:sz w:val="26"/>
          <w:szCs w:val="26"/>
        </w:rPr>
        <w:t xml:space="preserve">, </w:t>
      </w:r>
      <w:r w:rsidR="00BC2415">
        <w:rPr>
          <w:sz w:val="26"/>
          <w:szCs w:val="26"/>
        </w:rPr>
        <w:t>“</w:t>
      </w:r>
      <w:r w:rsidRPr="3934F952" w:rsidR="12C08AEF">
        <w:rPr>
          <w:sz w:val="26"/>
          <w:szCs w:val="26"/>
        </w:rPr>
        <w:t>without explanation or justification,</w:t>
      </w:r>
      <w:r w:rsidR="00BC2415">
        <w:rPr>
          <w:sz w:val="26"/>
          <w:szCs w:val="26"/>
        </w:rPr>
        <w:t>”</w:t>
      </w:r>
      <w:r w:rsidRPr="3934F952" w:rsidR="12C08AEF">
        <w:rPr>
          <w:sz w:val="26"/>
          <w:szCs w:val="26"/>
        </w:rPr>
        <w:t xml:space="preserve"> we take a different approach </w:t>
      </w:r>
      <w:r w:rsidRPr="3934F952" w:rsidR="39EE7060">
        <w:rPr>
          <w:sz w:val="26"/>
          <w:szCs w:val="26"/>
        </w:rPr>
        <w:t>than the FCC</w:t>
      </w:r>
      <w:r w:rsidRPr="3934F952" w:rsidR="1F602092">
        <w:rPr>
          <w:sz w:val="26"/>
          <w:szCs w:val="26"/>
        </w:rPr>
        <w:t>.</w:t>
      </w:r>
      <w:r w:rsidRPr="00B355FF" w:rsidR="009920AF">
        <w:rPr>
          <w:rStyle w:val="FootnoteReference"/>
          <w:sz w:val="26"/>
          <w:szCs w:val="26"/>
        </w:rPr>
        <w:footnoteReference w:id="272"/>
      </w:r>
      <w:r w:rsidRPr="3934F952" w:rsidR="78924624">
        <w:rPr>
          <w:rStyle w:val="FootnoteReference"/>
          <w:sz w:val="26"/>
          <w:szCs w:val="26"/>
        </w:rPr>
        <w:t xml:space="preserve">  </w:t>
      </w:r>
      <w:r w:rsidRPr="3934F952" w:rsidR="002D4D30">
        <w:rPr>
          <w:sz w:val="26"/>
          <w:szCs w:val="26"/>
        </w:rPr>
        <w:t xml:space="preserve"> </w:t>
      </w:r>
      <w:r w:rsidRPr="3934F952" w:rsidR="5AFD5958">
        <w:rPr>
          <w:sz w:val="26"/>
          <w:szCs w:val="26"/>
        </w:rPr>
        <w:t xml:space="preserve">GTL also argues that </w:t>
      </w:r>
      <w:r w:rsidRPr="3934F952" w:rsidR="5AFD5958">
        <w:rPr>
          <w:sz w:val="26"/>
          <w:szCs w:val="26"/>
        </w:rPr>
        <w:lastRenderedPageBreak/>
        <w:t>the interim rate cap and limits on ancil</w:t>
      </w:r>
      <w:r w:rsidRPr="3934F952" w:rsidR="2BCD9D72">
        <w:rPr>
          <w:sz w:val="26"/>
          <w:szCs w:val="26"/>
        </w:rPr>
        <w:t>lary service charges are arbitrary and unworkable.</w:t>
      </w:r>
      <w:r w:rsidRPr="00B355FF" w:rsidR="009920AF">
        <w:rPr>
          <w:rStyle w:val="FootnoteReference"/>
          <w:sz w:val="26"/>
          <w:szCs w:val="26"/>
        </w:rPr>
        <w:footnoteReference w:id="273"/>
      </w:r>
      <w:r w:rsidRPr="3934F952" w:rsidR="5AFD5958">
        <w:rPr>
          <w:sz w:val="26"/>
          <w:szCs w:val="26"/>
        </w:rPr>
        <w:t xml:space="preserve"> </w:t>
      </w:r>
      <w:r w:rsidRPr="3934F952" w:rsidR="26704530">
        <w:rPr>
          <w:sz w:val="26"/>
          <w:szCs w:val="26"/>
        </w:rPr>
        <w:t xml:space="preserve"> </w:t>
      </w:r>
    </w:p>
    <w:p w:rsidR="008848E0" w:rsidP="00BC2415" w:rsidRDefault="5AFD5958" w14:paraId="13336AF1" w14:textId="5ADB746C">
      <w:pPr>
        <w:pStyle w:val="Standard"/>
        <w:ind w:firstLine="720"/>
        <w:rPr>
          <w:sz w:val="26"/>
          <w:szCs w:val="26"/>
        </w:rPr>
      </w:pPr>
      <w:r w:rsidRPr="3934F952">
        <w:rPr>
          <w:sz w:val="26"/>
          <w:szCs w:val="26"/>
        </w:rPr>
        <w:t>W</w:t>
      </w:r>
      <w:r w:rsidRPr="3934F952" w:rsidR="53651AF0">
        <w:rPr>
          <w:sz w:val="26"/>
          <w:szCs w:val="26"/>
        </w:rPr>
        <w:t>e disagree</w:t>
      </w:r>
      <w:r w:rsidR="00BC2415">
        <w:rPr>
          <w:sz w:val="26"/>
          <w:szCs w:val="26"/>
        </w:rPr>
        <w:t xml:space="preserve"> with these assertions</w:t>
      </w:r>
      <w:r w:rsidRPr="3934F952" w:rsidR="53651AF0">
        <w:rPr>
          <w:sz w:val="26"/>
          <w:szCs w:val="26"/>
        </w:rPr>
        <w:t>.</w:t>
      </w:r>
      <w:r w:rsidRPr="3934F952" w:rsidR="0295D459">
        <w:rPr>
          <w:sz w:val="26"/>
          <w:szCs w:val="26"/>
        </w:rPr>
        <w:t xml:space="preserve"> </w:t>
      </w:r>
      <w:r w:rsidRPr="3934F952" w:rsidR="0EFDAB8B">
        <w:rPr>
          <w:sz w:val="26"/>
          <w:szCs w:val="26"/>
        </w:rPr>
        <w:t xml:space="preserve"> </w:t>
      </w:r>
      <w:r w:rsidR="00300530">
        <w:rPr>
          <w:sz w:val="26"/>
          <w:szCs w:val="26"/>
        </w:rPr>
        <w:t xml:space="preserve">As has been noted, </w:t>
      </w:r>
      <w:r w:rsidRPr="3934F952" w:rsidR="0EFDAB8B">
        <w:rPr>
          <w:sz w:val="26"/>
          <w:szCs w:val="26"/>
        </w:rPr>
        <w:t>“</w:t>
      </w:r>
      <w:r w:rsidR="00300530">
        <w:rPr>
          <w:sz w:val="26"/>
          <w:szCs w:val="26"/>
        </w:rPr>
        <w:t>[a]</w:t>
      </w:r>
      <w:r w:rsidRPr="3934F952" w:rsidR="0EFDAB8B">
        <w:rPr>
          <w:sz w:val="26"/>
          <w:szCs w:val="26"/>
        </w:rPr>
        <w:t xml:space="preserve"> party challenging a </w:t>
      </w:r>
      <w:r w:rsidRPr="3934F952" w:rsidR="008A79D2">
        <w:rPr>
          <w:sz w:val="26"/>
          <w:szCs w:val="26"/>
        </w:rPr>
        <w:t>[Commission]</w:t>
      </w:r>
      <w:r w:rsidRPr="3934F952" w:rsidR="0EFDAB8B">
        <w:rPr>
          <w:sz w:val="26"/>
          <w:szCs w:val="26"/>
        </w:rPr>
        <w:t xml:space="preserve"> finding for lack of substantial evidence must demonstrate that, based on the evidence before the </w:t>
      </w:r>
      <w:r w:rsidRPr="3934F952" w:rsidR="008A79D2">
        <w:rPr>
          <w:sz w:val="26"/>
          <w:szCs w:val="26"/>
        </w:rPr>
        <w:t>[Commission]</w:t>
      </w:r>
      <w:r w:rsidRPr="3934F952" w:rsidR="0EFDAB8B">
        <w:rPr>
          <w:sz w:val="26"/>
          <w:szCs w:val="26"/>
        </w:rPr>
        <w:t xml:space="preserve">, a reasonable person could not reach the same </w:t>
      </w:r>
      <w:proofErr w:type="gramStart"/>
      <w:r w:rsidRPr="3934F952" w:rsidR="0EFDAB8B">
        <w:rPr>
          <w:sz w:val="26"/>
          <w:szCs w:val="26"/>
        </w:rPr>
        <w:t>conclusion.“</w:t>
      </w:r>
      <w:proofErr w:type="gramEnd"/>
      <w:r w:rsidRPr="00B355FF" w:rsidR="009920AF">
        <w:rPr>
          <w:rStyle w:val="FootnoteReference"/>
          <w:sz w:val="26"/>
          <w:szCs w:val="26"/>
        </w:rPr>
        <w:footnoteReference w:id="274"/>
      </w:r>
      <w:r w:rsidRPr="3934F952" w:rsidR="0EFDAB8B">
        <w:rPr>
          <w:sz w:val="26"/>
          <w:szCs w:val="26"/>
        </w:rPr>
        <w:t xml:space="preserve">  </w:t>
      </w:r>
      <w:r w:rsidRPr="3934F952" w:rsidR="30E61115">
        <w:rPr>
          <w:sz w:val="26"/>
          <w:szCs w:val="26"/>
        </w:rPr>
        <w:t xml:space="preserve">Securus </w:t>
      </w:r>
      <w:r w:rsidRPr="3934F952" w:rsidR="542E1B3B">
        <w:rPr>
          <w:sz w:val="26"/>
          <w:szCs w:val="26"/>
        </w:rPr>
        <w:t xml:space="preserve">and GTL </w:t>
      </w:r>
      <w:r w:rsidRPr="3934F952" w:rsidR="30E61115">
        <w:rPr>
          <w:sz w:val="26"/>
          <w:szCs w:val="26"/>
        </w:rPr>
        <w:t xml:space="preserve">presented no evidence which persuades us that the rate cap of $0.07 is </w:t>
      </w:r>
      <w:r w:rsidRPr="3934F952" w:rsidR="2993B043">
        <w:rPr>
          <w:sz w:val="26"/>
          <w:szCs w:val="26"/>
        </w:rPr>
        <w:t xml:space="preserve">not supported by the record before us. </w:t>
      </w:r>
      <w:r w:rsidRPr="3934F952" w:rsidR="0238A510">
        <w:rPr>
          <w:sz w:val="26"/>
          <w:szCs w:val="26"/>
        </w:rPr>
        <w:t xml:space="preserve"> </w:t>
      </w:r>
    </w:p>
    <w:p w:rsidRPr="00F95753" w:rsidR="00E7559B" w:rsidP="00F95753" w:rsidRDefault="0238A510" w14:paraId="18720934" w14:textId="10527DA0">
      <w:pPr>
        <w:pStyle w:val="Standard"/>
        <w:ind w:firstLine="720"/>
        <w:rPr>
          <w:sz w:val="26"/>
          <w:szCs w:val="26"/>
        </w:rPr>
      </w:pPr>
      <w:r w:rsidRPr="3934F952">
        <w:rPr>
          <w:sz w:val="26"/>
          <w:szCs w:val="26"/>
        </w:rPr>
        <w:t xml:space="preserve">As we discuss in Section 6.3 above, we decline to adopt the FCC’s interim rates as Staff proposed because the record in this proceeding demonstrates that a lower rate is more reasonable.  </w:t>
      </w:r>
      <w:r w:rsidRPr="3934F952" w:rsidR="279D2EBF">
        <w:rPr>
          <w:sz w:val="26"/>
          <w:szCs w:val="26"/>
        </w:rPr>
        <w:t xml:space="preserve">We further explain that we utilize the rate of $0.025 </w:t>
      </w:r>
      <w:r w:rsidRPr="3934F952" w:rsidR="008A79D2">
        <w:rPr>
          <w:sz w:val="26"/>
          <w:szCs w:val="26"/>
        </w:rPr>
        <w:t xml:space="preserve">per minute </w:t>
      </w:r>
      <w:r w:rsidRPr="3934F952" w:rsidR="279D2EBF">
        <w:rPr>
          <w:sz w:val="26"/>
          <w:szCs w:val="26"/>
        </w:rPr>
        <w:t>established in the CDC</w:t>
      </w:r>
      <w:r w:rsidRPr="3934F952" w:rsidR="008A79D2">
        <w:rPr>
          <w:sz w:val="26"/>
          <w:szCs w:val="26"/>
        </w:rPr>
        <w:t>R</w:t>
      </w:r>
      <w:r w:rsidRPr="3934F952" w:rsidR="279D2EBF">
        <w:rPr>
          <w:sz w:val="26"/>
          <w:szCs w:val="26"/>
        </w:rPr>
        <w:t xml:space="preserve"> contract with GTL as a benchmark.  We then double this rate to $0.</w:t>
      </w:r>
      <w:r w:rsidRPr="3934F952" w:rsidR="1839EA8E">
        <w:rPr>
          <w:sz w:val="26"/>
          <w:szCs w:val="26"/>
        </w:rPr>
        <w:t xml:space="preserve">05 </w:t>
      </w:r>
      <w:r w:rsidRPr="3934F952" w:rsidR="279D2EBF">
        <w:rPr>
          <w:sz w:val="26"/>
          <w:szCs w:val="26"/>
        </w:rPr>
        <w:t xml:space="preserve">account for the cost to serve smaller </w:t>
      </w:r>
      <w:r w:rsidRPr="3934F952" w:rsidR="4FB469AD">
        <w:rPr>
          <w:sz w:val="26"/>
          <w:szCs w:val="26"/>
        </w:rPr>
        <w:t xml:space="preserve">facilities and add an additional $0.02 to account for site commissions.  The record before us supports adoption of this lower rate </w:t>
      </w:r>
      <w:r w:rsidRPr="3934F952" w:rsidR="502CD7A6">
        <w:rPr>
          <w:sz w:val="26"/>
          <w:szCs w:val="26"/>
        </w:rPr>
        <w:t>and provides immediate relief to incarcerated persons and their families while allowing IP</w:t>
      </w:r>
      <w:r w:rsidRPr="3934F952" w:rsidR="008A79D2">
        <w:rPr>
          <w:sz w:val="26"/>
          <w:szCs w:val="26"/>
        </w:rPr>
        <w:t>C</w:t>
      </w:r>
      <w:r w:rsidRPr="3934F952" w:rsidR="502CD7A6">
        <w:rPr>
          <w:sz w:val="26"/>
          <w:szCs w:val="26"/>
        </w:rPr>
        <w:t>S provid</w:t>
      </w:r>
      <w:r w:rsidRPr="3934F952" w:rsidR="6640AE6C">
        <w:rPr>
          <w:sz w:val="26"/>
          <w:szCs w:val="26"/>
        </w:rPr>
        <w:t>ers to recover their reasonable costs related to the provision of IP</w:t>
      </w:r>
      <w:r w:rsidRPr="3934F952" w:rsidR="008A79D2">
        <w:rPr>
          <w:sz w:val="26"/>
          <w:szCs w:val="26"/>
        </w:rPr>
        <w:t>C</w:t>
      </w:r>
      <w:r w:rsidRPr="3934F952" w:rsidR="6640AE6C">
        <w:rPr>
          <w:sz w:val="26"/>
          <w:szCs w:val="26"/>
        </w:rPr>
        <w:t>S services.</w:t>
      </w:r>
    </w:p>
    <w:p w:rsidRPr="008C2EE5" w:rsidR="00E7559B" w:rsidP="00F95753" w:rsidRDefault="0E511AF2" w14:paraId="7DAB2008" w14:textId="47AA10C2">
      <w:pPr>
        <w:pStyle w:val="Standard"/>
        <w:numPr>
          <w:ilvl w:val="0"/>
          <w:numId w:val="47"/>
        </w:numPr>
        <w:spacing w:line="240" w:lineRule="auto"/>
        <w:rPr>
          <w:sz w:val="26"/>
          <w:szCs w:val="26"/>
          <w:u w:val="single"/>
        </w:rPr>
      </w:pPr>
      <w:r w:rsidRPr="73BF4038">
        <w:rPr>
          <w:rFonts w:eastAsiaTheme="majorEastAsia" w:cstheme="majorBidi"/>
          <w:sz w:val="26"/>
          <w:szCs w:val="26"/>
          <w:u w:val="single"/>
        </w:rPr>
        <w:t>Request</w:t>
      </w:r>
      <w:r w:rsidRPr="73BF4038" w:rsidR="566A9061">
        <w:rPr>
          <w:rFonts w:eastAsiaTheme="majorEastAsia" w:cstheme="majorBidi"/>
          <w:sz w:val="26"/>
          <w:szCs w:val="26"/>
          <w:u w:val="single"/>
        </w:rPr>
        <w:t xml:space="preserve"> to Establish Complaint Reporting System or Require Providers in their Compliance Notices to </w:t>
      </w:r>
      <w:r w:rsidRPr="73BF4038" w:rsidR="7D881722">
        <w:rPr>
          <w:rFonts w:eastAsiaTheme="majorEastAsia" w:cstheme="majorBidi"/>
          <w:sz w:val="26"/>
          <w:szCs w:val="26"/>
          <w:u w:val="single"/>
        </w:rPr>
        <w:t>Report if it Holds a CPCN</w:t>
      </w:r>
    </w:p>
    <w:p w:rsidR="00F21F28" w:rsidP="00390B71" w:rsidRDefault="00F21F28" w14:paraId="37D49291" w14:textId="77777777">
      <w:pPr>
        <w:pStyle w:val="Standard"/>
        <w:spacing w:line="240" w:lineRule="auto"/>
        <w:ind w:firstLine="720"/>
        <w:rPr>
          <w:rFonts w:eastAsiaTheme="majorEastAsia" w:cstheme="majorBidi"/>
          <w:sz w:val="26"/>
          <w:szCs w:val="32"/>
        </w:rPr>
      </w:pPr>
    </w:p>
    <w:p w:rsidR="00F21F28" w:rsidP="006C7E53" w:rsidRDefault="7D881722" w14:paraId="4E54B102" w14:textId="1C170085">
      <w:pPr>
        <w:pStyle w:val="Standard"/>
        <w:ind w:firstLine="720"/>
        <w:rPr>
          <w:rFonts w:eastAsiaTheme="majorEastAsia" w:cstheme="majorBidi"/>
          <w:sz w:val="26"/>
          <w:szCs w:val="32"/>
        </w:rPr>
      </w:pPr>
      <w:r w:rsidRPr="73BF4038">
        <w:rPr>
          <w:rFonts w:eastAsiaTheme="majorEastAsia" w:cstheme="majorBidi"/>
          <w:sz w:val="26"/>
          <w:szCs w:val="26"/>
        </w:rPr>
        <w:t xml:space="preserve">Prison Policy Initiative observes that Section </w:t>
      </w:r>
      <w:r w:rsidRPr="73BF4038" w:rsidR="0373F940">
        <w:rPr>
          <w:rFonts w:eastAsiaTheme="majorEastAsia" w:cstheme="majorBidi"/>
          <w:sz w:val="26"/>
          <w:szCs w:val="26"/>
        </w:rPr>
        <w:t xml:space="preserve">1013(a) of the Public Utilities Code requires </w:t>
      </w:r>
      <w:r w:rsidRPr="73BF4038" w:rsidR="471449EB">
        <w:rPr>
          <w:rFonts w:eastAsiaTheme="majorEastAsia" w:cstheme="majorBidi"/>
          <w:sz w:val="26"/>
          <w:szCs w:val="26"/>
        </w:rPr>
        <w:t xml:space="preserve">telephone corporations that exert monopoly power to hold a </w:t>
      </w:r>
      <w:r w:rsidRPr="73BF4038" w:rsidR="471449EB">
        <w:rPr>
          <w:rFonts w:eastAsiaTheme="majorEastAsia" w:cstheme="majorBidi"/>
          <w:sz w:val="26"/>
          <w:szCs w:val="26"/>
        </w:rPr>
        <w:lastRenderedPageBreak/>
        <w:t>CPCN.</w:t>
      </w:r>
      <w:r w:rsidR="006C7E53">
        <w:rPr>
          <w:rStyle w:val="FootnoteReference"/>
          <w:rFonts w:eastAsiaTheme="majorEastAsia" w:cstheme="majorBidi"/>
          <w:sz w:val="26"/>
          <w:szCs w:val="32"/>
        </w:rPr>
        <w:footnoteReference w:id="275"/>
      </w:r>
      <w:r w:rsidRPr="73BF4038" w:rsidR="471449EB">
        <w:rPr>
          <w:rFonts w:eastAsiaTheme="majorEastAsia" w:cstheme="majorBidi"/>
          <w:sz w:val="26"/>
          <w:szCs w:val="26"/>
        </w:rPr>
        <w:t xml:space="preserve">  As a result, the Prison Policy Initiative </w:t>
      </w:r>
      <w:r w:rsidRPr="73BF4038">
        <w:rPr>
          <w:rFonts w:eastAsiaTheme="majorEastAsia" w:cstheme="majorBidi"/>
          <w:sz w:val="26"/>
          <w:szCs w:val="26"/>
        </w:rPr>
        <w:t>requests that the Commission</w:t>
      </w:r>
      <w:r w:rsidRPr="73BF4038" w:rsidR="471449EB">
        <w:rPr>
          <w:rFonts w:eastAsiaTheme="majorEastAsia" w:cstheme="majorBidi"/>
          <w:sz w:val="26"/>
          <w:szCs w:val="26"/>
        </w:rPr>
        <w:t xml:space="preserve"> require IPCS providers to </w:t>
      </w:r>
      <w:r w:rsidRPr="73BF4038" w:rsidR="3178A2F4">
        <w:rPr>
          <w:rFonts w:eastAsiaTheme="majorEastAsia" w:cstheme="majorBidi"/>
          <w:sz w:val="26"/>
          <w:szCs w:val="26"/>
        </w:rPr>
        <w:t xml:space="preserve">include in their Notice of Compliance either: (i) a certification that the company holds a valid CPCN and will maintain such certificate for as long as it provides intrastate IPCS in California, or (ii) a detailed explanation of any exemption the company claims from the requirements of </w:t>
      </w:r>
      <w:r w:rsidRPr="73BF4038" w:rsidR="64A9B9FA">
        <w:rPr>
          <w:rFonts w:eastAsiaTheme="majorEastAsia" w:cstheme="majorBidi"/>
          <w:sz w:val="26"/>
          <w:szCs w:val="26"/>
        </w:rPr>
        <w:t xml:space="preserve">Section </w:t>
      </w:r>
      <w:r w:rsidRPr="73BF4038" w:rsidR="3178A2F4">
        <w:rPr>
          <w:rFonts w:eastAsiaTheme="majorEastAsia" w:cstheme="majorBidi"/>
          <w:sz w:val="26"/>
          <w:szCs w:val="26"/>
        </w:rPr>
        <w:t>1001</w:t>
      </w:r>
      <w:r w:rsidRPr="73BF4038" w:rsidR="64A9B9FA">
        <w:rPr>
          <w:rFonts w:eastAsiaTheme="majorEastAsia" w:cstheme="majorBidi"/>
          <w:sz w:val="26"/>
          <w:szCs w:val="26"/>
        </w:rPr>
        <w:t>.  The Prison Policy Institute also requests that the Commission direct Commission</w:t>
      </w:r>
      <w:r w:rsidRPr="73BF4038" w:rsidR="51F68669">
        <w:rPr>
          <w:rFonts w:eastAsiaTheme="majorEastAsia" w:cstheme="majorBidi"/>
          <w:sz w:val="26"/>
          <w:szCs w:val="26"/>
        </w:rPr>
        <w:t xml:space="preserve"> Staff to establish a complaint reporting system that customers would be notified of through the required Plan of Notification.</w:t>
      </w:r>
      <w:r w:rsidR="006C287A">
        <w:rPr>
          <w:rStyle w:val="FootnoteReference"/>
          <w:rFonts w:eastAsiaTheme="majorEastAsia" w:cstheme="majorBidi"/>
          <w:sz w:val="26"/>
          <w:szCs w:val="32"/>
        </w:rPr>
        <w:footnoteReference w:id="276"/>
      </w:r>
      <w:r w:rsidRPr="73BF4038" w:rsidR="1627B33E">
        <w:rPr>
          <w:rFonts w:eastAsiaTheme="majorEastAsia" w:cstheme="majorBidi"/>
          <w:sz w:val="26"/>
          <w:szCs w:val="26"/>
        </w:rPr>
        <w:t xml:space="preserve">  </w:t>
      </w:r>
    </w:p>
    <w:p w:rsidR="007E1E8C" w:rsidP="00B355FF" w:rsidRDefault="77AA3C2F" w14:paraId="1DF64E3E" w14:textId="476691CF">
      <w:pPr>
        <w:pStyle w:val="Standard"/>
        <w:ind w:firstLine="720"/>
        <w:rPr>
          <w:rFonts w:eastAsiaTheme="majorEastAsia" w:cstheme="majorBidi"/>
          <w:sz w:val="26"/>
          <w:szCs w:val="26"/>
        </w:rPr>
      </w:pPr>
      <w:r w:rsidRPr="73BF4038">
        <w:rPr>
          <w:rFonts w:eastAsiaTheme="majorEastAsia" w:cstheme="majorBidi"/>
          <w:sz w:val="26"/>
          <w:szCs w:val="26"/>
        </w:rPr>
        <w:t xml:space="preserve">We do not adopt the Prison Policy Initiative’s first recommendation </w:t>
      </w:r>
      <w:proofErr w:type="gramStart"/>
      <w:r w:rsidRPr="73BF4038">
        <w:rPr>
          <w:rFonts w:eastAsiaTheme="majorEastAsia" w:cstheme="majorBidi"/>
          <w:sz w:val="26"/>
          <w:szCs w:val="26"/>
        </w:rPr>
        <w:t>at this time</w:t>
      </w:r>
      <w:proofErr w:type="gramEnd"/>
      <w:r w:rsidRPr="73BF4038">
        <w:rPr>
          <w:rFonts w:eastAsiaTheme="majorEastAsia" w:cstheme="majorBidi"/>
          <w:sz w:val="26"/>
          <w:szCs w:val="26"/>
        </w:rPr>
        <w:t xml:space="preserve"> as we intend to revisit the</w:t>
      </w:r>
      <w:r w:rsidRPr="73BF4038" w:rsidR="614C7171">
        <w:rPr>
          <w:rFonts w:eastAsiaTheme="majorEastAsia" w:cstheme="majorBidi"/>
          <w:sz w:val="26"/>
          <w:szCs w:val="26"/>
        </w:rPr>
        <w:t xml:space="preserve"> issue of CPCNs and classification of IPCS providers in Phase II</w:t>
      </w:r>
      <w:r w:rsidRPr="73BF4038" w:rsidR="4DD627C5">
        <w:rPr>
          <w:rFonts w:eastAsiaTheme="majorEastAsia" w:cstheme="majorBidi"/>
          <w:sz w:val="26"/>
          <w:szCs w:val="26"/>
        </w:rPr>
        <w:t xml:space="preserve"> of this proceeding</w:t>
      </w:r>
      <w:r w:rsidRPr="73BF4038" w:rsidR="614C7171">
        <w:rPr>
          <w:rFonts w:eastAsiaTheme="majorEastAsia" w:cstheme="majorBidi"/>
          <w:sz w:val="26"/>
          <w:szCs w:val="26"/>
        </w:rPr>
        <w:t xml:space="preserve">.  </w:t>
      </w:r>
      <w:r w:rsidRPr="73BF4038" w:rsidR="131EA296">
        <w:rPr>
          <w:rFonts w:eastAsiaTheme="majorEastAsia" w:cstheme="majorBidi"/>
          <w:sz w:val="26"/>
          <w:szCs w:val="26"/>
        </w:rPr>
        <w:t>Additionally, w</w:t>
      </w:r>
      <w:r w:rsidRPr="73BF4038" w:rsidR="614C7171">
        <w:rPr>
          <w:rFonts w:eastAsiaTheme="majorEastAsia" w:cstheme="majorBidi"/>
          <w:sz w:val="26"/>
          <w:szCs w:val="26"/>
        </w:rPr>
        <w:t xml:space="preserve">hile we concur with Prison Policy Initiative’s recommendation that the Plan of Notification (and notifications themselves) </w:t>
      </w:r>
      <w:bookmarkStart w:name="_Hlk79763407" w:id="69"/>
      <w:r w:rsidRPr="73BF4038" w:rsidR="0E124590">
        <w:rPr>
          <w:rFonts w:eastAsiaTheme="majorEastAsia" w:cstheme="majorBidi"/>
          <w:sz w:val="26"/>
          <w:szCs w:val="26"/>
        </w:rPr>
        <w:t xml:space="preserve">inform the </w:t>
      </w:r>
      <w:r w:rsidRPr="73BF4038" w:rsidR="58078774">
        <w:rPr>
          <w:rFonts w:eastAsiaTheme="majorEastAsia" w:cstheme="majorBidi"/>
          <w:sz w:val="26"/>
          <w:szCs w:val="26"/>
        </w:rPr>
        <w:t xml:space="preserve">incarcerated </w:t>
      </w:r>
      <w:r w:rsidRPr="73BF4038" w:rsidR="131EA296">
        <w:rPr>
          <w:rFonts w:eastAsiaTheme="majorEastAsia" w:cstheme="majorBidi"/>
          <w:sz w:val="26"/>
          <w:szCs w:val="26"/>
        </w:rPr>
        <w:t>of methods to lodge service quality complaints with the Commission</w:t>
      </w:r>
      <w:r w:rsidR="00B27FB0">
        <w:rPr>
          <w:rFonts w:eastAsiaTheme="majorEastAsia" w:cstheme="majorBidi"/>
          <w:sz w:val="26"/>
          <w:szCs w:val="26"/>
        </w:rPr>
        <w:t>,</w:t>
      </w:r>
      <w:r w:rsidRPr="73BF4038" w:rsidR="131EA296">
        <w:rPr>
          <w:rFonts w:eastAsiaTheme="majorEastAsia" w:cstheme="majorBidi"/>
          <w:sz w:val="26"/>
          <w:szCs w:val="26"/>
        </w:rPr>
        <w:t xml:space="preserve"> </w:t>
      </w:r>
      <w:bookmarkEnd w:id="69"/>
      <w:r w:rsidRPr="73BF4038" w:rsidR="131EA296">
        <w:rPr>
          <w:rFonts w:eastAsiaTheme="majorEastAsia" w:cstheme="majorBidi"/>
          <w:sz w:val="26"/>
          <w:szCs w:val="26"/>
        </w:rPr>
        <w:t>and require th</w:t>
      </w:r>
      <w:r w:rsidR="00B27FB0">
        <w:rPr>
          <w:rFonts w:eastAsiaTheme="majorEastAsia" w:cstheme="majorBidi"/>
          <w:sz w:val="26"/>
          <w:szCs w:val="26"/>
        </w:rPr>
        <w:t>is in the final decision</w:t>
      </w:r>
      <w:r w:rsidRPr="73BF4038" w:rsidR="131EA296">
        <w:rPr>
          <w:rFonts w:eastAsiaTheme="majorEastAsia" w:cstheme="majorBidi"/>
          <w:sz w:val="26"/>
          <w:szCs w:val="26"/>
        </w:rPr>
        <w:t xml:space="preserve">, we do not order Staff to </w:t>
      </w:r>
      <w:r w:rsidRPr="73BF4038" w:rsidR="6B182BBC">
        <w:rPr>
          <w:rFonts w:eastAsiaTheme="majorEastAsia" w:cstheme="majorBidi"/>
          <w:sz w:val="26"/>
          <w:szCs w:val="26"/>
        </w:rPr>
        <w:t>establish a new complaint reporting system for this purpose.  Instead,</w:t>
      </w:r>
      <w:r w:rsidR="00934D2E">
        <w:rPr>
          <w:rFonts w:eastAsiaTheme="majorEastAsia" w:cstheme="majorBidi"/>
          <w:sz w:val="26"/>
          <w:szCs w:val="26"/>
        </w:rPr>
        <w:t xml:space="preserve"> we </w:t>
      </w:r>
      <w:r w:rsidRPr="007E1E8C" w:rsidR="00934D2E">
        <w:rPr>
          <w:rFonts w:eastAsiaTheme="majorEastAsia" w:cstheme="majorBidi"/>
          <w:sz w:val="26"/>
          <w:szCs w:val="26"/>
        </w:rPr>
        <w:t xml:space="preserve">provide the following information regarding the </w:t>
      </w:r>
      <w:r w:rsidRPr="007E1E8C" w:rsidR="6B182BBC">
        <w:rPr>
          <w:rFonts w:eastAsiaTheme="majorEastAsia" w:cstheme="majorBidi"/>
          <w:sz w:val="26"/>
          <w:szCs w:val="26"/>
        </w:rPr>
        <w:t>Commission’s existing Consumer A</w:t>
      </w:r>
      <w:r w:rsidRPr="007E1E8C" w:rsidR="00934D2E">
        <w:rPr>
          <w:rFonts w:eastAsiaTheme="majorEastAsia" w:cstheme="majorBidi"/>
          <w:sz w:val="26"/>
          <w:szCs w:val="26"/>
        </w:rPr>
        <w:t>ffairs</w:t>
      </w:r>
      <w:r w:rsidRPr="007E1E8C" w:rsidR="6B182BBC">
        <w:rPr>
          <w:rFonts w:eastAsiaTheme="majorEastAsia" w:cstheme="majorBidi"/>
          <w:sz w:val="26"/>
          <w:szCs w:val="26"/>
        </w:rPr>
        <w:t xml:space="preserve"> Branch</w:t>
      </w:r>
      <w:r w:rsidR="00B27FB0">
        <w:rPr>
          <w:rFonts w:eastAsiaTheme="majorEastAsia" w:cstheme="majorBidi"/>
          <w:sz w:val="26"/>
          <w:szCs w:val="26"/>
        </w:rPr>
        <w:t>.</w:t>
      </w:r>
    </w:p>
    <w:p w:rsidRPr="007E1E8C" w:rsidR="007E1E8C" w:rsidP="007E1E8C" w:rsidRDefault="007E1E8C" w14:paraId="45DD92C3" w14:textId="22D31195">
      <w:pPr>
        <w:pStyle w:val="Standard"/>
        <w:ind w:firstLine="720"/>
        <w:rPr>
          <w:rFonts w:eastAsiaTheme="majorEastAsia" w:cstheme="majorBidi"/>
          <w:sz w:val="26"/>
          <w:szCs w:val="26"/>
        </w:rPr>
      </w:pPr>
      <w:r w:rsidRPr="007E1E8C">
        <w:rPr>
          <w:rFonts w:eastAsiaTheme="majorEastAsia" w:cstheme="majorBidi"/>
          <w:sz w:val="26"/>
          <w:szCs w:val="26"/>
        </w:rPr>
        <w:t xml:space="preserve">Consumers can file complaints by phone or in writing with the Commission’s Consumer Affairs Branch.  To file a complaint via phone with </w:t>
      </w:r>
      <w:r w:rsidR="000C2131">
        <w:rPr>
          <w:rFonts w:eastAsiaTheme="majorEastAsia" w:cstheme="majorBidi"/>
          <w:sz w:val="26"/>
          <w:szCs w:val="26"/>
        </w:rPr>
        <w:t>the Commission’s Consumer Affairs Branch</w:t>
      </w:r>
      <w:r w:rsidRPr="007E1E8C">
        <w:rPr>
          <w:rFonts w:eastAsiaTheme="majorEastAsia" w:cstheme="majorBidi"/>
          <w:sz w:val="26"/>
          <w:szCs w:val="26"/>
        </w:rPr>
        <w:t xml:space="preserve">, consumers must call 1-800-649-7570 from Monday – Friday, 8:30 a.m.-4:30 p.m. Representatives are available to assist in the language of their choice. Representatives can answer questions and, </w:t>
      </w:r>
      <w:r w:rsidRPr="007E1E8C">
        <w:rPr>
          <w:rFonts w:eastAsiaTheme="majorEastAsia" w:cstheme="majorBidi"/>
          <w:sz w:val="26"/>
          <w:szCs w:val="26"/>
        </w:rPr>
        <w:lastRenderedPageBreak/>
        <w:t>depending on the issue can contact their utility provider directly to facilitate problem resolution. </w:t>
      </w:r>
    </w:p>
    <w:p w:rsidRPr="007E1E8C" w:rsidR="007E1E8C" w:rsidP="007E1E8C" w:rsidRDefault="007E1E8C" w14:paraId="6054278B" w14:textId="77777777">
      <w:pPr>
        <w:pStyle w:val="Standard"/>
        <w:ind w:firstLine="720"/>
        <w:rPr>
          <w:rFonts w:eastAsiaTheme="majorEastAsia" w:cstheme="majorBidi"/>
          <w:sz w:val="26"/>
          <w:szCs w:val="26"/>
        </w:rPr>
      </w:pPr>
      <w:r w:rsidRPr="007E1E8C">
        <w:rPr>
          <w:rFonts w:eastAsiaTheme="majorEastAsia" w:cstheme="majorBidi"/>
          <w:sz w:val="26"/>
          <w:szCs w:val="26"/>
        </w:rPr>
        <w:t xml:space="preserve">To file a </w:t>
      </w:r>
      <w:proofErr w:type="gramStart"/>
      <w:r w:rsidRPr="007E1E8C">
        <w:rPr>
          <w:rFonts w:eastAsiaTheme="majorEastAsia" w:cstheme="majorBidi"/>
          <w:sz w:val="26"/>
          <w:szCs w:val="26"/>
        </w:rPr>
        <w:t>complaint  in</w:t>
      </w:r>
      <w:proofErr w:type="gramEnd"/>
      <w:r w:rsidRPr="007E1E8C">
        <w:rPr>
          <w:rFonts w:eastAsiaTheme="majorEastAsia" w:cstheme="majorBidi"/>
          <w:sz w:val="26"/>
          <w:szCs w:val="26"/>
        </w:rPr>
        <w:t xml:space="preserve"> writing there are three options:</w:t>
      </w:r>
    </w:p>
    <w:p w:rsidRPr="007E1E8C" w:rsidR="007E1E8C" w:rsidP="00E32515" w:rsidRDefault="007E1E8C" w14:paraId="177DDE22" w14:textId="77777777">
      <w:pPr>
        <w:pStyle w:val="Standard"/>
        <w:numPr>
          <w:ilvl w:val="0"/>
          <w:numId w:val="48"/>
        </w:numPr>
        <w:spacing w:line="276" w:lineRule="auto"/>
        <w:rPr>
          <w:rFonts w:eastAsiaTheme="majorEastAsia" w:cstheme="majorBidi"/>
          <w:sz w:val="26"/>
          <w:szCs w:val="26"/>
        </w:rPr>
      </w:pPr>
      <w:r w:rsidRPr="007E1E8C">
        <w:rPr>
          <w:rFonts w:eastAsiaTheme="majorEastAsia" w:cstheme="majorBidi"/>
          <w:sz w:val="26"/>
          <w:szCs w:val="26"/>
        </w:rPr>
        <w:t xml:space="preserve">Online at: </w:t>
      </w:r>
      <w:hyperlink w:history="1" r:id="rId12">
        <w:r w:rsidRPr="007E1E8C">
          <w:rPr>
            <w:rStyle w:val="Hyperlink"/>
            <w:rFonts w:eastAsiaTheme="majorEastAsia" w:cstheme="majorBidi"/>
            <w:sz w:val="26"/>
            <w:szCs w:val="26"/>
          </w:rPr>
          <w:t>https://appsssl.cpuc.ca.gov/cpucapplication/</w:t>
        </w:r>
      </w:hyperlink>
      <w:r w:rsidRPr="007E1E8C">
        <w:rPr>
          <w:rFonts w:eastAsiaTheme="majorEastAsia" w:cstheme="majorBidi"/>
          <w:sz w:val="26"/>
          <w:szCs w:val="26"/>
        </w:rPr>
        <w:t xml:space="preserve"> </w:t>
      </w:r>
    </w:p>
    <w:p w:rsidRPr="007E1E8C" w:rsidR="007E1E8C" w:rsidP="00E32515" w:rsidRDefault="007E1E8C" w14:paraId="52BF81A3" w14:textId="77777777">
      <w:pPr>
        <w:pStyle w:val="Standard"/>
        <w:numPr>
          <w:ilvl w:val="0"/>
          <w:numId w:val="48"/>
        </w:numPr>
        <w:spacing w:line="276" w:lineRule="auto"/>
        <w:rPr>
          <w:rFonts w:eastAsiaTheme="majorEastAsia" w:cstheme="majorBidi"/>
          <w:sz w:val="26"/>
          <w:szCs w:val="26"/>
        </w:rPr>
      </w:pPr>
      <w:r w:rsidRPr="007E1E8C">
        <w:rPr>
          <w:rFonts w:eastAsiaTheme="majorEastAsia" w:cstheme="majorBidi"/>
          <w:sz w:val="26"/>
          <w:szCs w:val="26"/>
        </w:rPr>
        <w:t>By fax: 415-703-1158</w:t>
      </w:r>
    </w:p>
    <w:p w:rsidRPr="007E1E8C" w:rsidR="007E1E8C" w:rsidP="00E32515" w:rsidRDefault="007E1E8C" w14:paraId="17DD2867" w14:textId="77777777">
      <w:pPr>
        <w:pStyle w:val="Standard"/>
        <w:numPr>
          <w:ilvl w:val="0"/>
          <w:numId w:val="48"/>
        </w:numPr>
        <w:spacing w:line="276" w:lineRule="auto"/>
        <w:rPr>
          <w:rFonts w:eastAsiaTheme="majorEastAsia" w:cstheme="majorBidi"/>
          <w:sz w:val="26"/>
          <w:szCs w:val="26"/>
        </w:rPr>
      </w:pPr>
      <w:r w:rsidRPr="007E1E8C">
        <w:rPr>
          <w:rFonts w:eastAsiaTheme="majorEastAsia" w:cstheme="majorBidi"/>
          <w:sz w:val="26"/>
          <w:szCs w:val="26"/>
        </w:rPr>
        <w:t xml:space="preserve">Mail to: </w:t>
      </w:r>
    </w:p>
    <w:p w:rsidRPr="007E1E8C" w:rsidR="007E1E8C" w:rsidP="00E32515" w:rsidRDefault="007E1E8C" w14:paraId="1A63B742" w14:textId="77777777">
      <w:pPr>
        <w:pStyle w:val="Standard"/>
        <w:spacing w:line="276" w:lineRule="auto"/>
        <w:ind w:firstLine="720"/>
        <w:rPr>
          <w:rFonts w:eastAsiaTheme="majorEastAsia" w:cstheme="majorBidi"/>
          <w:sz w:val="26"/>
          <w:szCs w:val="26"/>
        </w:rPr>
      </w:pPr>
      <w:r w:rsidRPr="007E1E8C">
        <w:rPr>
          <w:rFonts w:eastAsiaTheme="majorEastAsia" w:cstheme="majorBidi"/>
          <w:sz w:val="26"/>
          <w:szCs w:val="26"/>
        </w:rPr>
        <w:t>California Public Utilities Commission</w:t>
      </w:r>
    </w:p>
    <w:p w:rsidRPr="007E1E8C" w:rsidR="007E1E8C" w:rsidP="00E32515" w:rsidRDefault="007E1E8C" w14:paraId="7E7A2F85" w14:textId="77777777">
      <w:pPr>
        <w:pStyle w:val="Standard"/>
        <w:spacing w:line="276" w:lineRule="auto"/>
        <w:ind w:firstLine="720"/>
        <w:rPr>
          <w:rFonts w:eastAsiaTheme="majorEastAsia" w:cstheme="majorBidi"/>
          <w:sz w:val="26"/>
          <w:szCs w:val="26"/>
        </w:rPr>
      </w:pPr>
      <w:r w:rsidRPr="007E1E8C">
        <w:rPr>
          <w:rFonts w:eastAsiaTheme="majorEastAsia" w:cstheme="majorBidi"/>
          <w:sz w:val="26"/>
          <w:szCs w:val="26"/>
        </w:rPr>
        <w:t>Consumer Affairs Branch</w:t>
      </w:r>
    </w:p>
    <w:p w:rsidRPr="007E1E8C" w:rsidR="007E1E8C" w:rsidP="00E32515" w:rsidRDefault="007E1E8C" w14:paraId="307E0BA3" w14:textId="77777777">
      <w:pPr>
        <w:pStyle w:val="Standard"/>
        <w:spacing w:line="276" w:lineRule="auto"/>
        <w:ind w:firstLine="720"/>
        <w:rPr>
          <w:rFonts w:eastAsiaTheme="majorEastAsia" w:cstheme="majorBidi"/>
          <w:sz w:val="26"/>
          <w:szCs w:val="26"/>
        </w:rPr>
      </w:pPr>
      <w:r w:rsidRPr="007E1E8C">
        <w:rPr>
          <w:rFonts w:eastAsiaTheme="majorEastAsia" w:cstheme="majorBidi"/>
          <w:sz w:val="26"/>
          <w:szCs w:val="26"/>
        </w:rPr>
        <w:t>505 Van Ness Avenue</w:t>
      </w:r>
    </w:p>
    <w:p w:rsidRPr="007E1E8C" w:rsidR="007E1E8C" w:rsidP="00E32515" w:rsidRDefault="007E1E8C" w14:paraId="52458648" w14:textId="1568444F">
      <w:pPr>
        <w:pStyle w:val="Standard"/>
        <w:spacing w:line="276" w:lineRule="auto"/>
        <w:ind w:firstLine="720"/>
        <w:rPr>
          <w:rFonts w:eastAsiaTheme="majorEastAsia" w:cstheme="majorBidi"/>
          <w:sz w:val="26"/>
          <w:szCs w:val="26"/>
        </w:rPr>
      </w:pPr>
      <w:r w:rsidRPr="007E1E8C">
        <w:rPr>
          <w:rFonts w:eastAsiaTheme="majorEastAsia" w:cstheme="majorBidi"/>
          <w:sz w:val="26"/>
          <w:szCs w:val="26"/>
        </w:rPr>
        <w:t>San Francisco, CA 94102-3298</w:t>
      </w:r>
    </w:p>
    <w:p w:rsidRPr="007E1E8C" w:rsidR="007E1E8C" w:rsidP="007E1E8C" w:rsidRDefault="007E1E8C" w14:paraId="503D4A80" w14:textId="77777777">
      <w:pPr>
        <w:pStyle w:val="Standard"/>
        <w:ind w:firstLine="720"/>
        <w:rPr>
          <w:rFonts w:eastAsiaTheme="majorEastAsia" w:cstheme="majorBidi"/>
          <w:sz w:val="26"/>
          <w:szCs w:val="26"/>
        </w:rPr>
      </w:pPr>
      <w:r w:rsidRPr="007E1E8C">
        <w:rPr>
          <w:rFonts w:eastAsiaTheme="majorEastAsia" w:cstheme="majorBidi"/>
          <w:sz w:val="26"/>
          <w:szCs w:val="26"/>
        </w:rPr>
        <w:t xml:space="preserve">Written complaints are evaluated and, if applicable, submitted to the utility as an Informal Complaint. For more information, please visit the CAB website at </w:t>
      </w:r>
      <w:hyperlink w:history="1" r:id="rId13">
        <w:r w:rsidRPr="007E1E8C">
          <w:rPr>
            <w:rStyle w:val="Hyperlink"/>
            <w:rFonts w:eastAsiaTheme="majorEastAsia" w:cstheme="majorBidi"/>
            <w:sz w:val="26"/>
            <w:szCs w:val="26"/>
          </w:rPr>
          <w:t>https://www.cpuc.ca.gov/about-cpuc/divisions/news-and-public-information-office/consumer-affairs-branch</w:t>
        </w:r>
      </w:hyperlink>
      <w:r w:rsidRPr="007E1E8C">
        <w:rPr>
          <w:rFonts w:eastAsiaTheme="majorEastAsia" w:cstheme="majorBidi"/>
          <w:sz w:val="26"/>
          <w:szCs w:val="26"/>
        </w:rPr>
        <w:t xml:space="preserve">. </w:t>
      </w:r>
    </w:p>
    <w:p w:rsidR="00594784" w:rsidP="73BF4038" w:rsidRDefault="00594784" w14:paraId="4F2B6B10" w14:textId="49FCAB37">
      <w:pPr>
        <w:pStyle w:val="Standard"/>
        <w:numPr>
          <w:ilvl w:val="0"/>
          <w:numId w:val="47"/>
        </w:numPr>
        <w:spacing w:line="240" w:lineRule="auto"/>
        <w:rPr>
          <w:rFonts w:eastAsiaTheme="majorEastAsia" w:cstheme="majorBidi"/>
          <w:sz w:val="26"/>
          <w:szCs w:val="26"/>
          <w:u w:val="single"/>
        </w:rPr>
      </w:pPr>
      <w:r>
        <w:rPr>
          <w:rFonts w:eastAsiaTheme="majorEastAsia" w:cstheme="majorBidi"/>
          <w:sz w:val="26"/>
          <w:szCs w:val="26"/>
          <w:u w:val="single"/>
        </w:rPr>
        <w:t xml:space="preserve">Claims that </w:t>
      </w:r>
      <w:r w:rsidR="003B235B">
        <w:rPr>
          <w:rFonts w:eastAsiaTheme="majorEastAsia" w:cstheme="majorBidi"/>
          <w:sz w:val="26"/>
          <w:szCs w:val="26"/>
          <w:u w:val="single"/>
        </w:rPr>
        <w:t>the Decision’s Ancillary Service Requirements for Jurisdictionally Mixed Services are Preempted by FCC Regulations</w:t>
      </w:r>
    </w:p>
    <w:p w:rsidRPr="00E20B10" w:rsidR="00845740" w:rsidP="00845740" w:rsidRDefault="00845740" w14:paraId="7836BB77" w14:textId="77777777">
      <w:pPr>
        <w:pStyle w:val="Standard"/>
        <w:rPr>
          <w:rFonts w:eastAsiaTheme="majorEastAsia" w:cstheme="majorBidi"/>
          <w:sz w:val="26"/>
          <w:szCs w:val="26"/>
          <w:u w:val="single"/>
        </w:rPr>
      </w:pPr>
    </w:p>
    <w:p w:rsidRPr="00E20B10" w:rsidR="00636C5B" w:rsidP="3934F952" w:rsidRDefault="00A72A44" w14:paraId="3221DD32" w14:textId="2AD25E4E">
      <w:pPr>
        <w:pStyle w:val="Standard"/>
        <w:ind w:firstLine="720"/>
        <w:rPr>
          <w:rFonts w:eastAsiaTheme="majorEastAsia" w:cstheme="majorBidi"/>
          <w:sz w:val="26"/>
          <w:szCs w:val="26"/>
        </w:rPr>
      </w:pPr>
      <w:r w:rsidRPr="3934F952">
        <w:rPr>
          <w:rFonts w:eastAsiaTheme="majorEastAsia" w:cstheme="majorBidi"/>
          <w:sz w:val="26"/>
          <w:szCs w:val="26"/>
        </w:rPr>
        <w:t xml:space="preserve">Securus claims that the decision’s </w:t>
      </w:r>
      <w:r w:rsidRPr="3934F952" w:rsidR="00DF08C4">
        <w:rPr>
          <w:rFonts w:eastAsiaTheme="majorEastAsia" w:cstheme="majorBidi"/>
          <w:sz w:val="26"/>
          <w:szCs w:val="26"/>
        </w:rPr>
        <w:t xml:space="preserve">prohibition of </w:t>
      </w:r>
      <w:r w:rsidRPr="3934F952" w:rsidR="00845740">
        <w:rPr>
          <w:rFonts w:eastAsiaTheme="majorEastAsia" w:cstheme="majorBidi"/>
          <w:sz w:val="26"/>
          <w:szCs w:val="26"/>
        </w:rPr>
        <w:t xml:space="preserve">most jurisdictionally mixed </w:t>
      </w:r>
      <w:r w:rsidRPr="3934F952" w:rsidR="00DF08C4">
        <w:rPr>
          <w:rFonts w:eastAsiaTheme="majorEastAsia" w:cstheme="majorBidi"/>
          <w:sz w:val="26"/>
          <w:szCs w:val="26"/>
        </w:rPr>
        <w:t>ancillary service fees conflicts with FCC</w:t>
      </w:r>
      <w:r w:rsidRPr="3934F952" w:rsidR="00845740">
        <w:rPr>
          <w:rFonts w:eastAsiaTheme="majorEastAsia" w:cstheme="majorBidi"/>
          <w:sz w:val="26"/>
          <w:szCs w:val="26"/>
        </w:rPr>
        <w:t xml:space="preserve"> </w:t>
      </w:r>
      <w:r w:rsidRPr="3934F952" w:rsidR="00DF08C4">
        <w:rPr>
          <w:rFonts w:eastAsiaTheme="majorEastAsia" w:cstheme="majorBidi"/>
          <w:sz w:val="26"/>
          <w:szCs w:val="26"/>
        </w:rPr>
        <w:t xml:space="preserve">requirement </w:t>
      </w:r>
      <w:r w:rsidRPr="3934F952" w:rsidR="00845740">
        <w:rPr>
          <w:rFonts w:eastAsiaTheme="majorEastAsia" w:cstheme="majorBidi"/>
          <w:sz w:val="26"/>
          <w:szCs w:val="26"/>
        </w:rPr>
        <w:t>in this area.</w:t>
      </w:r>
      <w:r w:rsidR="00DC6235">
        <w:rPr>
          <w:rStyle w:val="FootnoteReference"/>
          <w:rFonts w:eastAsiaTheme="majorEastAsia" w:cstheme="majorBidi"/>
          <w:sz w:val="26"/>
          <w:szCs w:val="26"/>
        </w:rPr>
        <w:footnoteReference w:id="277"/>
      </w:r>
      <w:r w:rsidRPr="3934F952" w:rsidR="00845740">
        <w:rPr>
          <w:rFonts w:eastAsiaTheme="majorEastAsia" w:cstheme="majorBidi"/>
          <w:sz w:val="26"/>
          <w:szCs w:val="26"/>
        </w:rPr>
        <w:t xml:space="preserve">  </w:t>
      </w:r>
      <w:r w:rsidRPr="3934F952" w:rsidR="00145B5B">
        <w:rPr>
          <w:rFonts w:eastAsiaTheme="majorEastAsia" w:cstheme="majorBidi"/>
          <w:sz w:val="26"/>
          <w:szCs w:val="26"/>
        </w:rPr>
        <w:t xml:space="preserve">This claim is without merit.  To advance its argument, Securus </w:t>
      </w:r>
      <w:r w:rsidRPr="3934F952" w:rsidR="00B26E17">
        <w:rPr>
          <w:rFonts w:eastAsiaTheme="majorEastAsia" w:cstheme="majorBidi"/>
          <w:sz w:val="26"/>
          <w:szCs w:val="26"/>
        </w:rPr>
        <w:t xml:space="preserve">first </w:t>
      </w:r>
      <w:r w:rsidRPr="3934F952" w:rsidR="00071A11">
        <w:rPr>
          <w:rFonts w:eastAsiaTheme="majorEastAsia" w:cstheme="majorBidi"/>
          <w:sz w:val="26"/>
          <w:szCs w:val="26"/>
        </w:rPr>
        <w:t xml:space="preserve">mischaracterizes </w:t>
      </w:r>
      <w:r w:rsidRPr="3934F952" w:rsidR="00303097">
        <w:rPr>
          <w:rFonts w:eastAsiaTheme="majorEastAsia" w:cstheme="majorBidi"/>
          <w:sz w:val="26"/>
          <w:szCs w:val="26"/>
        </w:rPr>
        <w:t xml:space="preserve">the FCC 2020 </w:t>
      </w:r>
      <w:r w:rsidRPr="00FD5770" w:rsidR="00303097">
        <w:rPr>
          <w:rFonts w:eastAsiaTheme="majorEastAsia" w:cstheme="majorBidi"/>
          <w:sz w:val="26"/>
          <w:szCs w:val="26"/>
        </w:rPr>
        <w:t>Order</w:t>
      </w:r>
      <w:r w:rsidRPr="3934F952" w:rsidR="00303097">
        <w:rPr>
          <w:rFonts w:eastAsiaTheme="majorEastAsia" w:cstheme="majorBidi"/>
          <w:sz w:val="26"/>
          <w:szCs w:val="26"/>
        </w:rPr>
        <w:t xml:space="preserve"> </w:t>
      </w:r>
      <w:r w:rsidRPr="3934F952" w:rsidR="009C56EC">
        <w:rPr>
          <w:rFonts w:eastAsiaTheme="majorEastAsia" w:cstheme="majorBidi"/>
          <w:sz w:val="26"/>
          <w:szCs w:val="26"/>
        </w:rPr>
        <w:t xml:space="preserve">and </w:t>
      </w:r>
      <w:r w:rsidRPr="3934F952" w:rsidR="00B26E17">
        <w:rPr>
          <w:rFonts w:eastAsiaTheme="majorEastAsia" w:cstheme="majorBidi"/>
          <w:sz w:val="26"/>
          <w:szCs w:val="26"/>
        </w:rPr>
        <w:t xml:space="preserve">then </w:t>
      </w:r>
      <w:r w:rsidRPr="3934F952" w:rsidR="009C56EC">
        <w:rPr>
          <w:rFonts w:eastAsiaTheme="majorEastAsia" w:cstheme="majorBidi"/>
          <w:sz w:val="26"/>
          <w:szCs w:val="26"/>
        </w:rPr>
        <w:t xml:space="preserve">fails to acknowledge the FCC </w:t>
      </w:r>
      <w:r w:rsidRPr="00FD5770" w:rsidR="009C56EC">
        <w:rPr>
          <w:rFonts w:eastAsiaTheme="majorEastAsia" w:cstheme="majorBidi"/>
          <w:sz w:val="26"/>
          <w:szCs w:val="26"/>
        </w:rPr>
        <w:t>Third Order</w:t>
      </w:r>
      <w:r w:rsidRPr="3934F952" w:rsidR="009C56EC">
        <w:rPr>
          <w:rFonts w:eastAsiaTheme="majorEastAsia" w:cstheme="majorBidi"/>
          <w:sz w:val="26"/>
          <w:szCs w:val="26"/>
        </w:rPr>
        <w:t xml:space="preserve">, which clarified parts of the FCC 2020 </w:t>
      </w:r>
      <w:r w:rsidRPr="00FD5770" w:rsidR="009C56EC">
        <w:rPr>
          <w:rFonts w:eastAsiaTheme="majorEastAsia" w:cstheme="majorBidi"/>
          <w:sz w:val="26"/>
          <w:szCs w:val="26"/>
        </w:rPr>
        <w:t>Order</w:t>
      </w:r>
      <w:r w:rsidRPr="3934F952" w:rsidR="009C56EC">
        <w:rPr>
          <w:rFonts w:eastAsiaTheme="majorEastAsia" w:cstheme="majorBidi"/>
          <w:sz w:val="26"/>
          <w:szCs w:val="26"/>
        </w:rPr>
        <w:t>.</w:t>
      </w:r>
      <w:r w:rsidRPr="00E20B10" w:rsidR="009C56EC">
        <w:rPr>
          <w:rStyle w:val="FootnoteReference"/>
          <w:rFonts w:eastAsiaTheme="majorEastAsia" w:cstheme="majorBidi"/>
          <w:sz w:val="26"/>
          <w:szCs w:val="26"/>
        </w:rPr>
        <w:footnoteReference w:id="278"/>
      </w:r>
      <w:r w:rsidRPr="3934F952" w:rsidR="009C56EC">
        <w:rPr>
          <w:rFonts w:eastAsiaTheme="majorEastAsia" w:cstheme="majorBidi"/>
          <w:sz w:val="26"/>
          <w:szCs w:val="26"/>
        </w:rPr>
        <w:t xml:space="preserve">  </w:t>
      </w:r>
    </w:p>
    <w:p w:rsidRPr="00E20B10" w:rsidR="00636C5B" w:rsidP="00845740" w:rsidRDefault="003C1A41" w14:paraId="7E2DAD2E" w14:textId="2734F978">
      <w:pPr>
        <w:pStyle w:val="Standard"/>
        <w:ind w:firstLine="720"/>
        <w:rPr>
          <w:rFonts w:eastAsiaTheme="majorEastAsia" w:cstheme="majorBidi"/>
          <w:sz w:val="26"/>
          <w:szCs w:val="26"/>
        </w:rPr>
      </w:pPr>
      <w:r>
        <w:rPr>
          <w:rFonts w:eastAsiaTheme="majorEastAsia" w:cstheme="majorBidi"/>
          <w:sz w:val="26"/>
          <w:szCs w:val="26"/>
        </w:rPr>
        <w:t xml:space="preserve">There is no question that most providers can easily identify the end points of </w:t>
      </w:r>
      <w:r w:rsidR="003D3094">
        <w:rPr>
          <w:rFonts w:eastAsiaTheme="majorEastAsia" w:cstheme="majorBidi"/>
          <w:sz w:val="26"/>
          <w:szCs w:val="26"/>
        </w:rPr>
        <w:t>call and thus a call’s jurisdiction</w:t>
      </w:r>
      <w:r w:rsidR="001F2EEC">
        <w:rPr>
          <w:rFonts w:eastAsiaTheme="majorEastAsia" w:cstheme="majorBidi"/>
          <w:sz w:val="26"/>
          <w:szCs w:val="26"/>
        </w:rPr>
        <w:t>al nature</w:t>
      </w:r>
      <w:r w:rsidR="003D3094">
        <w:rPr>
          <w:rFonts w:eastAsiaTheme="majorEastAsia" w:cstheme="majorBidi"/>
          <w:sz w:val="26"/>
          <w:szCs w:val="26"/>
        </w:rPr>
        <w:t>, a</w:t>
      </w:r>
      <w:r w:rsidRPr="00E20B10" w:rsidR="00636C5B">
        <w:rPr>
          <w:rFonts w:eastAsiaTheme="majorEastAsia" w:cstheme="majorBidi"/>
          <w:sz w:val="26"/>
          <w:szCs w:val="26"/>
        </w:rPr>
        <w:t xml:space="preserve">s discussed </w:t>
      </w:r>
      <w:r w:rsidR="001F2EEC">
        <w:rPr>
          <w:rFonts w:eastAsiaTheme="majorEastAsia" w:cstheme="majorBidi"/>
          <w:sz w:val="26"/>
          <w:szCs w:val="26"/>
        </w:rPr>
        <w:t xml:space="preserve">in </w:t>
      </w:r>
      <w:r w:rsidRPr="00E20B10" w:rsidR="00636C5B">
        <w:rPr>
          <w:rFonts w:eastAsiaTheme="majorEastAsia" w:cstheme="majorBidi"/>
          <w:sz w:val="26"/>
          <w:szCs w:val="26"/>
        </w:rPr>
        <w:t xml:space="preserve">the FCC 2020 Order: </w:t>
      </w:r>
    </w:p>
    <w:p w:rsidRPr="00E20B10" w:rsidR="001D444B" w:rsidP="001F2EEC" w:rsidRDefault="00761706" w14:paraId="5085E87B" w14:textId="6AFDFD8B">
      <w:pPr>
        <w:pStyle w:val="BlockQuote"/>
        <w:spacing w:line="240" w:lineRule="auto"/>
        <w:rPr>
          <w:rFonts w:eastAsiaTheme="majorEastAsia"/>
          <w:sz w:val="26"/>
          <w:szCs w:val="26"/>
        </w:rPr>
      </w:pPr>
      <w:r w:rsidRPr="00E20B10">
        <w:rPr>
          <w:rFonts w:eastAsiaTheme="majorEastAsia"/>
          <w:sz w:val="26"/>
          <w:szCs w:val="26"/>
        </w:rPr>
        <w:t xml:space="preserve">… </w:t>
      </w:r>
      <w:r w:rsidRPr="00E20B10" w:rsidR="00387124">
        <w:rPr>
          <w:rFonts w:eastAsiaTheme="majorEastAsia"/>
          <w:sz w:val="26"/>
          <w:szCs w:val="26"/>
        </w:rPr>
        <w:t xml:space="preserve">GTL argues that the “jurisdictional nature of calls themselves is easily classified as either interstate or intrastate based on the call’s points of origin and termination,”[footnote omitted] and Securus </w:t>
      </w:r>
      <w:r w:rsidRPr="00E20B10" w:rsidR="00387124">
        <w:rPr>
          <w:rFonts w:eastAsiaTheme="majorEastAsia"/>
          <w:sz w:val="26"/>
          <w:szCs w:val="26"/>
        </w:rPr>
        <w:lastRenderedPageBreak/>
        <w:t>asserts that an inmate calling services provider knows the jurisdiction of a call because it is “from a known originating telephone number to a single, known terminating number.”[footnote omitted]</w:t>
      </w:r>
      <w:r w:rsidRPr="00E20B10">
        <w:rPr>
          <w:rStyle w:val="FootnoteReference"/>
          <w:rFonts w:eastAsiaTheme="majorEastAsia"/>
          <w:sz w:val="26"/>
          <w:szCs w:val="26"/>
        </w:rPr>
        <w:footnoteReference w:id="279"/>
      </w:r>
      <w:r w:rsidR="001F2EEC">
        <w:rPr>
          <w:rFonts w:eastAsiaTheme="majorEastAsia"/>
          <w:sz w:val="26"/>
          <w:szCs w:val="26"/>
        </w:rPr>
        <w:t xml:space="preserve">  [and]</w:t>
      </w:r>
      <w:r w:rsidRPr="00E20B10" w:rsidR="001D444B">
        <w:rPr>
          <w:rFonts w:eastAsiaTheme="majorEastAsia"/>
          <w:sz w:val="26"/>
          <w:szCs w:val="26"/>
        </w:rPr>
        <w:t>… As Securus points out, “wireless carriers can determine the locations of their customers at the time of each call, so it is possible to establish the jurisdiction of each individual call.”</w:t>
      </w:r>
      <w:r w:rsidRPr="00E20B10" w:rsidR="001D444B">
        <w:rPr>
          <w:rStyle w:val="FootnoteReference"/>
          <w:rFonts w:eastAsiaTheme="majorEastAsia"/>
          <w:sz w:val="26"/>
          <w:szCs w:val="26"/>
        </w:rPr>
        <w:footnoteReference w:id="280"/>
      </w:r>
    </w:p>
    <w:p w:rsidRPr="00E20B10" w:rsidR="00761706" w:rsidP="00761706" w:rsidRDefault="00761706" w14:paraId="7A8487CC" w14:textId="61860269">
      <w:pPr>
        <w:pStyle w:val="Standard"/>
        <w:rPr>
          <w:rFonts w:eastAsiaTheme="majorEastAsia"/>
          <w:sz w:val="26"/>
          <w:szCs w:val="26"/>
        </w:rPr>
      </w:pPr>
      <w:r w:rsidRPr="00E20B10">
        <w:rPr>
          <w:rFonts w:eastAsiaTheme="majorEastAsia"/>
          <w:sz w:val="26"/>
          <w:szCs w:val="26"/>
        </w:rPr>
        <w:tab/>
      </w:r>
      <w:r w:rsidR="003D3094">
        <w:rPr>
          <w:rFonts w:eastAsiaTheme="majorEastAsia"/>
          <w:sz w:val="26"/>
          <w:szCs w:val="26"/>
        </w:rPr>
        <w:t xml:space="preserve">However, </w:t>
      </w:r>
      <w:r w:rsidR="0014106A">
        <w:rPr>
          <w:rFonts w:eastAsiaTheme="majorEastAsia"/>
          <w:sz w:val="26"/>
          <w:szCs w:val="26"/>
        </w:rPr>
        <w:t xml:space="preserve">in the rare cases </w:t>
      </w:r>
      <w:r w:rsidR="003D3094">
        <w:rPr>
          <w:rFonts w:eastAsiaTheme="majorEastAsia"/>
          <w:sz w:val="26"/>
          <w:szCs w:val="26"/>
        </w:rPr>
        <w:t xml:space="preserve">when </w:t>
      </w:r>
      <w:r w:rsidRPr="00E20B10" w:rsidR="00935B30">
        <w:rPr>
          <w:rFonts w:eastAsiaTheme="majorEastAsia"/>
          <w:sz w:val="26"/>
          <w:szCs w:val="26"/>
        </w:rPr>
        <w:t>a provider cannot</w:t>
      </w:r>
      <w:r w:rsidR="0014106A">
        <w:rPr>
          <w:rFonts w:eastAsiaTheme="majorEastAsia"/>
          <w:sz w:val="26"/>
          <w:szCs w:val="26"/>
        </w:rPr>
        <w:t xml:space="preserve"> definitively determine the end points of a call</w:t>
      </w:r>
      <w:r w:rsidRPr="00E20B10" w:rsidR="00935B30">
        <w:rPr>
          <w:rFonts w:eastAsiaTheme="majorEastAsia"/>
          <w:sz w:val="26"/>
          <w:szCs w:val="26"/>
        </w:rPr>
        <w:t xml:space="preserve">, the FCC </w:t>
      </w:r>
      <w:r w:rsidR="001F2EEC">
        <w:rPr>
          <w:rFonts w:eastAsiaTheme="majorEastAsia"/>
          <w:sz w:val="26"/>
          <w:szCs w:val="26"/>
        </w:rPr>
        <w:t xml:space="preserve">2020 </w:t>
      </w:r>
      <w:r w:rsidRPr="00FD5770" w:rsidR="001F2EEC">
        <w:rPr>
          <w:rFonts w:eastAsiaTheme="majorEastAsia"/>
          <w:sz w:val="26"/>
          <w:szCs w:val="26"/>
        </w:rPr>
        <w:t>Order</w:t>
      </w:r>
      <w:r w:rsidR="001F2EEC">
        <w:rPr>
          <w:rFonts w:eastAsiaTheme="majorEastAsia"/>
          <w:sz w:val="26"/>
          <w:szCs w:val="26"/>
        </w:rPr>
        <w:t xml:space="preserve"> </w:t>
      </w:r>
      <w:r w:rsidRPr="00E20B10" w:rsidR="00D44510">
        <w:rPr>
          <w:rFonts w:eastAsiaTheme="majorEastAsia"/>
          <w:sz w:val="26"/>
          <w:szCs w:val="26"/>
        </w:rPr>
        <w:t>clarifie</w:t>
      </w:r>
      <w:r w:rsidR="005B59EB">
        <w:rPr>
          <w:rFonts w:eastAsiaTheme="majorEastAsia"/>
          <w:sz w:val="26"/>
          <w:szCs w:val="26"/>
        </w:rPr>
        <w:t xml:space="preserve">s </w:t>
      </w:r>
      <w:r w:rsidRPr="00E20B10" w:rsidR="00935B30">
        <w:rPr>
          <w:rFonts w:eastAsiaTheme="majorEastAsia"/>
          <w:sz w:val="26"/>
          <w:szCs w:val="26"/>
        </w:rPr>
        <w:t>t</w:t>
      </w:r>
      <w:r w:rsidRPr="00E20B10" w:rsidR="00D44510">
        <w:rPr>
          <w:rFonts w:eastAsiaTheme="majorEastAsia"/>
          <w:sz w:val="26"/>
          <w:szCs w:val="26"/>
        </w:rPr>
        <w:t>h</w:t>
      </w:r>
      <w:r w:rsidRPr="00E20B10" w:rsidR="00935B30">
        <w:rPr>
          <w:rFonts w:eastAsiaTheme="majorEastAsia"/>
          <w:sz w:val="26"/>
          <w:szCs w:val="26"/>
        </w:rPr>
        <w:t>at th</w:t>
      </w:r>
      <w:r w:rsidR="001F2EEC">
        <w:rPr>
          <w:rFonts w:eastAsiaTheme="majorEastAsia"/>
          <w:sz w:val="26"/>
          <w:szCs w:val="26"/>
        </w:rPr>
        <w:t>e</w:t>
      </w:r>
      <w:r w:rsidRPr="00E20B10" w:rsidR="00935B30">
        <w:rPr>
          <w:rFonts w:eastAsiaTheme="majorEastAsia"/>
          <w:sz w:val="26"/>
          <w:szCs w:val="26"/>
        </w:rPr>
        <w:t xml:space="preserve"> provider should treat the call as jurisdictionally mixed and thus subject to the FCC’s ancillary service requirements adopted for interstate calls at that time.  </w:t>
      </w:r>
      <w:r w:rsidR="0014106A">
        <w:rPr>
          <w:rFonts w:eastAsiaTheme="majorEastAsia"/>
          <w:sz w:val="26"/>
          <w:szCs w:val="26"/>
        </w:rPr>
        <w:t>Notably, t</w:t>
      </w:r>
      <w:r w:rsidRPr="00E20B10" w:rsidR="00AC204B">
        <w:rPr>
          <w:rFonts w:eastAsiaTheme="majorEastAsia"/>
          <w:sz w:val="26"/>
          <w:szCs w:val="26"/>
        </w:rPr>
        <w:t xml:space="preserve">he FCC </w:t>
      </w:r>
      <w:r w:rsidR="0014106A">
        <w:rPr>
          <w:rFonts w:eastAsiaTheme="majorEastAsia"/>
          <w:sz w:val="26"/>
          <w:szCs w:val="26"/>
        </w:rPr>
        <w:t>provide</w:t>
      </w:r>
      <w:r w:rsidR="005B59EB">
        <w:rPr>
          <w:rFonts w:eastAsiaTheme="majorEastAsia"/>
          <w:sz w:val="26"/>
          <w:szCs w:val="26"/>
        </w:rPr>
        <w:t>s</w:t>
      </w:r>
      <w:r w:rsidR="0014106A">
        <w:rPr>
          <w:rFonts w:eastAsiaTheme="majorEastAsia"/>
          <w:sz w:val="26"/>
          <w:szCs w:val="26"/>
        </w:rPr>
        <w:t xml:space="preserve"> this clarification </w:t>
      </w:r>
      <w:r w:rsidRPr="00E20B10" w:rsidR="005E0666">
        <w:rPr>
          <w:rFonts w:eastAsiaTheme="majorEastAsia"/>
          <w:sz w:val="26"/>
          <w:szCs w:val="26"/>
        </w:rPr>
        <w:t xml:space="preserve">out of a general </w:t>
      </w:r>
      <w:r w:rsidRPr="00E20B10" w:rsidR="00AC204B">
        <w:rPr>
          <w:rFonts w:eastAsiaTheme="majorEastAsia"/>
          <w:sz w:val="26"/>
          <w:szCs w:val="26"/>
        </w:rPr>
        <w:t xml:space="preserve">concern for “attempts to </w:t>
      </w:r>
      <w:r w:rsidRPr="00E20B10" w:rsidR="00D44510">
        <w:rPr>
          <w:rFonts w:eastAsiaTheme="majorEastAsia"/>
          <w:sz w:val="26"/>
          <w:szCs w:val="26"/>
        </w:rPr>
        <w:t>exploit the dual regulatory environment and evade our rules.”</w:t>
      </w:r>
      <w:r w:rsidRPr="00E20B10" w:rsidR="00D44510">
        <w:rPr>
          <w:rStyle w:val="FootnoteReference"/>
          <w:rFonts w:eastAsiaTheme="majorEastAsia"/>
          <w:sz w:val="26"/>
          <w:szCs w:val="26"/>
        </w:rPr>
        <w:footnoteReference w:id="281"/>
      </w:r>
      <w:r w:rsidRPr="00E20B10" w:rsidR="00AC204B">
        <w:rPr>
          <w:rFonts w:eastAsiaTheme="majorEastAsia"/>
          <w:sz w:val="26"/>
          <w:szCs w:val="26"/>
        </w:rPr>
        <w:t xml:space="preserve"> </w:t>
      </w:r>
      <w:r w:rsidRPr="00E20B10" w:rsidR="005E0666">
        <w:rPr>
          <w:rFonts w:eastAsiaTheme="majorEastAsia"/>
          <w:sz w:val="26"/>
          <w:szCs w:val="26"/>
        </w:rPr>
        <w:t xml:space="preserve"> </w:t>
      </w:r>
    </w:p>
    <w:p w:rsidR="00636C5B" w:rsidP="3934F952" w:rsidRDefault="00FB2DA1" w14:paraId="0F7E278E" w14:textId="63CE282A">
      <w:pPr>
        <w:pStyle w:val="Standard"/>
        <w:ind w:firstLine="720"/>
        <w:rPr>
          <w:rFonts w:eastAsiaTheme="majorEastAsia" w:cstheme="majorBidi"/>
          <w:sz w:val="26"/>
          <w:szCs w:val="26"/>
        </w:rPr>
      </w:pPr>
      <w:r w:rsidRPr="3934F952">
        <w:rPr>
          <w:rFonts w:eastAsiaTheme="majorEastAsia" w:cstheme="majorBidi"/>
          <w:sz w:val="26"/>
          <w:szCs w:val="26"/>
        </w:rPr>
        <w:t xml:space="preserve">As discussed in section </w:t>
      </w:r>
      <w:r w:rsidRPr="3934F952" w:rsidR="0043577F">
        <w:rPr>
          <w:rFonts w:eastAsiaTheme="majorEastAsia" w:cstheme="majorBidi"/>
          <w:sz w:val="26"/>
          <w:szCs w:val="26"/>
        </w:rPr>
        <w:t>7.4</w:t>
      </w:r>
      <w:r w:rsidRPr="3934F952">
        <w:rPr>
          <w:rFonts w:eastAsiaTheme="majorEastAsia" w:cstheme="majorBidi"/>
          <w:sz w:val="26"/>
          <w:szCs w:val="26"/>
        </w:rPr>
        <w:t xml:space="preserve">, </w:t>
      </w:r>
      <w:r w:rsidRPr="3934F952" w:rsidR="0014106A">
        <w:rPr>
          <w:rFonts w:eastAsiaTheme="majorEastAsia" w:cstheme="majorBidi"/>
          <w:sz w:val="26"/>
          <w:szCs w:val="26"/>
        </w:rPr>
        <w:t xml:space="preserve">however, </w:t>
      </w:r>
      <w:r w:rsidRPr="3934F952">
        <w:rPr>
          <w:rFonts w:eastAsiaTheme="majorEastAsia" w:cstheme="majorBidi"/>
          <w:sz w:val="26"/>
          <w:szCs w:val="26"/>
        </w:rPr>
        <w:t>i</w:t>
      </w:r>
      <w:r w:rsidRPr="3934F952" w:rsidR="005E0666">
        <w:rPr>
          <w:rFonts w:eastAsiaTheme="majorEastAsia" w:cstheme="majorBidi"/>
          <w:sz w:val="26"/>
          <w:szCs w:val="26"/>
        </w:rPr>
        <w:t xml:space="preserve">n </w:t>
      </w:r>
      <w:r w:rsidRPr="3934F952">
        <w:rPr>
          <w:rFonts w:eastAsiaTheme="majorEastAsia" w:cstheme="majorBidi"/>
          <w:sz w:val="26"/>
          <w:szCs w:val="26"/>
        </w:rPr>
        <w:t xml:space="preserve">the </w:t>
      </w:r>
      <w:r w:rsidRPr="3934F952" w:rsidR="005E0666">
        <w:rPr>
          <w:rFonts w:eastAsiaTheme="majorEastAsia" w:cstheme="majorBidi"/>
          <w:sz w:val="26"/>
          <w:szCs w:val="26"/>
        </w:rPr>
        <w:t xml:space="preserve">2021 FCC </w:t>
      </w:r>
      <w:r w:rsidRPr="00FD5770" w:rsidR="005E0666">
        <w:rPr>
          <w:rFonts w:eastAsiaTheme="majorEastAsia" w:cstheme="majorBidi"/>
          <w:sz w:val="26"/>
          <w:szCs w:val="26"/>
        </w:rPr>
        <w:t>Third Order</w:t>
      </w:r>
      <w:r w:rsidRPr="3934F952" w:rsidR="005E0666">
        <w:rPr>
          <w:rFonts w:eastAsiaTheme="majorEastAsia" w:cstheme="majorBidi"/>
          <w:sz w:val="26"/>
          <w:szCs w:val="26"/>
        </w:rPr>
        <w:t>, the FCC</w:t>
      </w:r>
      <w:r w:rsidRPr="3934F952">
        <w:rPr>
          <w:rFonts w:eastAsiaTheme="majorEastAsia" w:cstheme="majorBidi"/>
          <w:sz w:val="26"/>
          <w:szCs w:val="26"/>
        </w:rPr>
        <w:t xml:space="preserve"> definitively states that for “jurisdictionally mixed” services where it is impossible or impractical to separate the service’s intrastate from interstate components, state law or requirements that impose fees lower than the FCC are “specifically not preempted by [FCC] actions.”</w:t>
      </w:r>
      <w:r w:rsidRPr="00FB2DA1">
        <w:rPr>
          <w:rFonts w:eastAsiaTheme="majorEastAsia" w:cstheme="majorBidi"/>
          <w:sz w:val="26"/>
          <w:szCs w:val="26"/>
          <w:vertAlign w:val="superscript"/>
        </w:rPr>
        <w:footnoteReference w:id="282"/>
      </w:r>
      <w:r w:rsidRPr="3934F952">
        <w:rPr>
          <w:rFonts w:eastAsiaTheme="majorEastAsia" w:cstheme="majorBidi"/>
          <w:sz w:val="26"/>
          <w:szCs w:val="26"/>
        </w:rPr>
        <w:t xml:space="preserve"> </w:t>
      </w:r>
      <w:r w:rsidRPr="3934F952" w:rsidR="003401D2">
        <w:rPr>
          <w:rFonts w:eastAsiaTheme="majorEastAsia" w:cstheme="majorBidi"/>
          <w:sz w:val="26"/>
          <w:szCs w:val="26"/>
        </w:rPr>
        <w:t xml:space="preserve"> Thus, when </w:t>
      </w:r>
      <w:r w:rsidRPr="3934F952" w:rsidR="003E2296">
        <w:rPr>
          <w:rFonts w:eastAsiaTheme="majorEastAsia" w:cstheme="majorBidi"/>
          <w:sz w:val="26"/>
          <w:szCs w:val="26"/>
        </w:rPr>
        <w:t xml:space="preserve">the end-points of a call cannot be definitely determined, the call should be classified as jurisdictionally mixed, </w:t>
      </w:r>
      <w:r w:rsidRPr="3934F952" w:rsidR="00001850">
        <w:rPr>
          <w:rFonts w:eastAsiaTheme="majorEastAsia" w:cstheme="majorBidi"/>
          <w:sz w:val="26"/>
          <w:szCs w:val="26"/>
        </w:rPr>
        <w:t xml:space="preserve">and </w:t>
      </w:r>
      <w:r w:rsidRPr="3934F952" w:rsidR="0055147B">
        <w:rPr>
          <w:rFonts w:eastAsiaTheme="majorEastAsia" w:cstheme="majorBidi"/>
          <w:sz w:val="26"/>
          <w:szCs w:val="26"/>
        </w:rPr>
        <w:t xml:space="preserve">the </w:t>
      </w:r>
      <w:r w:rsidRPr="3934F952" w:rsidR="003E2296">
        <w:rPr>
          <w:rFonts w:eastAsiaTheme="majorEastAsia" w:cstheme="majorBidi"/>
          <w:sz w:val="26"/>
          <w:szCs w:val="26"/>
        </w:rPr>
        <w:t xml:space="preserve">adopted ancillary service fee requirements </w:t>
      </w:r>
      <w:r w:rsidRPr="3934F952" w:rsidR="0055147B">
        <w:rPr>
          <w:rFonts w:eastAsiaTheme="majorEastAsia" w:cstheme="majorBidi"/>
          <w:sz w:val="26"/>
          <w:szCs w:val="26"/>
        </w:rPr>
        <w:t xml:space="preserve">adopted here </w:t>
      </w:r>
      <w:r w:rsidRPr="3934F952" w:rsidR="00001850">
        <w:rPr>
          <w:rFonts w:eastAsiaTheme="majorEastAsia" w:cstheme="majorBidi"/>
          <w:sz w:val="26"/>
          <w:szCs w:val="26"/>
        </w:rPr>
        <w:t>appl</w:t>
      </w:r>
      <w:r w:rsidR="002B5341">
        <w:rPr>
          <w:rFonts w:eastAsiaTheme="majorEastAsia" w:cstheme="majorBidi"/>
          <w:sz w:val="26"/>
          <w:szCs w:val="26"/>
        </w:rPr>
        <w:t>y</w:t>
      </w:r>
      <w:r w:rsidRPr="3934F952" w:rsidR="00001850">
        <w:rPr>
          <w:rFonts w:eastAsiaTheme="majorEastAsia" w:cstheme="majorBidi"/>
          <w:sz w:val="26"/>
          <w:szCs w:val="26"/>
        </w:rPr>
        <w:t>.</w:t>
      </w:r>
      <w:r w:rsidRPr="3934F952" w:rsidR="003E2296">
        <w:rPr>
          <w:rFonts w:eastAsiaTheme="majorEastAsia" w:cstheme="majorBidi"/>
          <w:sz w:val="26"/>
          <w:szCs w:val="26"/>
        </w:rPr>
        <w:t xml:space="preserve"> </w:t>
      </w:r>
      <w:r w:rsidRPr="3934F952" w:rsidR="78A120EC">
        <w:rPr>
          <w:rFonts w:eastAsiaTheme="majorEastAsia" w:cstheme="majorBidi"/>
          <w:sz w:val="26"/>
          <w:szCs w:val="26"/>
        </w:rPr>
        <w:t xml:space="preserve"> The FCC</w:t>
      </w:r>
      <w:r w:rsidR="003363D9">
        <w:rPr>
          <w:rFonts w:eastAsiaTheme="majorEastAsia" w:cstheme="majorBidi"/>
          <w:sz w:val="26"/>
          <w:szCs w:val="26"/>
        </w:rPr>
        <w:t xml:space="preserve"> </w:t>
      </w:r>
      <w:r w:rsidRPr="00FD5770" w:rsidR="78A120EC">
        <w:rPr>
          <w:rFonts w:eastAsiaTheme="majorEastAsia" w:cstheme="majorBidi"/>
          <w:sz w:val="26"/>
          <w:szCs w:val="26"/>
        </w:rPr>
        <w:t>Third Order</w:t>
      </w:r>
      <w:r w:rsidRPr="3934F952" w:rsidR="78A120EC">
        <w:rPr>
          <w:rFonts w:eastAsiaTheme="majorEastAsia" w:cstheme="majorBidi"/>
          <w:sz w:val="26"/>
          <w:szCs w:val="26"/>
        </w:rPr>
        <w:t xml:space="preserve"> does not preempt the restrictions we adopt </w:t>
      </w:r>
      <w:r w:rsidR="003363D9">
        <w:rPr>
          <w:rFonts w:eastAsiaTheme="majorEastAsia" w:cstheme="majorBidi"/>
          <w:sz w:val="26"/>
          <w:szCs w:val="26"/>
        </w:rPr>
        <w:t xml:space="preserve">here </w:t>
      </w:r>
      <w:r w:rsidRPr="3934F952" w:rsidR="78A120EC">
        <w:rPr>
          <w:rFonts w:eastAsiaTheme="majorEastAsia" w:cstheme="majorBidi"/>
          <w:sz w:val="26"/>
          <w:szCs w:val="26"/>
        </w:rPr>
        <w:t>for jurisdictionally mixed ancillary charges.</w:t>
      </w:r>
    </w:p>
    <w:p w:rsidRPr="00F21F28" w:rsidR="00F21F28" w:rsidP="73BF4038" w:rsidRDefault="3531E91C" w14:paraId="0F24CA6C" w14:textId="6556D4B7">
      <w:pPr>
        <w:pStyle w:val="Standard"/>
        <w:numPr>
          <w:ilvl w:val="0"/>
          <w:numId w:val="47"/>
        </w:numPr>
        <w:spacing w:line="240" w:lineRule="auto"/>
        <w:rPr>
          <w:rFonts w:eastAsiaTheme="majorEastAsia" w:cstheme="majorBidi"/>
          <w:sz w:val="26"/>
          <w:szCs w:val="26"/>
          <w:u w:val="single"/>
        </w:rPr>
      </w:pPr>
      <w:r w:rsidRPr="73BF4038">
        <w:rPr>
          <w:rFonts w:eastAsiaTheme="majorEastAsia" w:cstheme="majorBidi"/>
          <w:sz w:val="26"/>
          <w:szCs w:val="26"/>
          <w:u w:val="single"/>
        </w:rPr>
        <w:t>Commitment to Address Video Services in Phase II</w:t>
      </w:r>
    </w:p>
    <w:p w:rsidR="222DBE68" w:rsidP="222DBE68" w:rsidRDefault="222DBE68" w14:paraId="4271C15A" w14:textId="75B0CEFB">
      <w:pPr>
        <w:pStyle w:val="Standard"/>
        <w:spacing w:line="240" w:lineRule="auto"/>
        <w:ind w:left="360"/>
        <w:rPr>
          <w:rFonts w:eastAsiaTheme="majorEastAsia" w:cstheme="majorBidi"/>
          <w:sz w:val="26"/>
          <w:szCs w:val="26"/>
        </w:rPr>
      </w:pPr>
    </w:p>
    <w:p w:rsidR="00DE5110" w:rsidP="3934F952" w:rsidRDefault="00424549" w14:paraId="001937A2" w14:textId="0DB8E866">
      <w:pPr>
        <w:pStyle w:val="Standard"/>
        <w:ind w:firstLine="720"/>
        <w:rPr>
          <w:rFonts w:eastAsiaTheme="majorEastAsia" w:cstheme="majorBidi"/>
          <w:sz w:val="26"/>
          <w:szCs w:val="26"/>
        </w:rPr>
      </w:pPr>
      <w:r w:rsidRPr="3934F952">
        <w:rPr>
          <w:rFonts w:eastAsiaTheme="majorEastAsia" w:cstheme="majorBidi"/>
          <w:sz w:val="26"/>
          <w:szCs w:val="26"/>
        </w:rPr>
        <w:t xml:space="preserve">TURN and Cal Advocates </w:t>
      </w:r>
      <w:r w:rsidRPr="3934F952" w:rsidR="1F5037B5">
        <w:rPr>
          <w:rFonts w:eastAsiaTheme="majorEastAsia" w:cstheme="majorBidi"/>
          <w:sz w:val="26"/>
          <w:szCs w:val="26"/>
        </w:rPr>
        <w:t>request that the Commission state</w:t>
      </w:r>
      <w:r w:rsidR="004A1A63">
        <w:rPr>
          <w:rFonts w:eastAsiaTheme="majorEastAsia" w:cstheme="majorBidi"/>
          <w:sz w:val="26"/>
          <w:szCs w:val="26"/>
        </w:rPr>
        <w:t xml:space="preserve"> our</w:t>
      </w:r>
      <w:r w:rsidRPr="3934F952" w:rsidR="1F5037B5">
        <w:rPr>
          <w:rFonts w:eastAsiaTheme="majorEastAsia" w:cstheme="majorBidi"/>
          <w:sz w:val="26"/>
          <w:szCs w:val="26"/>
        </w:rPr>
        <w:t xml:space="preserve"> commitment to address video services </w:t>
      </w:r>
      <w:r w:rsidR="004A1A63">
        <w:rPr>
          <w:rFonts w:eastAsiaTheme="majorEastAsia" w:cstheme="majorBidi"/>
          <w:sz w:val="26"/>
          <w:szCs w:val="26"/>
        </w:rPr>
        <w:t>for</w:t>
      </w:r>
      <w:r w:rsidRPr="3934F952" w:rsidR="1F5037B5">
        <w:rPr>
          <w:rFonts w:eastAsiaTheme="majorEastAsia" w:cstheme="majorBidi"/>
          <w:sz w:val="26"/>
          <w:szCs w:val="26"/>
        </w:rPr>
        <w:t xml:space="preserve"> incarcerated persons in Phase II of this proceeding. </w:t>
      </w:r>
      <w:r w:rsidRPr="3934F952" w:rsidR="30F09B7E">
        <w:rPr>
          <w:rFonts w:eastAsiaTheme="majorEastAsia" w:cstheme="majorBidi"/>
          <w:sz w:val="26"/>
          <w:szCs w:val="26"/>
        </w:rPr>
        <w:t xml:space="preserve"> </w:t>
      </w:r>
      <w:r w:rsidRPr="3934F952" w:rsidR="1F5037B5">
        <w:rPr>
          <w:rFonts w:eastAsiaTheme="majorEastAsia" w:cstheme="majorBidi"/>
          <w:sz w:val="26"/>
          <w:szCs w:val="26"/>
        </w:rPr>
        <w:t xml:space="preserve">We intend to </w:t>
      </w:r>
      <w:r w:rsidRPr="3934F952" w:rsidR="3A6AC4A6">
        <w:rPr>
          <w:rFonts w:eastAsiaTheme="majorEastAsia" w:cstheme="majorBidi"/>
          <w:sz w:val="26"/>
          <w:szCs w:val="26"/>
        </w:rPr>
        <w:t>review</w:t>
      </w:r>
      <w:r w:rsidRPr="3934F952" w:rsidR="1F5037B5">
        <w:rPr>
          <w:rFonts w:eastAsiaTheme="majorEastAsia" w:cstheme="majorBidi"/>
          <w:sz w:val="26"/>
          <w:szCs w:val="26"/>
        </w:rPr>
        <w:t xml:space="preserve"> video services in Phase II of this proceeding</w:t>
      </w:r>
      <w:r w:rsidRPr="3934F952" w:rsidR="324F2C8B">
        <w:rPr>
          <w:rFonts w:eastAsiaTheme="majorEastAsia" w:cstheme="majorBidi"/>
          <w:sz w:val="26"/>
          <w:szCs w:val="26"/>
        </w:rPr>
        <w:t>.</w:t>
      </w:r>
    </w:p>
    <w:p w:rsidR="005939A5" w:rsidP="003E26B9" w:rsidRDefault="005939A5" w14:paraId="2F3C90A0" w14:textId="2D34F4A5">
      <w:pPr>
        <w:pStyle w:val="Heading1"/>
        <w:numPr>
          <w:ilvl w:val="0"/>
          <w:numId w:val="1"/>
        </w:numPr>
      </w:pPr>
      <w:bookmarkStart w:name="_Toc80089212" w:id="70"/>
      <w:bookmarkStart w:name="_Toc80089352" w:id="71"/>
      <w:bookmarkStart w:name="_Toc80089425" w:id="72"/>
      <w:bookmarkStart w:name="_Toc8123724" w:id="73"/>
      <w:bookmarkStart w:name="_Toc80089426" w:id="74"/>
      <w:bookmarkEnd w:id="70"/>
      <w:bookmarkEnd w:id="71"/>
      <w:bookmarkEnd w:id="72"/>
      <w:r>
        <w:t>Assignment of Proceeding</w:t>
      </w:r>
      <w:bookmarkEnd w:id="73"/>
      <w:bookmarkEnd w:id="74"/>
    </w:p>
    <w:p w:rsidRPr="00E463D6" w:rsidR="005939A5" w:rsidP="00E463D6" w:rsidRDefault="001D697D" w14:paraId="41850DB6" w14:textId="0B067230">
      <w:pPr>
        <w:pStyle w:val="Standard"/>
        <w:ind w:firstLine="720"/>
        <w:rPr>
          <w:sz w:val="26"/>
          <w:szCs w:val="26"/>
        </w:rPr>
      </w:pPr>
      <w:r w:rsidRPr="00E463D6">
        <w:rPr>
          <w:sz w:val="26"/>
          <w:szCs w:val="26"/>
        </w:rPr>
        <w:t xml:space="preserve">Martha Guzman Aceves </w:t>
      </w:r>
      <w:r w:rsidRPr="00E463D6" w:rsidR="005939A5">
        <w:rPr>
          <w:sz w:val="26"/>
          <w:szCs w:val="26"/>
        </w:rPr>
        <w:t xml:space="preserve">is the assigned Commissioner and </w:t>
      </w:r>
      <w:r w:rsidRPr="00E463D6">
        <w:rPr>
          <w:sz w:val="26"/>
          <w:szCs w:val="26"/>
        </w:rPr>
        <w:t>Cathleen</w:t>
      </w:r>
      <w:r w:rsidR="00F90B13">
        <w:rPr>
          <w:sz w:val="26"/>
          <w:szCs w:val="26"/>
        </w:rPr>
        <w:t> </w:t>
      </w:r>
      <w:r w:rsidRPr="00E463D6">
        <w:rPr>
          <w:sz w:val="26"/>
          <w:szCs w:val="26"/>
        </w:rPr>
        <w:t>A.</w:t>
      </w:r>
      <w:r w:rsidR="00F90B13">
        <w:rPr>
          <w:sz w:val="26"/>
          <w:szCs w:val="26"/>
        </w:rPr>
        <w:t> </w:t>
      </w:r>
      <w:r w:rsidRPr="00E463D6">
        <w:rPr>
          <w:sz w:val="26"/>
          <w:szCs w:val="26"/>
        </w:rPr>
        <w:t xml:space="preserve">Fogel </w:t>
      </w:r>
      <w:r w:rsidRPr="00E463D6" w:rsidR="005939A5">
        <w:rPr>
          <w:sz w:val="26"/>
          <w:szCs w:val="26"/>
        </w:rPr>
        <w:t xml:space="preserve">is the assigned </w:t>
      </w:r>
      <w:r w:rsidR="00F90B13">
        <w:rPr>
          <w:sz w:val="26"/>
          <w:szCs w:val="26"/>
        </w:rPr>
        <w:t>ALJ</w:t>
      </w:r>
      <w:r w:rsidRPr="00E463D6" w:rsidR="005939A5">
        <w:rPr>
          <w:sz w:val="26"/>
          <w:szCs w:val="26"/>
        </w:rPr>
        <w:t xml:space="preserve"> in this proceeding.</w:t>
      </w:r>
    </w:p>
    <w:p w:rsidR="005939A5" w:rsidP="005939A5" w:rsidRDefault="005939A5" w14:paraId="286BDE51" w14:textId="543DFE2A">
      <w:pPr>
        <w:pStyle w:val="Dummy"/>
      </w:pPr>
      <w:bookmarkStart w:name="_Toc8123725" w:id="75"/>
      <w:bookmarkStart w:name="_Toc80089427" w:id="76"/>
      <w:r>
        <w:t>Findings of Fact</w:t>
      </w:r>
      <w:bookmarkEnd w:id="75"/>
      <w:bookmarkEnd w:id="76"/>
    </w:p>
    <w:p w:rsidRPr="002928D4" w:rsidR="0044065F" w:rsidP="002928D4" w:rsidRDefault="002D240D" w14:paraId="50B5D82E" w14:textId="48F0B422">
      <w:pPr>
        <w:pStyle w:val="FoF"/>
        <w:numPr>
          <w:ilvl w:val="0"/>
          <w:numId w:val="26"/>
        </w:numPr>
        <w:ind w:left="0" w:firstLine="360"/>
        <w:rPr>
          <w:rFonts w:eastAsiaTheme="minorHAnsi" w:cstheme="minorBidi"/>
          <w:sz w:val="26"/>
          <w:szCs w:val="22"/>
        </w:rPr>
      </w:pPr>
      <w:r w:rsidRPr="002928D4">
        <w:rPr>
          <w:rFonts w:eastAsiaTheme="minorHAnsi" w:cstheme="minorBidi"/>
          <w:sz w:val="26"/>
          <w:szCs w:val="22"/>
        </w:rPr>
        <w:t>As of this decision, si</w:t>
      </w:r>
      <w:r w:rsidRPr="002928D4" w:rsidR="00DD608B">
        <w:rPr>
          <w:rFonts w:eastAsiaTheme="minorHAnsi" w:cstheme="minorBidi"/>
          <w:sz w:val="26"/>
          <w:szCs w:val="22"/>
        </w:rPr>
        <w:t xml:space="preserve">x </w:t>
      </w:r>
      <w:r w:rsidRPr="002928D4" w:rsidR="004051A4">
        <w:rPr>
          <w:rFonts w:eastAsiaTheme="minorHAnsi" w:cstheme="minorBidi"/>
          <w:sz w:val="26"/>
          <w:szCs w:val="22"/>
        </w:rPr>
        <w:t xml:space="preserve">telephone corporations </w:t>
      </w:r>
      <w:r w:rsidRPr="002928D4" w:rsidR="00DD608B">
        <w:rPr>
          <w:rFonts w:eastAsiaTheme="minorHAnsi" w:cstheme="minorBidi"/>
          <w:sz w:val="26"/>
          <w:szCs w:val="22"/>
        </w:rPr>
        <w:t xml:space="preserve">provide </w:t>
      </w:r>
      <w:r w:rsidRPr="002928D4" w:rsidR="0045434E">
        <w:rPr>
          <w:rFonts w:eastAsiaTheme="minorHAnsi" w:cstheme="minorBidi"/>
          <w:sz w:val="26"/>
          <w:szCs w:val="22"/>
        </w:rPr>
        <w:t xml:space="preserve">intrastate IPCS </w:t>
      </w:r>
      <w:r w:rsidRPr="002928D4" w:rsidR="00DD608B">
        <w:rPr>
          <w:rFonts w:eastAsiaTheme="minorHAnsi" w:cstheme="minorBidi"/>
          <w:sz w:val="26"/>
          <w:szCs w:val="22"/>
        </w:rPr>
        <w:t>to 3</w:t>
      </w:r>
      <w:r w:rsidRPr="002928D4" w:rsidR="007B6B8F">
        <w:rPr>
          <w:rFonts w:eastAsiaTheme="minorHAnsi" w:cstheme="minorBidi"/>
          <w:sz w:val="26"/>
          <w:szCs w:val="22"/>
        </w:rPr>
        <w:t>5</w:t>
      </w:r>
      <w:r w:rsidRPr="002928D4" w:rsidR="00DD608B">
        <w:rPr>
          <w:rFonts w:eastAsiaTheme="minorHAnsi" w:cstheme="minorBidi"/>
          <w:sz w:val="26"/>
          <w:szCs w:val="22"/>
        </w:rPr>
        <w:t>4 incarceration and detention facilities in California</w:t>
      </w:r>
      <w:r w:rsidRPr="002928D4" w:rsidR="002B0DE9">
        <w:rPr>
          <w:rFonts w:eastAsiaTheme="minorHAnsi" w:cstheme="minorBidi"/>
          <w:sz w:val="26"/>
          <w:szCs w:val="22"/>
        </w:rPr>
        <w:t>—</w:t>
      </w:r>
      <w:r w:rsidRPr="002928D4" w:rsidR="00DD608B">
        <w:rPr>
          <w:rFonts w:eastAsiaTheme="minorHAnsi" w:cstheme="minorBidi"/>
          <w:sz w:val="26"/>
          <w:szCs w:val="22"/>
        </w:rPr>
        <w:t xml:space="preserve"> Securus, GTL, IC Solutions, Legacy Inmate Communications</w:t>
      </w:r>
      <w:r w:rsidRPr="002928D4" w:rsidR="00984A01">
        <w:rPr>
          <w:rFonts w:eastAsiaTheme="minorHAnsi" w:cstheme="minorBidi"/>
          <w:sz w:val="26"/>
          <w:szCs w:val="22"/>
        </w:rPr>
        <w:t>,</w:t>
      </w:r>
      <w:r w:rsidRPr="002928D4" w:rsidR="00DD608B">
        <w:rPr>
          <w:rFonts w:eastAsiaTheme="minorHAnsi" w:cstheme="minorBidi"/>
          <w:sz w:val="26"/>
          <w:szCs w:val="22"/>
        </w:rPr>
        <w:t xml:space="preserve"> NCIC Inmate Communications, and Pay Tel</w:t>
      </w:r>
      <w:r w:rsidRPr="002928D4" w:rsidR="002B0DE9">
        <w:rPr>
          <w:rFonts w:eastAsiaTheme="minorHAnsi" w:cstheme="minorBidi"/>
          <w:sz w:val="26"/>
          <w:szCs w:val="22"/>
        </w:rPr>
        <w:t xml:space="preserve">— </w:t>
      </w:r>
      <w:r w:rsidRPr="002928D4" w:rsidR="00DD608B">
        <w:rPr>
          <w:rFonts w:eastAsiaTheme="minorHAnsi" w:cstheme="minorBidi"/>
          <w:sz w:val="26"/>
          <w:szCs w:val="22"/>
        </w:rPr>
        <w:t>serving an incarcerated population</w:t>
      </w:r>
      <w:r w:rsidRPr="002928D4" w:rsidR="002B0DE9">
        <w:rPr>
          <w:rFonts w:eastAsiaTheme="minorHAnsi" w:cstheme="minorBidi"/>
          <w:sz w:val="26"/>
          <w:szCs w:val="22"/>
        </w:rPr>
        <w:t xml:space="preserve"> of over 17</w:t>
      </w:r>
      <w:r w:rsidRPr="002928D4" w:rsidR="00B6421E">
        <w:rPr>
          <w:rFonts w:eastAsiaTheme="minorHAnsi" w:cstheme="minorBidi"/>
          <w:sz w:val="26"/>
          <w:szCs w:val="22"/>
        </w:rPr>
        <w:t>2</w:t>
      </w:r>
      <w:r w:rsidRPr="002928D4" w:rsidR="002B0DE9">
        <w:rPr>
          <w:rFonts w:eastAsiaTheme="minorHAnsi" w:cstheme="minorBidi"/>
          <w:sz w:val="26"/>
          <w:szCs w:val="22"/>
        </w:rPr>
        <w:t>,000.</w:t>
      </w:r>
    </w:p>
    <w:p w:rsidRPr="002928D4" w:rsidR="00AE48B4" w:rsidP="002928D4" w:rsidRDefault="00040284" w14:paraId="1C39CD18" w14:textId="52E21098">
      <w:pPr>
        <w:pStyle w:val="FoF"/>
        <w:numPr>
          <w:ilvl w:val="0"/>
          <w:numId w:val="26"/>
        </w:numPr>
        <w:ind w:left="0" w:firstLine="360"/>
        <w:rPr>
          <w:rFonts w:eastAsiaTheme="minorHAnsi" w:cstheme="minorBidi"/>
          <w:sz w:val="26"/>
          <w:szCs w:val="22"/>
        </w:rPr>
      </w:pPr>
      <w:r w:rsidRPr="002928D4">
        <w:rPr>
          <w:rFonts w:eastAsiaTheme="minorHAnsi" w:cstheme="minorBidi"/>
          <w:sz w:val="26"/>
          <w:szCs w:val="22"/>
        </w:rPr>
        <w:t>I</w:t>
      </w:r>
      <w:r w:rsidRPr="002928D4" w:rsidR="00DD608B">
        <w:rPr>
          <w:rFonts w:eastAsiaTheme="minorHAnsi" w:cstheme="minorBidi"/>
          <w:sz w:val="26"/>
          <w:szCs w:val="22"/>
        </w:rPr>
        <w:t xml:space="preserve">ntrastate per-minute rates </w:t>
      </w:r>
      <w:r w:rsidRPr="002928D4">
        <w:rPr>
          <w:rFonts w:eastAsiaTheme="minorHAnsi" w:cstheme="minorBidi"/>
          <w:sz w:val="26"/>
          <w:szCs w:val="22"/>
        </w:rPr>
        <w:t xml:space="preserve">charged by these six </w:t>
      </w:r>
      <w:r w:rsidRPr="002928D4" w:rsidR="0045434E">
        <w:rPr>
          <w:rFonts w:eastAsiaTheme="minorHAnsi" w:cstheme="minorBidi"/>
          <w:sz w:val="26"/>
          <w:szCs w:val="22"/>
        </w:rPr>
        <w:t xml:space="preserve">IPCS </w:t>
      </w:r>
      <w:r w:rsidRPr="002928D4">
        <w:rPr>
          <w:rFonts w:eastAsiaTheme="minorHAnsi" w:cstheme="minorBidi"/>
          <w:sz w:val="26"/>
          <w:szCs w:val="22"/>
        </w:rPr>
        <w:t xml:space="preserve">providers </w:t>
      </w:r>
      <w:r w:rsidRPr="002928D4" w:rsidR="00DD608B">
        <w:rPr>
          <w:rFonts w:eastAsiaTheme="minorHAnsi" w:cstheme="minorBidi"/>
          <w:sz w:val="26"/>
          <w:szCs w:val="22"/>
        </w:rPr>
        <w:t>are as high as $1.75 per minute</w:t>
      </w:r>
      <w:r w:rsidRPr="002928D4">
        <w:rPr>
          <w:rFonts w:eastAsiaTheme="minorHAnsi" w:cstheme="minorBidi"/>
          <w:sz w:val="26"/>
          <w:szCs w:val="22"/>
        </w:rPr>
        <w:t xml:space="preserve"> and </w:t>
      </w:r>
      <w:r w:rsidRPr="002928D4" w:rsidR="00DD608B">
        <w:rPr>
          <w:rFonts w:eastAsiaTheme="minorHAnsi" w:cstheme="minorBidi"/>
          <w:sz w:val="26"/>
          <w:szCs w:val="22"/>
        </w:rPr>
        <w:t>connection fees or first minute rates are as high as $3.60 per minute</w:t>
      </w:r>
      <w:r w:rsidRPr="002928D4">
        <w:rPr>
          <w:rFonts w:eastAsiaTheme="minorHAnsi" w:cstheme="minorBidi"/>
          <w:sz w:val="26"/>
          <w:szCs w:val="22"/>
        </w:rPr>
        <w:t>.</w:t>
      </w:r>
    </w:p>
    <w:p w:rsidRPr="002928D4" w:rsidR="00DD608B" w:rsidP="002928D4" w:rsidRDefault="00040284" w14:paraId="203036A7" w14:textId="6B3560C2">
      <w:pPr>
        <w:pStyle w:val="FoF"/>
        <w:numPr>
          <w:ilvl w:val="0"/>
          <w:numId w:val="26"/>
        </w:numPr>
        <w:ind w:left="0" w:firstLine="360"/>
        <w:rPr>
          <w:rFonts w:eastAsiaTheme="minorHAnsi" w:cstheme="minorBidi"/>
          <w:sz w:val="26"/>
          <w:szCs w:val="22"/>
        </w:rPr>
      </w:pPr>
      <w:r w:rsidRPr="002928D4">
        <w:rPr>
          <w:rFonts w:eastAsiaTheme="minorHAnsi" w:cstheme="minorBidi"/>
          <w:sz w:val="26"/>
          <w:szCs w:val="22"/>
        </w:rPr>
        <w:t xml:space="preserve">A </w:t>
      </w:r>
      <w:r w:rsidRPr="002928D4" w:rsidR="00DD608B">
        <w:rPr>
          <w:rFonts w:eastAsiaTheme="minorHAnsi" w:cstheme="minorBidi"/>
          <w:sz w:val="26"/>
          <w:szCs w:val="22"/>
        </w:rPr>
        <w:t xml:space="preserve">15-minute intrastate phone call in California can cost the caller as much as $26.25 </w:t>
      </w:r>
      <w:r w:rsidRPr="002928D4" w:rsidR="65775156">
        <w:rPr>
          <w:rFonts w:eastAsiaTheme="minorHAnsi" w:cstheme="minorBidi"/>
          <w:sz w:val="26"/>
          <w:szCs w:val="22"/>
        </w:rPr>
        <w:t xml:space="preserve">solely </w:t>
      </w:r>
      <w:r w:rsidRPr="002928D4" w:rsidR="00DD608B">
        <w:rPr>
          <w:rFonts w:eastAsiaTheme="minorHAnsi" w:cstheme="minorBidi"/>
          <w:sz w:val="26"/>
          <w:szCs w:val="22"/>
        </w:rPr>
        <w:t>in per-minute charges, excluding any other transaction fees.</w:t>
      </w:r>
    </w:p>
    <w:p w:rsidRPr="002928D4" w:rsidR="00DD608B" w:rsidP="002928D4" w:rsidRDefault="00040284" w14:paraId="08AACD0A" w14:textId="7855018E">
      <w:pPr>
        <w:pStyle w:val="FoF"/>
        <w:numPr>
          <w:ilvl w:val="0"/>
          <w:numId w:val="26"/>
        </w:numPr>
        <w:ind w:left="0" w:firstLine="360"/>
        <w:rPr>
          <w:rFonts w:eastAsiaTheme="minorHAnsi" w:cstheme="minorBidi"/>
          <w:sz w:val="26"/>
          <w:szCs w:val="22"/>
        </w:rPr>
      </w:pPr>
      <w:r w:rsidRPr="002928D4">
        <w:rPr>
          <w:rFonts w:eastAsiaTheme="minorHAnsi" w:cstheme="minorBidi"/>
          <w:sz w:val="26"/>
          <w:szCs w:val="22"/>
        </w:rPr>
        <w:t xml:space="preserve">Average and maximum pre-paid call per-minute rates vary widely between federal prisons, state prisons, county jails and local jails in California. </w:t>
      </w:r>
    </w:p>
    <w:p w:rsidRPr="002928D4" w:rsidR="006C4416" w:rsidP="002928D4" w:rsidRDefault="00484B12" w14:paraId="5D3C4B03" w14:textId="0FB9FC50">
      <w:pPr>
        <w:pStyle w:val="FoF"/>
        <w:numPr>
          <w:ilvl w:val="0"/>
          <w:numId w:val="26"/>
        </w:numPr>
        <w:ind w:left="0" w:firstLine="360"/>
        <w:rPr>
          <w:rFonts w:eastAsiaTheme="minorEastAsia" w:cstheme="minorBidi"/>
          <w:sz w:val="26"/>
          <w:szCs w:val="26"/>
        </w:rPr>
      </w:pPr>
      <w:r w:rsidRPr="002928D4">
        <w:rPr>
          <w:rFonts w:eastAsiaTheme="minorHAnsi" w:cstheme="minorBidi"/>
          <w:sz w:val="26"/>
          <w:szCs w:val="22"/>
        </w:rPr>
        <w:t>T</w:t>
      </w:r>
      <w:r w:rsidRPr="002928D4" w:rsidR="00E31E2A">
        <w:rPr>
          <w:rFonts w:eastAsiaTheme="minorHAnsi" w:cstheme="minorBidi"/>
          <w:sz w:val="26"/>
          <w:szCs w:val="22"/>
        </w:rPr>
        <w:t xml:space="preserve">he </w:t>
      </w:r>
      <w:r w:rsidRPr="002928D4">
        <w:rPr>
          <w:rFonts w:eastAsiaTheme="minorHAnsi" w:cstheme="minorBidi"/>
          <w:sz w:val="26"/>
          <w:szCs w:val="22"/>
        </w:rPr>
        <w:t>C</w:t>
      </w:r>
      <w:r w:rsidRPr="002928D4" w:rsidR="0091131A">
        <w:rPr>
          <w:rFonts w:eastAsiaTheme="minorHAnsi" w:cstheme="minorBidi"/>
          <w:sz w:val="26"/>
          <w:szCs w:val="22"/>
        </w:rPr>
        <w:t xml:space="preserve">DCR </w:t>
      </w:r>
      <w:r w:rsidRPr="002928D4" w:rsidR="00E31E2A">
        <w:rPr>
          <w:rFonts w:eastAsiaTheme="minorHAnsi" w:cstheme="minorBidi"/>
          <w:sz w:val="26"/>
          <w:szCs w:val="22"/>
        </w:rPr>
        <w:t>announced a</w:t>
      </w:r>
      <w:r w:rsidRPr="002928D4">
        <w:rPr>
          <w:rFonts w:eastAsiaTheme="minorHAnsi" w:cstheme="minorBidi"/>
          <w:sz w:val="26"/>
          <w:szCs w:val="22"/>
        </w:rPr>
        <w:t xml:space="preserve"> IPCS</w:t>
      </w:r>
      <w:r w:rsidRPr="002928D4" w:rsidR="00E31E2A">
        <w:rPr>
          <w:rFonts w:eastAsiaTheme="minorHAnsi" w:cstheme="minorBidi"/>
          <w:sz w:val="26"/>
          <w:szCs w:val="22"/>
        </w:rPr>
        <w:t xml:space="preserve"> contract with GTL on March 1, 2021</w:t>
      </w:r>
      <w:r w:rsidRPr="002928D4">
        <w:rPr>
          <w:rFonts w:eastAsiaTheme="minorHAnsi" w:cstheme="minorBidi"/>
          <w:sz w:val="26"/>
          <w:szCs w:val="22"/>
        </w:rPr>
        <w:t xml:space="preserve"> with a</w:t>
      </w:r>
      <w:r w:rsidRPr="002928D4" w:rsidR="00E31E2A">
        <w:rPr>
          <w:rFonts w:eastAsiaTheme="minorHAnsi" w:cstheme="minorBidi"/>
          <w:sz w:val="26"/>
          <w:szCs w:val="22"/>
        </w:rPr>
        <w:t xml:space="preserve"> rate of $0.025 per minute.</w:t>
      </w:r>
    </w:p>
    <w:p w:rsidRPr="002928D4" w:rsidR="00040284" w:rsidP="002928D4" w:rsidRDefault="00266402" w14:paraId="045E0B6A" w14:textId="3CE2B428">
      <w:pPr>
        <w:pStyle w:val="FoF"/>
        <w:numPr>
          <w:ilvl w:val="0"/>
          <w:numId w:val="26"/>
        </w:numPr>
        <w:ind w:left="0" w:firstLine="360"/>
        <w:rPr>
          <w:rFonts w:eastAsiaTheme="minorEastAsia" w:cstheme="minorBidi"/>
          <w:sz w:val="26"/>
          <w:szCs w:val="26"/>
        </w:rPr>
      </w:pPr>
      <w:r w:rsidRPr="3934F952">
        <w:rPr>
          <w:rFonts w:eastAsiaTheme="minorEastAsia" w:cstheme="minorBidi"/>
          <w:sz w:val="26"/>
          <w:szCs w:val="26"/>
        </w:rPr>
        <w:t>A</w:t>
      </w:r>
      <w:r w:rsidRPr="3934F952" w:rsidR="00224032">
        <w:rPr>
          <w:rFonts w:eastAsiaTheme="minorEastAsia" w:cstheme="minorBidi"/>
          <w:sz w:val="26"/>
          <w:szCs w:val="26"/>
        </w:rPr>
        <w:t xml:space="preserve">s of April 2021, </w:t>
      </w:r>
      <w:r w:rsidRPr="3934F952" w:rsidR="001944E3">
        <w:rPr>
          <w:rFonts w:eastAsiaTheme="minorEastAsia" w:cstheme="minorBidi"/>
          <w:sz w:val="26"/>
          <w:szCs w:val="26"/>
        </w:rPr>
        <w:t xml:space="preserve">average and maximum </w:t>
      </w:r>
      <w:r w:rsidRPr="3934F952" w:rsidR="007C43B3">
        <w:rPr>
          <w:rFonts w:eastAsiaTheme="minorEastAsia" w:cstheme="minorBidi"/>
          <w:sz w:val="26"/>
          <w:szCs w:val="26"/>
        </w:rPr>
        <w:t xml:space="preserve">call </w:t>
      </w:r>
      <w:r w:rsidRPr="3934F952" w:rsidR="00040284">
        <w:rPr>
          <w:rFonts w:eastAsiaTheme="minorEastAsia" w:cstheme="minorBidi"/>
          <w:sz w:val="26"/>
          <w:szCs w:val="26"/>
        </w:rPr>
        <w:t xml:space="preserve">rates </w:t>
      </w:r>
      <w:r w:rsidRPr="3934F952" w:rsidR="009901C5">
        <w:rPr>
          <w:rFonts w:eastAsiaTheme="minorEastAsia" w:cstheme="minorBidi"/>
          <w:sz w:val="26"/>
          <w:szCs w:val="26"/>
        </w:rPr>
        <w:t xml:space="preserve">for federal prisons in California are </w:t>
      </w:r>
      <w:r w:rsidRPr="3934F952" w:rsidR="00040284">
        <w:rPr>
          <w:rFonts w:eastAsiaTheme="minorEastAsia" w:cstheme="minorBidi"/>
          <w:sz w:val="26"/>
          <w:szCs w:val="26"/>
        </w:rPr>
        <w:t>$0.17 and $0.21</w:t>
      </w:r>
      <w:r w:rsidRPr="3934F952" w:rsidR="0079708D">
        <w:rPr>
          <w:rFonts w:eastAsiaTheme="minorEastAsia" w:cstheme="minorBidi"/>
          <w:sz w:val="26"/>
          <w:szCs w:val="26"/>
        </w:rPr>
        <w:t xml:space="preserve"> per minute (prepaid).</w:t>
      </w:r>
    </w:p>
    <w:p w:rsidRPr="002928D4" w:rsidR="007C43B3" w:rsidP="002928D4" w:rsidRDefault="00D770AA" w14:paraId="5EDD6514" w14:textId="48FF9CC3">
      <w:pPr>
        <w:pStyle w:val="FoF"/>
        <w:numPr>
          <w:ilvl w:val="0"/>
          <w:numId w:val="26"/>
        </w:numPr>
        <w:ind w:left="0" w:firstLine="360"/>
        <w:rPr>
          <w:rFonts w:eastAsiaTheme="minorEastAsia" w:cstheme="minorBidi"/>
          <w:sz w:val="26"/>
          <w:szCs w:val="26"/>
        </w:rPr>
      </w:pPr>
      <w:r w:rsidRPr="3934F952">
        <w:rPr>
          <w:rFonts w:eastAsiaTheme="minorEastAsia" w:cstheme="minorBidi"/>
          <w:sz w:val="26"/>
          <w:szCs w:val="26"/>
        </w:rPr>
        <w:t>As of April 2021,</w:t>
      </w:r>
      <w:r w:rsidRPr="3934F952" w:rsidR="001944E3">
        <w:rPr>
          <w:rFonts w:eastAsiaTheme="minorEastAsia" w:cstheme="minorBidi"/>
          <w:sz w:val="26"/>
          <w:szCs w:val="26"/>
        </w:rPr>
        <w:t xml:space="preserve"> </w:t>
      </w:r>
      <w:r w:rsidRPr="3934F952" w:rsidR="00040284">
        <w:rPr>
          <w:rFonts w:eastAsiaTheme="minorEastAsia" w:cstheme="minorBidi"/>
          <w:sz w:val="26"/>
          <w:szCs w:val="26"/>
        </w:rPr>
        <w:t>average and maximum</w:t>
      </w:r>
      <w:r w:rsidRPr="3934F952" w:rsidR="007C43B3">
        <w:rPr>
          <w:rFonts w:eastAsiaTheme="minorEastAsia" w:cstheme="minorBidi"/>
          <w:sz w:val="26"/>
          <w:szCs w:val="26"/>
        </w:rPr>
        <w:t xml:space="preserve"> call</w:t>
      </w:r>
      <w:r w:rsidRPr="3934F952" w:rsidR="00040284">
        <w:rPr>
          <w:rFonts w:eastAsiaTheme="minorEastAsia" w:cstheme="minorBidi"/>
          <w:sz w:val="26"/>
          <w:szCs w:val="26"/>
        </w:rPr>
        <w:t xml:space="preserve"> rates </w:t>
      </w:r>
      <w:r w:rsidRPr="3934F952" w:rsidR="0079708D">
        <w:rPr>
          <w:rFonts w:eastAsiaTheme="minorEastAsia" w:cstheme="minorBidi"/>
          <w:sz w:val="26"/>
          <w:szCs w:val="26"/>
        </w:rPr>
        <w:t>for California county jails are</w:t>
      </w:r>
      <w:r w:rsidRPr="3934F952" w:rsidR="00040284">
        <w:rPr>
          <w:rFonts w:eastAsiaTheme="minorEastAsia" w:cstheme="minorBidi"/>
          <w:sz w:val="26"/>
          <w:szCs w:val="26"/>
        </w:rPr>
        <w:t xml:space="preserve"> $</w:t>
      </w:r>
      <w:r w:rsidRPr="3934F952">
        <w:rPr>
          <w:rFonts w:eastAsiaTheme="minorEastAsia" w:cstheme="minorBidi"/>
          <w:sz w:val="26"/>
          <w:szCs w:val="26"/>
        </w:rPr>
        <w:t>0</w:t>
      </w:r>
      <w:r w:rsidRPr="3934F952" w:rsidR="00040284">
        <w:rPr>
          <w:rFonts w:eastAsiaTheme="minorEastAsia" w:cstheme="minorBidi"/>
          <w:sz w:val="26"/>
          <w:szCs w:val="26"/>
        </w:rPr>
        <w:t>.31 and $3.65</w:t>
      </w:r>
      <w:r w:rsidRPr="3934F952" w:rsidR="00F66B6D">
        <w:rPr>
          <w:rFonts w:eastAsiaTheme="minorEastAsia" w:cstheme="minorBidi"/>
          <w:sz w:val="26"/>
          <w:szCs w:val="26"/>
        </w:rPr>
        <w:t xml:space="preserve"> </w:t>
      </w:r>
      <w:r w:rsidRPr="3934F952" w:rsidR="0079708D">
        <w:rPr>
          <w:rFonts w:eastAsiaTheme="minorEastAsia" w:cstheme="minorBidi"/>
          <w:sz w:val="26"/>
          <w:szCs w:val="26"/>
        </w:rPr>
        <w:t>per minute (prepaid)</w:t>
      </w:r>
      <w:r w:rsidRPr="3934F952" w:rsidR="007C43B3">
        <w:rPr>
          <w:rFonts w:eastAsiaTheme="minorEastAsia" w:cstheme="minorBidi"/>
          <w:sz w:val="26"/>
          <w:szCs w:val="26"/>
        </w:rPr>
        <w:t>.</w:t>
      </w:r>
    </w:p>
    <w:p w:rsidRPr="002928D4" w:rsidR="006559F1" w:rsidP="002928D4" w:rsidRDefault="007C43B3" w14:paraId="36B1D299" w14:textId="62C8A739">
      <w:pPr>
        <w:pStyle w:val="FoF"/>
        <w:numPr>
          <w:ilvl w:val="0"/>
          <w:numId w:val="26"/>
        </w:numPr>
        <w:ind w:left="0" w:firstLine="360"/>
        <w:rPr>
          <w:rFonts w:eastAsiaTheme="minorEastAsia" w:cstheme="minorBidi"/>
          <w:sz w:val="26"/>
          <w:szCs w:val="26"/>
        </w:rPr>
      </w:pPr>
      <w:r w:rsidRPr="3934F952">
        <w:rPr>
          <w:rFonts w:eastAsiaTheme="minorEastAsia" w:cstheme="minorBidi"/>
          <w:sz w:val="26"/>
          <w:szCs w:val="26"/>
        </w:rPr>
        <w:t xml:space="preserve">As of April 2021, average and maximum </w:t>
      </w:r>
      <w:r w:rsidRPr="3934F952" w:rsidR="00F66B6D">
        <w:rPr>
          <w:rFonts w:eastAsiaTheme="minorEastAsia" w:cstheme="minorBidi"/>
          <w:sz w:val="26"/>
          <w:szCs w:val="26"/>
        </w:rPr>
        <w:t>c</w:t>
      </w:r>
      <w:r w:rsidRPr="3934F952">
        <w:rPr>
          <w:rFonts w:eastAsiaTheme="minorEastAsia" w:cstheme="minorBidi"/>
          <w:sz w:val="26"/>
          <w:szCs w:val="26"/>
        </w:rPr>
        <w:t xml:space="preserve">all rates for local (city) jails are </w:t>
      </w:r>
      <w:r w:rsidRPr="3934F952" w:rsidR="00040284">
        <w:rPr>
          <w:rFonts w:eastAsiaTheme="minorEastAsia" w:cstheme="minorBidi"/>
          <w:sz w:val="26"/>
          <w:szCs w:val="26"/>
        </w:rPr>
        <w:t>$</w:t>
      </w:r>
      <w:r w:rsidRPr="3934F952" w:rsidR="00E64E41">
        <w:rPr>
          <w:rFonts w:eastAsiaTheme="minorEastAsia" w:cstheme="minorBidi"/>
          <w:sz w:val="26"/>
          <w:szCs w:val="26"/>
        </w:rPr>
        <w:t>0</w:t>
      </w:r>
      <w:r w:rsidRPr="3934F952" w:rsidR="00040284">
        <w:rPr>
          <w:rFonts w:eastAsiaTheme="minorEastAsia" w:cstheme="minorBidi"/>
          <w:sz w:val="26"/>
          <w:szCs w:val="26"/>
        </w:rPr>
        <w:t>.27 and $</w:t>
      </w:r>
      <w:r w:rsidRPr="3934F952" w:rsidR="00E64E41">
        <w:rPr>
          <w:rFonts w:eastAsiaTheme="minorEastAsia" w:cstheme="minorBidi"/>
          <w:sz w:val="26"/>
          <w:szCs w:val="26"/>
        </w:rPr>
        <w:t>0</w:t>
      </w:r>
      <w:r w:rsidRPr="3934F952" w:rsidR="00040284">
        <w:rPr>
          <w:rFonts w:eastAsiaTheme="minorEastAsia" w:cstheme="minorBidi"/>
          <w:sz w:val="26"/>
          <w:szCs w:val="26"/>
        </w:rPr>
        <w:t>.91 per minute</w:t>
      </w:r>
      <w:r w:rsidRPr="3934F952" w:rsidR="0079708D">
        <w:rPr>
          <w:rFonts w:eastAsiaTheme="minorEastAsia" w:cstheme="minorBidi"/>
          <w:sz w:val="26"/>
          <w:szCs w:val="26"/>
        </w:rPr>
        <w:t xml:space="preserve"> (prepaid)</w:t>
      </w:r>
      <w:r w:rsidRPr="3934F952">
        <w:rPr>
          <w:rFonts w:eastAsiaTheme="minorEastAsia" w:cstheme="minorBidi"/>
          <w:sz w:val="26"/>
          <w:szCs w:val="26"/>
        </w:rPr>
        <w:t>.</w:t>
      </w:r>
    </w:p>
    <w:p w:rsidRPr="002928D4" w:rsidR="006559F1" w:rsidP="002928D4" w:rsidRDefault="00D770AA" w14:paraId="42A0DFB7" w14:textId="297C46B2">
      <w:pPr>
        <w:pStyle w:val="FoF"/>
        <w:numPr>
          <w:ilvl w:val="0"/>
          <w:numId w:val="26"/>
        </w:numPr>
        <w:ind w:left="0" w:firstLine="360"/>
        <w:rPr>
          <w:rFonts w:eastAsiaTheme="minorEastAsia" w:cstheme="minorBidi"/>
          <w:sz w:val="26"/>
          <w:szCs w:val="26"/>
        </w:rPr>
      </w:pPr>
      <w:r w:rsidRPr="3934F952">
        <w:rPr>
          <w:rFonts w:eastAsiaTheme="minorEastAsia" w:cstheme="minorBidi"/>
          <w:sz w:val="26"/>
          <w:szCs w:val="26"/>
        </w:rPr>
        <w:lastRenderedPageBreak/>
        <w:t>As of April 2021,</w:t>
      </w:r>
      <w:r w:rsidRPr="3934F952" w:rsidR="00417081">
        <w:rPr>
          <w:rFonts w:eastAsiaTheme="minorEastAsia" w:cstheme="minorBidi"/>
          <w:sz w:val="26"/>
          <w:szCs w:val="26"/>
        </w:rPr>
        <w:t xml:space="preserve"> </w:t>
      </w:r>
      <w:r w:rsidRPr="3934F952" w:rsidR="006559F1">
        <w:rPr>
          <w:rFonts w:eastAsiaTheme="minorEastAsia" w:cstheme="minorBidi"/>
          <w:sz w:val="26"/>
          <w:szCs w:val="26"/>
        </w:rPr>
        <w:t xml:space="preserve">average IPCS </w:t>
      </w:r>
      <w:r w:rsidRPr="3934F952" w:rsidR="00660B0F">
        <w:rPr>
          <w:rFonts w:eastAsiaTheme="minorEastAsia" w:cstheme="minorBidi"/>
          <w:sz w:val="26"/>
          <w:szCs w:val="26"/>
        </w:rPr>
        <w:t xml:space="preserve">call </w:t>
      </w:r>
      <w:r w:rsidRPr="3934F952" w:rsidR="006559F1">
        <w:rPr>
          <w:rFonts w:eastAsiaTheme="minorEastAsia" w:cstheme="minorBidi"/>
          <w:sz w:val="26"/>
          <w:szCs w:val="26"/>
        </w:rPr>
        <w:t>rates in county and local jails are a</w:t>
      </w:r>
      <w:r w:rsidRPr="3934F952">
        <w:rPr>
          <w:rFonts w:eastAsiaTheme="minorEastAsia" w:cstheme="minorBidi"/>
          <w:sz w:val="26"/>
          <w:szCs w:val="26"/>
        </w:rPr>
        <w:t>bout</w:t>
      </w:r>
      <w:r w:rsidRPr="3934F952" w:rsidR="006559F1">
        <w:rPr>
          <w:rFonts w:eastAsiaTheme="minorEastAsia" w:cstheme="minorBidi"/>
          <w:sz w:val="26"/>
          <w:szCs w:val="26"/>
        </w:rPr>
        <w:t xml:space="preserve"> 996 and 1,124 percent higher</w:t>
      </w:r>
      <w:r w:rsidRPr="3934F952" w:rsidR="00745E19">
        <w:rPr>
          <w:rFonts w:eastAsiaTheme="minorEastAsia" w:cstheme="minorBidi"/>
          <w:sz w:val="26"/>
          <w:szCs w:val="26"/>
        </w:rPr>
        <w:t xml:space="preserve"> per minute</w:t>
      </w:r>
      <w:r w:rsidRPr="3934F952" w:rsidR="006559F1">
        <w:rPr>
          <w:rFonts w:eastAsiaTheme="minorEastAsia" w:cstheme="minorBidi"/>
          <w:sz w:val="26"/>
          <w:szCs w:val="26"/>
        </w:rPr>
        <w:t xml:space="preserve">, respectively, than the </w:t>
      </w:r>
      <w:r w:rsidRPr="3934F952" w:rsidR="00417081">
        <w:rPr>
          <w:rFonts w:eastAsiaTheme="minorEastAsia" w:cstheme="minorBidi"/>
          <w:sz w:val="26"/>
          <w:szCs w:val="26"/>
        </w:rPr>
        <w:t xml:space="preserve">IPCS </w:t>
      </w:r>
      <w:r w:rsidRPr="3934F952" w:rsidR="006559F1">
        <w:rPr>
          <w:rFonts w:eastAsiaTheme="minorEastAsia" w:cstheme="minorBidi"/>
          <w:sz w:val="26"/>
          <w:szCs w:val="26"/>
        </w:rPr>
        <w:t xml:space="preserve">rate </w:t>
      </w:r>
      <w:r w:rsidRPr="3934F952" w:rsidR="00193847">
        <w:rPr>
          <w:rFonts w:eastAsiaTheme="minorEastAsia" w:cstheme="minorBidi"/>
          <w:sz w:val="26"/>
          <w:szCs w:val="26"/>
        </w:rPr>
        <w:t>available</w:t>
      </w:r>
      <w:r w:rsidRPr="3934F952" w:rsidR="00417081">
        <w:rPr>
          <w:rFonts w:eastAsiaTheme="minorEastAsia" w:cstheme="minorBidi"/>
          <w:sz w:val="26"/>
          <w:szCs w:val="26"/>
        </w:rPr>
        <w:t xml:space="preserve"> in </w:t>
      </w:r>
      <w:r w:rsidRPr="3934F952" w:rsidR="00745E19">
        <w:rPr>
          <w:rFonts w:eastAsiaTheme="minorEastAsia" w:cstheme="minorBidi"/>
          <w:sz w:val="26"/>
          <w:szCs w:val="26"/>
        </w:rPr>
        <w:t xml:space="preserve">California </w:t>
      </w:r>
      <w:r w:rsidRPr="3934F952" w:rsidR="00417081">
        <w:rPr>
          <w:rFonts w:eastAsiaTheme="minorEastAsia" w:cstheme="minorBidi"/>
          <w:sz w:val="26"/>
          <w:szCs w:val="26"/>
        </w:rPr>
        <w:t>state prisons</w:t>
      </w:r>
      <w:r w:rsidRPr="3934F952" w:rsidR="006559F1">
        <w:rPr>
          <w:rFonts w:eastAsiaTheme="minorEastAsia" w:cstheme="minorBidi"/>
          <w:sz w:val="26"/>
          <w:szCs w:val="26"/>
        </w:rPr>
        <w:t>.</w:t>
      </w:r>
    </w:p>
    <w:p w:rsidRPr="002928D4" w:rsidR="00040284" w:rsidP="002928D4" w:rsidRDefault="00DD0A2F" w14:paraId="33EB9265" w14:textId="63A579F4">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As of April 2021,</w:t>
      </w:r>
      <w:r w:rsidRPr="3934F952" w:rsidR="006559F1">
        <w:rPr>
          <w:rFonts w:eastAsiaTheme="minorEastAsia" w:cstheme="minorBidi"/>
          <w:sz w:val="26"/>
          <w:szCs w:val="26"/>
        </w:rPr>
        <w:t xml:space="preserve"> average IPCS</w:t>
      </w:r>
      <w:r w:rsidRPr="3934F952" w:rsidR="00745E19">
        <w:rPr>
          <w:rFonts w:eastAsiaTheme="minorEastAsia" w:cstheme="minorBidi"/>
          <w:sz w:val="26"/>
          <w:szCs w:val="26"/>
        </w:rPr>
        <w:t xml:space="preserve"> </w:t>
      </w:r>
      <w:r w:rsidRPr="3934F952" w:rsidR="00660B0F">
        <w:rPr>
          <w:rFonts w:eastAsiaTheme="minorEastAsia" w:cstheme="minorBidi"/>
          <w:sz w:val="26"/>
          <w:szCs w:val="26"/>
        </w:rPr>
        <w:t xml:space="preserve">call </w:t>
      </w:r>
      <w:r w:rsidRPr="3934F952" w:rsidR="006559F1">
        <w:rPr>
          <w:rFonts w:eastAsiaTheme="minorEastAsia" w:cstheme="minorBidi"/>
          <w:sz w:val="26"/>
          <w:szCs w:val="26"/>
        </w:rPr>
        <w:t xml:space="preserve">rates in county and local jails are </w:t>
      </w:r>
      <w:r w:rsidRPr="3934F952" w:rsidR="0000473F">
        <w:rPr>
          <w:rFonts w:eastAsiaTheme="minorEastAsia" w:cstheme="minorBidi"/>
          <w:sz w:val="26"/>
          <w:szCs w:val="26"/>
        </w:rPr>
        <w:t>about</w:t>
      </w:r>
      <w:r w:rsidRPr="3934F952" w:rsidR="006559F1">
        <w:rPr>
          <w:rFonts w:eastAsiaTheme="minorEastAsia" w:cstheme="minorBidi"/>
          <w:sz w:val="26"/>
          <w:szCs w:val="26"/>
        </w:rPr>
        <w:t xml:space="preserve"> 82 and 5</w:t>
      </w:r>
      <w:r w:rsidRPr="3934F952" w:rsidR="00193847">
        <w:rPr>
          <w:rFonts w:eastAsiaTheme="minorEastAsia" w:cstheme="minorBidi"/>
          <w:sz w:val="26"/>
          <w:szCs w:val="26"/>
        </w:rPr>
        <w:t>9</w:t>
      </w:r>
      <w:r w:rsidRPr="3934F952" w:rsidR="006559F1">
        <w:rPr>
          <w:rFonts w:eastAsiaTheme="minorEastAsia" w:cstheme="minorBidi"/>
          <w:sz w:val="26"/>
          <w:szCs w:val="26"/>
        </w:rPr>
        <w:t xml:space="preserve"> percent higher</w:t>
      </w:r>
      <w:r w:rsidRPr="3934F952" w:rsidR="00745E19">
        <w:rPr>
          <w:rFonts w:eastAsiaTheme="minorEastAsia" w:cstheme="minorBidi"/>
          <w:sz w:val="26"/>
          <w:szCs w:val="26"/>
        </w:rPr>
        <w:t xml:space="preserve"> per minute</w:t>
      </w:r>
      <w:r w:rsidRPr="3934F952" w:rsidR="006559F1">
        <w:rPr>
          <w:rFonts w:eastAsiaTheme="minorEastAsia" w:cstheme="minorBidi"/>
          <w:sz w:val="26"/>
          <w:szCs w:val="26"/>
        </w:rPr>
        <w:t>, respectively</w:t>
      </w:r>
      <w:r w:rsidRPr="3934F952" w:rsidR="003F0621">
        <w:rPr>
          <w:rFonts w:eastAsiaTheme="minorEastAsia" w:cstheme="minorBidi"/>
          <w:sz w:val="26"/>
          <w:szCs w:val="26"/>
        </w:rPr>
        <w:t>,</w:t>
      </w:r>
      <w:r w:rsidRPr="3934F952" w:rsidR="006559F1">
        <w:rPr>
          <w:rFonts w:eastAsiaTheme="minorEastAsia" w:cstheme="minorBidi"/>
          <w:sz w:val="26"/>
          <w:szCs w:val="26"/>
        </w:rPr>
        <w:t xml:space="preserve"> than th</w:t>
      </w:r>
      <w:r w:rsidRPr="3934F952" w:rsidR="00417081">
        <w:rPr>
          <w:rFonts w:eastAsiaTheme="minorEastAsia" w:cstheme="minorBidi"/>
          <w:sz w:val="26"/>
          <w:szCs w:val="26"/>
        </w:rPr>
        <w:t>e IPCS rates available</w:t>
      </w:r>
      <w:r w:rsidRPr="3934F952" w:rsidR="006559F1">
        <w:rPr>
          <w:rFonts w:eastAsiaTheme="minorEastAsia" w:cstheme="minorBidi"/>
          <w:sz w:val="26"/>
          <w:szCs w:val="26"/>
        </w:rPr>
        <w:t xml:space="preserve"> in federal prisons </w:t>
      </w:r>
      <w:r w:rsidRPr="3934F952" w:rsidR="00417081">
        <w:rPr>
          <w:rFonts w:eastAsiaTheme="minorEastAsia" w:cstheme="minorBidi"/>
          <w:sz w:val="26"/>
          <w:szCs w:val="26"/>
        </w:rPr>
        <w:t>in California.</w:t>
      </w:r>
    </w:p>
    <w:p w:rsidRPr="002928D4" w:rsidR="001E5BBF" w:rsidP="002928D4" w:rsidRDefault="00056B9F" w14:paraId="5067BE36" w14:textId="20CF0EC1">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IPCS rates charged in California vary widely and are exorbitantly high, in some cases, resulting in unjust and unreasonable IPCS rates for incarcerated people and their families.</w:t>
      </w:r>
    </w:p>
    <w:p w:rsidRPr="002928D4" w:rsidR="001E5BBF" w:rsidP="002928D4" w:rsidRDefault="004502D5" w14:paraId="71C57438" w14:textId="6DB5B260">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It is unreasonable and unjust </w:t>
      </w:r>
      <w:r w:rsidRPr="3934F952" w:rsidR="001E5BBF">
        <w:rPr>
          <w:rFonts w:eastAsiaTheme="minorEastAsia" w:cstheme="minorBidi"/>
          <w:sz w:val="26"/>
          <w:szCs w:val="26"/>
        </w:rPr>
        <w:t xml:space="preserve">that people incarcerated in county jails, local jails, and federal prisons in California pay between 584 percent and 1,124 percent more than people incarcerated in California state prison facilities to talk with their loved ones.  </w:t>
      </w:r>
    </w:p>
    <w:p w:rsidRPr="002928D4" w:rsidR="00C87B9E" w:rsidP="002928D4" w:rsidRDefault="005905A1" w14:paraId="4A01C94B" w14:textId="4676D1A4">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No party provided data</w:t>
      </w:r>
      <w:r w:rsidRPr="3934F952" w:rsidR="00C53A77">
        <w:rPr>
          <w:rFonts w:eastAsiaTheme="minorEastAsia" w:cstheme="minorBidi"/>
          <w:sz w:val="26"/>
          <w:szCs w:val="26"/>
        </w:rPr>
        <w:t xml:space="preserve"> </w:t>
      </w:r>
      <w:r w:rsidRPr="3934F952" w:rsidR="001B060C">
        <w:rPr>
          <w:rFonts w:eastAsiaTheme="minorEastAsia" w:cstheme="minorBidi"/>
          <w:sz w:val="26"/>
          <w:szCs w:val="26"/>
        </w:rPr>
        <w:t xml:space="preserve">justifying the significantly higher rates for county or city jails </w:t>
      </w:r>
      <w:r w:rsidRPr="3934F952" w:rsidR="00A647E5">
        <w:rPr>
          <w:rFonts w:eastAsiaTheme="minorEastAsia" w:cstheme="minorBidi"/>
          <w:sz w:val="26"/>
          <w:szCs w:val="26"/>
        </w:rPr>
        <w:t xml:space="preserve">or </w:t>
      </w:r>
      <w:r w:rsidRPr="3934F952" w:rsidR="00C53A77">
        <w:rPr>
          <w:rFonts w:eastAsiaTheme="minorEastAsia" w:cstheme="minorBidi"/>
          <w:sz w:val="26"/>
          <w:szCs w:val="26"/>
        </w:rPr>
        <w:t>summarizing costs to provide security functions</w:t>
      </w:r>
      <w:r w:rsidRPr="3934F952" w:rsidR="00A647E5">
        <w:rPr>
          <w:rFonts w:eastAsiaTheme="minorEastAsia" w:cstheme="minorBidi"/>
          <w:sz w:val="26"/>
          <w:szCs w:val="26"/>
        </w:rPr>
        <w:t>.</w:t>
      </w:r>
    </w:p>
    <w:p w:rsidRPr="002928D4" w:rsidR="000F07AF" w:rsidP="002928D4" w:rsidRDefault="000F07AF" w14:paraId="08EC2D7C" w14:textId="6E8378E1">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Where they exist, site commission payments are a significant factor contributing to high rates and can account for 20 – 88 percent of IPCS costs.</w:t>
      </w:r>
    </w:p>
    <w:p w:rsidRPr="002928D4" w:rsidR="00C765FC" w:rsidP="002928D4" w:rsidRDefault="00C87B9E" w14:paraId="133DE0BD" w14:textId="05FEA799">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A </w:t>
      </w:r>
      <w:r w:rsidRPr="3934F952" w:rsidR="00017BD8">
        <w:rPr>
          <w:rFonts w:eastAsiaTheme="minorEastAsia" w:cstheme="minorBidi"/>
          <w:sz w:val="26"/>
          <w:szCs w:val="26"/>
        </w:rPr>
        <w:t xml:space="preserve">portion of </w:t>
      </w:r>
      <w:r w:rsidRPr="3934F952" w:rsidR="00940842">
        <w:rPr>
          <w:rFonts w:eastAsiaTheme="minorEastAsia" w:cstheme="minorBidi"/>
          <w:sz w:val="26"/>
          <w:szCs w:val="26"/>
        </w:rPr>
        <w:t>high</w:t>
      </w:r>
      <w:r w:rsidRPr="3934F952" w:rsidR="00017BD8">
        <w:rPr>
          <w:rFonts w:eastAsiaTheme="minorEastAsia" w:cstheme="minorBidi"/>
          <w:sz w:val="26"/>
          <w:szCs w:val="26"/>
        </w:rPr>
        <w:t xml:space="preserve"> IPCS rates </w:t>
      </w:r>
      <w:r w:rsidRPr="3934F952" w:rsidR="00FA35D7">
        <w:rPr>
          <w:rFonts w:eastAsiaTheme="minorEastAsia" w:cstheme="minorBidi"/>
          <w:sz w:val="26"/>
          <w:szCs w:val="26"/>
        </w:rPr>
        <w:t xml:space="preserve">in California </w:t>
      </w:r>
      <w:r w:rsidRPr="3934F952" w:rsidR="00017BD8">
        <w:rPr>
          <w:rFonts w:eastAsiaTheme="minorEastAsia" w:cstheme="minorBidi"/>
          <w:sz w:val="26"/>
          <w:szCs w:val="26"/>
        </w:rPr>
        <w:t>stem</w:t>
      </w:r>
      <w:r w:rsidRPr="3934F952" w:rsidR="00E06A6B">
        <w:rPr>
          <w:rFonts w:eastAsiaTheme="minorEastAsia" w:cstheme="minorBidi"/>
          <w:sz w:val="26"/>
          <w:szCs w:val="26"/>
        </w:rPr>
        <w:t xml:space="preserve"> </w:t>
      </w:r>
      <w:r w:rsidRPr="3934F952" w:rsidR="00017BD8">
        <w:rPr>
          <w:rFonts w:eastAsiaTheme="minorEastAsia" w:cstheme="minorBidi"/>
          <w:sz w:val="26"/>
          <w:szCs w:val="26"/>
        </w:rPr>
        <w:t xml:space="preserve">from revenue collected by providers to recoup commission payments. </w:t>
      </w:r>
    </w:p>
    <w:p w:rsidRPr="002928D4" w:rsidR="009A77B6" w:rsidP="00311B65" w:rsidRDefault="003E654D" w14:paraId="16F33EA8" w14:textId="295E1275">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Virtually a</w:t>
      </w:r>
      <w:r w:rsidRPr="3934F952" w:rsidR="006559F1">
        <w:rPr>
          <w:rFonts w:eastAsiaTheme="minorEastAsia" w:cstheme="minorBidi"/>
          <w:sz w:val="26"/>
          <w:szCs w:val="26"/>
        </w:rPr>
        <w:t xml:space="preserve">ll incarceration facilities in California utilize one </w:t>
      </w:r>
      <w:r w:rsidRPr="3934F952" w:rsidR="00D0344B">
        <w:rPr>
          <w:rFonts w:eastAsiaTheme="minorEastAsia" w:cstheme="minorBidi"/>
          <w:sz w:val="26"/>
          <w:szCs w:val="26"/>
        </w:rPr>
        <w:t xml:space="preserve">telephone </w:t>
      </w:r>
      <w:r w:rsidRPr="3934F952" w:rsidR="00946CC0">
        <w:rPr>
          <w:rFonts w:eastAsiaTheme="minorEastAsia" w:cstheme="minorBidi"/>
          <w:sz w:val="26"/>
          <w:szCs w:val="26"/>
        </w:rPr>
        <w:t>corporation t</w:t>
      </w:r>
      <w:r w:rsidRPr="3934F952" w:rsidR="006559F1">
        <w:rPr>
          <w:rFonts w:eastAsiaTheme="minorEastAsia" w:cstheme="minorBidi"/>
          <w:sz w:val="26"/>
          <w:szCs w:val="26"/>
        </w:rPr>
        <w:t xml:space="preserve">o provide </w:t>
      </w:r>
      <w:r w:rsidRPr="3934F952" w:rsidR="00C465D4">
        <w:rPr>
          <w:rFonts w:eastAsiaTheme="minorEastAsia" w:cstheme="minorBidi"/>
          <w:sz w:val="26"/>
          <w:szCs w:val="26"/>
        </w:rPr>
        <w:t>voice</w:t>
      </w:r>
      <w:r w:rsidRPr="3934F952" w:rsidR="00BC0A55">
        <w:rPr>
          <w:rFonts w:eastAsiaTheme="minorEastAsia" w:cstheme="minorBidi"/>
          <w:sz w:val="26"/>
          <w:szCs w:val="26"/>
        </w:rPr>
        <w:t xml:space="preserve"> </w:t>
      </w:r>
      <w:r w:rsidRPr="3934F952" w:rsidR="00946CC0">
        <w:rPr>
          <w:rFonts w:eastAsiaTheme="minorEastAsia" w:cstheme="minorBidi"/>
          <w:sz w:val="26"/>
          <w:szCs w:val="26"/>
        </w:rPr>
        <w:t xml:space="preserve">IPCS </w:t>
      </w:r>
      <w:r w:rsidRPr="3934F952" w:rsidR="006559F1">
        <w:rPr>
          <w:rFonts w:eastAsiaTheme="minorEastAsia" w:cstheme="minorBidi"/>
          <w:sz w:val="26"/>
          <w:szCs w:val="26"/>
        </w:rPr>
        <w:t xml:space="preserve">such that incarcerated persons and their families in California have no </w:t>
      </w:r>
      <w:r w:rsidRPr="3934F952" w:rsidR="006D462C">
        <w:rPr>
          <w:rFonts w:eastAsiaTheme="minorEastAsia" w:cstheme="minorBidi"/>
          <w:sz w:val="26"/>
          <w:szCs w:val="26"/>
        </w:rPr>
        <w:t>viable alternative</w:t>
      </w:r>
      <w:r w:rsidRPr="3934F952" w:rsidR="007C1949">
        <w:rPr>
          <w:rFonts w:eastAsiaTheme="minorEastAsia" w:cstheme="minorBidi"/>
          <w:sz w:val="26"/>
          <w:szCs w:val="26"/>
        </w:rPr>
        <w:t>.</w:t>
      </w:r>
    </w:p>
    <w:p w:rsidRPr="002928D4" w:rsidR="00983303" w:rsidP="00311B65" w:rsidRDefault="009A77B6" w14:paraId="14F7FD37" w14:textId="6A21E6D9">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The IPCS market consist</w:t>
      </w:r>
      <w:r w:rsidRPr="3934F952" w:rsidR="00E64E41">
        <w:rPr>
          <w:rFonts w:eastAsiaTheme="minorEastAsia" w:cstheme="minorBidi"/>
          <w:sz w:val="26"/>
          <w:szCs w:val="26"/>
        </w:rPr>
        <w:t>s</w:t>
      </w:r>
      <w:r w:rsidRPr="3934F952">
        <w:rPr>
          <w:rFonts w:eastAsiaTheme="minorEastAsia" w:cstheme="minorBidi"/>
          <w:sz w:val="26"/>
          <w:szCs w:val="26"/>
        </w:rPr>
        <w:t xml:space="preserve"> of two markets </w:t>
      </w:r>
      <w:r w:rsidRPr="3934F952" w:rsidR="00E64E41">
        <w:rPr>
          <w:rFonts w:eastAsiaTheme="minorEastAsia" w:cstheme="minorBidi"/>
          <w:sz w:val="26"/>
          <w:szCs w:val="26"/>
        </w:rPr>
        <w:t xml:space="preserve">and </w:t>
      </w:r>
      <w:r w:rsidRPr="3934F952">
        <w:rPr>
          <w:rFonts w:eastAsiaTheme="minorEastAsia" w:cstheme="minorBidi"/>
          <w:sz w:val="26"/>
          <w:szCs w:val="26"/>
        </w:rPr>
        <w:t>sets of consumers: providers that compete for the right to provide IPCS to the incarcerated, and the incarcerated and their families.</w:t>
      </w:r>
    </w:p>
    <w:p w:rsidRPr="002928D4" w:rsidR="00385489" w:rsidP="00311B65" w:rsidRDefault="00385489" w14:paraId="18911AF1" w14:textId="31A20147">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lastRenderedPageBreak/>
        <w:t>Once selected, IPCS providers</w:t>
      </w:r>
      <w:r w:rsidRPr="3934F952" w:rsidR="00290257">
        <w:rPr>
          <w:rFonts w:eastAsiaTheme="minorEastAsia" w:cstheme="minorBidi"/>
          <w:sz w:val="26"/>
          <w:szCs w:val="26"/>
        </w:rPr>
        <w:t>, whether individually or collaboratively with incarceration facilities</w:t>
      </w:r>
      <w:r w:rsidRPr="3934F952" w:rsidR="002A1576">
        <w:rPr>
          <w:rFonts w:eastAsiaTheme="minorEastAsia" w:cstheme="minorBidi"/>
          <w:sz w:val="26"/>
          <w:szCs w:val="26"/>
        </w:rPr>
        <w:t xml:space="preserve"> </w:t>
      </w:r>
      <w:r w:rsidRPr="3934F952" w:rsidR="00290257">
        <w:rPr>
          <w:rFonts w:eastAsiaTheme="minorEastAsia" w:cstheme="minorBidi"/>
          <w:sz w:val="26"/>
          <w:szCs w:val="26"/>
        </w:rPr>
        <w:t xml:space="preserve">use their </w:t>
      </w:r>
      <w:r w:rsidRPr="3934F952" w:rsidR="00B23E99">
        <w:rPr>
          <w:rFonts w:eastAsiaTheme="minorEastAsia" w:cstheme="minorBidi"/>
          <w:sz w:val="26"/>
          <w:szCs w:val="26"/>
        </w:rPr>
        <w:t xml:space="preserve">locational </w:t>
      </w:r>
      <w:r w:rsidRPr="3934F952" w:rsidR="00290257">
        <w:rPr>
          <w:rFonts w:eastAsiaTheme="minorEastAsia" w:cstheme="minorBidi"/>
          <w:sz w:val="26"/>
          <w:szCs w:val="26"/>
        </w:rPr>
        <w:t>monopoly status within facilities to exercise market power.</w:t>
      </w:r>
    </w:p>
    <w:p w:rsidRPr="002928D4" w:rsidR="006559F1" w:rsidP="00311B65" w:rsidRDefault="00655CBD" w14:paraId="47323278" w14:textId="087FEFE3">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The </w:t>
      </w:r>
      <w:r w:rsidRPr="3934F952" w:rsidR="00D059CE">
        <w:rPr>
          <w:rFonts w:eastAsiaTheme="minorEastAsia" w:cstheme="minorBidi"/>
          <w:sz w:val="26"/>
          <w:szCs w:val="26"/>
        </w:rPr>
        <w:t>FCC</w:t>
      </w:r>
      <w:r w:rsidRPr="3934F952" w:rsidR="00C43599">
        <w:rPr>
          <w:rFonts w:eastAsiaTheme="minorEastAsia" w:cstheme="minorBidi"/>
          <w:sz w:val="26"/>
          <w:szCs w:val="26"/>
        </w:rPr>
        <w:t>’s 2013 Order</w:t>
      </w:r>
      <w:r w:rsidRPr="3934F952" w:rsidR="00D059CE">
        <w:rPr>
          <w:rFonts w:eastAsiaTheme="minorEastAsia" w:cstheme="minorBidi"/>
          <w:sz w:val="26"/>
          <w:szCs w:val="26"/>
        </w:rPr>
        <w:t xml:space="preserve"> cap</w:t>
      </w:r>
      <w:r w:rsidRPr="3934F952" w:rsidR="00F611F5">
        <w:rPr>
          <w:rFonts w:eastAsiaTheme="minorEastAsia" w:cstheme="minorBidi"/>
          <w:sz w:val="26"/>
          <w:szCs w:val="26"/>
        </w:rPr>
        <w:t>ped</w:t>
      </w:r>
      <w:r w:rsidRPr="3934F952">
        <w:rPr>
          <w:rFonts w:eastAsiaTheme="minorEastAsia" w:cstheme="minorBidi"/>
          <w:sz w:val="26"/>
          <w:szCs w:val="26"/>
        </w:rPr>
        <w:t xml:space="preserve"> </w:t>
      </w:r>
      <w:r w:rsidRPr="3934F952" w:rsidR="00A514CC">
        <w:rPr>
          <w:rFonts w:eastAsiaTheme="minorEastAsia" w:cstheme="minorBidi"/>
          <w:sz w:val="26"/>
          <w:szCs w:val="26"/>
        </w:rPr>
        <w:t xml:space="preserve">interstate IPCS </w:t>
      </w:r>
      <w:r w:rsidRPr="3934F952" w:rsidR="00F611F5">
        <w:rPr>
          <w:rFonts w:eastAsiaTheme="minorEastAsia" w:cstheme="minorBidi"/>
          <w:sz w:val="26"/>
          <w:szCs w:val="26"/>
        </w:rPr>
        <w:t>rates at</w:t>
      </w:r>
      <w:r w:rsidRPr="3934F952" w:rsidR="00D059CE">
        <w:rPr>
          <w:rFonts w:eastAsiaTheme="minorEastAsia" w:cstheme="minorBidi"/>
          <w:sz w:val="26"/>
          <w:szCs w:val="26"/>
        </w:rPr>
        <w:t xml:space="preserve"> </w:t>
      </w:r>
      <w:r w:rsidRPr="3934F952" w:rsidR="006D6864">
        <w:rPr>
          <w:rFonts w:eastAsiaTheme="minorEastAsia" w:cstheme="minorBidi"/>
          <w:sz w:val="26"/>
          <w:szCs w:val="26"/>
        </w:rPr>
        <w:t>$0.21 per minute for debit and prepaid calls and $0.25 per minute for collect calls</w:t>
      </w:r>
      <w:r w:rsidRPr="3934F952" w:rsidR="00897266">
        <w:rPr>
          <w:rFonts w:eastAsiaTheme="minorEastAsia" w:cstheme="minorBidi"/>
          <w:sz w:val="26"/>
          <w:szCs w:val="26"/>
        </w:rPr>
        <w:t>.</w:t>
      </w:r>
    </w:p>
    <w:p w:rsidRPr="002928D4" w:rsidR="004D47EF" w:rsidP="00311B65" w:rsidRDefault="003E1982" w14:paraId="39052C75" w14:textId="784EC468">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The FCC’s </w:t>
      </w:r>
      <w:r w:rsidRPr="3934F952" w:rsidR="00F611F5">
        <w:rPr>
          <w:rFonts w:eastAsiaTheme="minorEastAsia" w:cstheme="minorBidi"/>
          <w:sz w:val="26"/>
          <w:szCs w:val="26"/>
        </w:rPr>
        <w:t xml:space="preserve">2021 </w:t>
      </w:r>
      <w:r w:rsidRPr="3934F952">
        <w:rPr>
          <w:rFonts w:eastAsiaTheme="minorEastAsia" w:cstheme="minorBidi"/>
          <w:sz w:val="26"/>
          <w:szCs w:val="26"/>
        </w:rPr>
        <w:t>Third Order</w:t>
      </w:r>
      <w:r w:rsidRPr="3934F952" w:rsidR="009D43D9">
        <w:rPr>
          <w:rFonts w:eastAsiaTheme="minorEastAsia" w:cstheme="minorBidi"/>
          <w:sz w:val="26"/>
          <w:szCs w:val="26"/>
        </w:rPr>
        <w:t xml:space="preserve"> </w:t>
      </w:r>
      <w:r w:rsidRPr="3934F952" w:rsidR="007E4C21">
        <w:rPr>
          <w:rFonts w:eastAsiaTheme="minorEastAsia" w:cstheme="minorBidi"/>
          <w:sz w:val="26"/>
          <w:szCs w:val="26"/>
        </w:rPr>
        <w:t>lower</w:t>
      </w:r>
      <w:r w:rsidRPr="3934F952" w:rsidR="00AC051A">
        <w:rPr>
          <w:rFonts w:eastAsiaTheme="minorEastAsia" w:cstheme="minorBidi"/>
          <w:sz w:val="26"/>
          <w:szCs w:val="26"/>
        </w:rPr>
        <w:t>s</w:t>
      </w:r>
      <w:r w:rsidRPr="3934F952" w:rsidR="007E4C21">
        <w:rPr>
          <w:rFonts w:eastAsiaTheme="minorEastAsia" w:cstheme="minorBidi"/>
          <w:sz w:val="26"/>
          <w:szCs w:val="26"/>
        </w:rPr>
        <w:t xml:space="preserve"> interstate </w:t>
      </w:r>
      <w:r w:rsidRPr="3934F952" w:rsidR="009D43D9">
        <w:rPr>
          <w:rFonts w:eastAsiaTheme="minorEastAsia" w:cstheme="minorBidi"/>
          <w:sz w:val="26"/>
          <w:szCs w:val="26"/>
        </w:rPr>
        <w:t>IPCS r</w:t>
      </w:r>
      <w:r w:rsidRPr="3934F952" w:rsidR="007E4C21">
        <w:rPr>
          <w:rFonts w:eastAsiaTheme="minorEastAsia" w:cstheme="minorBidi"/>
          <w:sz w:val="26"/>
          <w:szCs w:val="26"/>
        </w:rPr>
        <w:t>ate caps to $0.1</w:t>
      </w:r>
      <w:r w:rsidRPr="3934F952" w:rsidR="00897266">
        <w:rPr>
          <w:rFonts w:eastAsiaTheme="minorEastAsia" w:cstheme="minorBidi"/>
          <w:sz w:val="26"/>
          <w:szCs w:val="26"/>
        </w:rPr>
        <w:t>2</w:t>
      </w:r>
      <w:r w:rsidRPr="3934F952" w:rsidR="007E4C21">
        <w:rPr>
          <w:rFonts w:eastAsiaTheme="minorEastAsia" w:cstheme="minorBidi"/>
          <w:sz w:val="26"/>
          <w:szCs w:val="26"/>
        </w:rPr>
        <w:t xml:space="preserve"> per minute for debit, prepaid, and collect calls from prisons, and $0.1</w:t>
      </w:r>
      <w:r w:rsidRPr="3934F952" w:rsidR="00897266">
        <w:rPr>
          <w:rFonts w:eastAsiaTheme="minorEastAsia" w:cstheme="minorBidi"/>
          <w:sz w:val="26"/>
          <w:szCs w:val="26"/>
        </w:rPr>
        <w:t>4</w:t>
      </w:r>
      <w:r w:rsidRPr="3934F952" w:rsidR="007E4C21">
        <w:rPr>
          <w:rFonts w:eastAsiaTheme="minorEastAsia" w:cstheme="minorBidi"/>
          <w:sz w:val="26"/>
          <w:szCs w:val="26"/>
        </w:rPr>
        <w:t xml:space="preserve"> per minute for </w:t>
      </w:r>
      <w:r w:rsidRPr="3934F952" w:rsidR="00D00C43">
        <w:rPr>
          <w:rFonts w:eastAsiaTheme="minorEastAsia" w:cstheme="minorBidi"/>
          <w:sz w:val="26"/>
          <w:szCs w:val="26"/>
        </w:rPr>
        <w:t xml:space="preserve">all </w:t>
      </w:r>
      <w:r w:rsidRPr="3934F952" w:rsidR="007E4C21">
        <w:rPr>
          <w:rFonts w:eastAsiaTheme="minorEastAsia" w:cstheme="minorBidi"/>
          <w:sz w:val="26"/>
          <w:szCs w:val="26"/>
        </w:rPr>
        <w:t>calls from jails</w:t>
      </w:r>
      <w:r w:rsidRPr="3934F952" w:rsidR="00DB575C">
        <w:rPr>
          <w:rFonts w:eastAsiaTheme="minorEastAsia" w:cstheme="minorBidi"/>
          <w:sz w:val="26"/>
          <w:szCs w:val="26"/>
        </w:rPr>
        <w:t xml:space="preserve"> with populations over 1,000</w:t>
      </w:r>
      <w:r w:rsidRPr="3934F952" w:rsidR="00020DB2">
        <w:rPr>
          <w:rFonts w:eastAsiaTheme="minorEastAsia" w:cstheme="minorBidi"/>
          <w:sz w:val="26"/>
          <w:szCs w:val="26"/>
        </w:rPr>
        <w:t xml:space="preserve">; </w:t>
      </w:r>
      <w:r w:rsidRPr="3934F952" w:rsidR="00F97CE5">
        <w:rPr>
          <w:rFonts w:eastAsiaTheme="minorEastAsia" w:cstheme="minorBidi"/>
          <w:sz w:val="26"/>
          <w:szCs w:val="26"/>
        </w:rPr>
        <w:t>a</w:t>
      </w:r>
      <w:r w:rsidRPr="3934F952" w:rsidR="00090921">
        <w:rPr>
          <w:rFonts w:eastAsiaTheme="minorEastAsia" w:cstheme="minorBidi"/>
          <w:sz w:val="26"/>
          <w:szCs w:val="26"/>
        </w:rPr>
        <w:t>l</w:t>
      </w:r>
      <w:r w:rsidRPr="3934F952">
        <w:rPr>
          <w:rFonts w:eastAsiaTheme="minorEastAsia" w:cstheme="minorBidi"/>
          <w:sz w:val="26"/>
          <w:szCs w:val="26"/>
        </w:rPr>
        <w:t>low</w:t>
      </w:r>
      <w:r w:rsidRPr="3934F952" w:rsidR="00090921">
        <w:rPr>
          <w:rFonts w:eastAsiaTheme="minorEastAsia" w:cstheme="minorBidi"/>
          <w:sz w:val="26"/>
          <w:szCs w:val="26"/>
        </w:rPr>
        <w:t xml:space="preserve">s </w:t>
      </w:r>
      <w:r w:rsidRPr="3934F952">
        <w:rPr>
          <w:rFonts w:eastAsiaTheme="minorEastAsia" w:cstheme="minorBidi"/>
          <w:sz w:val="26"/>
          <w:szCs w:val="26"/>
        </w:rPr>
        <w:t>revenue collection of an additional $0.02 per minute for site commission payments that are reasonably related to the facility’s cost of enabling IPCS</w:t>
      </w:r>
      <w:r w:rsidRPr="3934F952" w:rsidR="00D309B9">
        <w:rPr>
          <w:rFonts w:eastAsiaTheme="minorEastAsia" w:cstheme="minorBidi"/>
          <w:sz w:val="26"/>
          <w:szCs w:val="26"/>
        </w:rPr>
        <w:t xml:space="preserve">, if these </w:t>
      </w:r>
      <w:r w:rsidRPr="3934F952">
        <w:rPr>
          <w:rFonts w:eastAsiaTheme="minorEastAsia" w:cstheme="minorBidi"/>
          <w:sz w:val="26"/>
          <w:szCs w:val="26"/>
        </w:rPr>
        <w:t>result from contractual obligations or negotiations</w:t>
      </w:r>
      <w:r w:rsidRPr="3934F952" w:rsidR="00020DB2">
        <w:rPr>
          <w:rFonts w:eastAsiaTheme="minorEastAsia" w:cstheme="minorBidi"/>
          <w:sz w:val="26"/>
          <w:szCs w:val="26"/>
        </w:rPr>
        <w:t>; and, allows the pass-through without markup of any site commission payments required under codified law or regulations up to a total rate of $0.21 per minute</w:t>
      </w:r>
      <w:r w:rsidRPr="3934F952" w:rsidR="00FA4E52">
        <w:rPr>
          <w:rFonts w:eastAsiaTheme="minorEastAsia" w:cstheme="minorBidi"/>
          <w:sz w:val="26"/>
          <w:szCs w:val="26"/>
        </w:rPr>
        <w:t>.</w:t>
      </w:r>
    </w:p>
    <w:p w:rsidRPr="002928D4" w:rsidR="00C742AD" w:rsidP="00311B65" w:rsidRDefault="0020503A" w14:paraId="16C528F8" w14:textId="2F17D098">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The </w:t>
      </w:r>
      <w:r w:rsidRPr="3934F952" w:rsidR="00D37FCC">
        <w:rPr>
          <w:rFonts w:eastAsiaTheme="minorEastAsia" w:cstheme="minorBidi"/>
          <w:sz w:val="26"/>
          <w:szCs w:val="26"/>
        </w:rPr>
        <w:t>FCC</w:t>
      </w:r>
      <w:r w:rsidRPr="3934F952" w:rsidR="008A6E8B">
        <w:rPr>
          <w:rFonts w:eastAsiaTheme="minorEastAsia" w:cstheme="minorBidi"/>
          <w:sz w:val="26"/>
          <w:szCs w:val="26"/>
        </w:rPr>
        <w:t xml:space="preserve">’s </w:t>
      </w:r>
      <w:r w:rsidRPr="3934F952" w:rsidR="00C742AD">
        <w:rPr>
          <w:rFonts w:eastAsiaTheme="minorEastAsia" w:cstheme="minorBidi"/>
          <w:sz w:val="26"/>
          <w:szCs w:val="26"/>
        </w:rPr>
        <w:t xml:space="preserve">Third Order retains </w:t>
      </w:r>
      <w:r w:rsidRPr="3934F952" w:rsidR="002A1576">
        <w:rPr>
          <w:rFonts w:eastAsiaTheme="minorEastAsia" w:cstheme="minorBidi"/>
          <w:sz w:val="26"/>
          <w:szCs w:val="26"/>
        </w:rPr>
        <w:t xml:space="preserve">a </w:t>
      </w:r>
      <w:r w:rsidRPr="3934F952" w:rsidR="00C742AD">
        <w:rPr>
          <w:rFonts w:eastAsiaTheme="minorEastAsia" w:cstheme="minorBidi"/>
          <w:sz w:val="26"/>
          <w:szCs w:val="26"/>
        </w:rPr>
        <w:t>per-minute rate cap of $0.21 per minute for all calls from jails with populations less than 1,000</w:t>
      </w:r>
      <w:r w:rsidRPr="3934F952" w:rsidR="00F611F5">
        <w:rPr>
          <w:rFonts w:eastAsiaTheme="minorEastAsia" w:cstheme="minorBidi"/>
          <w:sz w:val="26"/>
          <w:szCs w:val="26"/>
        </w:rPr>
        <w:t>.</w:t>
      </w:r>
    </w:p>
    <w:p w:rsidRPr="002928D4" w:rsidR="00363224" w:rsidP="00311B65" w:rsidRDefault="00363224" w14:paraId="0C356343" w14:textId="6DA76CC6">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The March 2021 CDCR contract </w:t>
      </w:r>
      <w:r w:rsidRPr="3934F952" w:rsidR="00C066B7">
        <w:rPr>
          <w:rFonts w:eastAsiaTheme="minorEastAsia" w:cstheme="minorBidi"/>
          <w:sz w:val="26"/>
          <w:szCs w:val="26"/>
        </w:rPr>
        <w:t xml:space="preserve">of $0.025 per minute </w:t>
      </w:r>
      <w:r w:rsidRPr="3934F952">
        <w:rPr>
          <w:rFonts w:eastAsiaTheme="minorEastAsia" w:cstheme="minorBidi"/>
          <w:sz w:val="26"/>
          <w:szCs w:val="26"/>
        </w:rPr>
        <w:t xml:space="preserve">provides a benchmark of the costs of providing </w:t>
      </w:r>
      <w:r w:rsidRPr="3934F952" w:rsidR="008307D0">
        <w:rPr>
          <w:rFonts w:eastAsiaTheme="minorEastAsia" w:cstheme="minorBidi"/>
          <w:sz w:val="26"/>
          <w:szCs w:val="26"/>
        </w:rPr>
        <w:t xml:space="preserve">intrastate </w:t>
      </w:r>
      <w:r w:rsidRPr="3934F952">
        <w:rPr>
          <w:rFonts w:eastAsiaTheme="minorEastAsia" w:cstheme="minorBidi"/>
          <w:sz w:val="26"/>
          <w:szCs w:val="26"/>
        </w:rPr>
        <w:t xml:space="preserve">IPCS at reasonable rates </w:t>
      </w:r>
      <w:r w:rsidRPr="3934F952" w:rsidR="00B44B11">
        <w:rPr>
          <w:rFonts w:eastAsiaTheme="minorEastAsia" w:cstheme="minorBidi"/>
          <w:sz w:val="26"/>
          <w:szCs w:val="26"/>
        </w:rPr>
        <w:t>in prisons</w:t>
      </w:r>
      <w:r w:rsidRPr="3934F952">
        <w:rPr>
          <w:rFonts w:eastAsiaTheme="minorEastAsia" w:cstheme="minorBidi"/>
          <w:sz w:val="26"/>
          <w:szCs w:val="26"/>
        </w:rPr>
        <w:t>.</w:t>
      </w:r>
    </w:p>
    <w:p w:rsidRPr="002928D4" w:rsidR="00DD487C" w:rsidP="00311B65" w:rsidRDefault="00B306A9" w14:paraId="3C8C0BAA" w14:textId="2F253D2E">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The FCC’s Third Order indicates it cost</w:t>
      </w:r>
      <w:r w:rsidRPr="3934F952" w:rsidR="009D7AF0">
        <w:rPr>
          <w:rFonts w:eastAsiaTheme="minorEastAsia" w:cstheme="minorBidi"/>
          <w:sz w:val="26"/>
          <w:szCs w:val="26"/>
        </w:rPr>
        <w:t>s</w:t>
      </w:r>
      <w:r w:rsidRPr="3934F952">
        <w:rPr>
          <w:rFonts w:eastAsiaTheme="minorEastAsia" w:cstheme="minorBidi"/>
          <w:sz w:val="26"/>
          <w:szCs w:val="26"/>
        </w:rPr>
        <w:t xml:space="preserve"> service providers </w:t>
      </w:r>
      <w:r w:rsidRPr="3934F952" w:rsidR="009D7AF0">
        <w:rPr>
          <w:rFonts w:eastAsiaTheme="minorEastAsia" w:cstheme="minorBidi"/>
          <w:sz w:val="26"/>
          <w:szCs w:val="26"/>
        </w:rPr>
        <w:t xml:space="preserve">approximately </w:t>
      </w:r>
      <w:r w:rsidRPr="3934F952">
        <w:rPr>
          <w:rFonts w:eastAsiaTheme="minorEastAsia" w:cstheme="minorBidi"/>
          <w:sz w:val="26"/>
          <w:szCs w:val="26"/>
        </w:rPr>
        <w:t xml:space="preserve">22 </w:t>
      </w:r>
      <w:r w:rsidRPr="3934F952" w:rsidR="00DD487C">
        <w:rPr>
          <w:rFonts w:eastAsiaTheme="minorEastAsia" w:cstheme="minorBidi"/>
          <w:sz w:val="26"/>
          <w:szCs w:val="26"/>
        </w:rPr>
        <w:t xml:space="preserve">to 25 </w:t>
      </w:r>
      <w:r w:rsidRPr="3934F952">
        <w:rPr>
          <w:rFonts w:eastAsiaTheme="minorEastAsia" w:cstheme="minorBidi"/>
          <w:sz w:val="26"/>
          <w:szCs w:val="26"/>
        </w:rPr>
        <w:t>percent more to provide IPCS in jails with populations greater than 1,000 as compared to prisons</w:t>
      </w:r>
      <w:r w:rsidRPr="3934F952" w:rsidR="00DD487C">
        <w:rPr>
          <w:rFonts w:eastAsiaTheme="minorEastAsia" w:cstheme="minorBidi"/>
          <w:sz w:val="26"/>
          <w:szCs w:val="26"/>
        </w:rPr>
        <w:t>.</w:t>
      </w:r>
    </w:p>
    <w:p w:rsidRPr="002928D4" w:rsidR="005669ED" w:rsidP="00311B65" w:rsidRDefault="00D0011A" w14:paraId="777533CB" w14:textId="26BA56DE">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As of April 2021, 14 U.S. </w:t>
      </w:r>
      <w:r w:rsidRPr="3934F952" w:rsidR="005669ED">
        <w:rPr>
          <w:rFonts w:eastAsiaTheme="minorEastAsia" w:cstheme="minorBidi"/>
          <w:sz w:val="26"/>
          <w:szCs w:val="26"/>
        </w:rPr>
        <w:t xml:space="preserve">states have average </w:t>
      </w:r>
      <w:r w:rsidRPr="3934F952">
        <w:rPr>
          <w:rFonts w:eastAsiaTheme="minorEastAsia" w:cstheme="minorBidi"/>
          <w:sz w:val="26"/>
          <w:szCs w:val="26"/>
        </w:rPr>
        <w:t xml:space="preserve">intrastate IPCS </w:t>
      </w:r>
      <w:r w:rsidRPr="3934F952" w:rsidR="00F3674F">
        <w:rPr>
          <w:rFonts w:eastAsiaTheme="minorEastAsia" w:cstheme="minorBidi"/>
          <w:sz w:val="26"/>
          <w:szCs w:val="26"/>
        </w:rPr>
        <w:t>rates of $0.05</w:t>
      </w:r>
      <w:r w:rsidRPr="3934F952">
        <w:rPr>
          <w:rFonts w:eastAsiaTheme="minorEastAsia" w:cstheme="minorBidi"/>
          <w:sz w:val="26"/>
          <w:szCs w:val="26"/>
        </w:rPr>
        <w:t xml:space="preserve"> or less in prisons</w:t>
      </w:r>
      <w:r w:rsidRPr="3934F952" w:rsidR="00EF75CD">
        <w:rPr>
          <w:rFonts w:eastAsiaTheme="minorEastAsia" w:cstheme="minorBidi"/>
          <w:sz w:val="26"/>
          <w:szCs w:val="26"/>
        </w:rPr>
        <w:t>.</w:t>
      </w:r>
    </w:p>
    <w:p w:rsidRPr="002928D4" w:rsidR="00A13937" w:rsidP="00311B65" w:rsidRDefault="00A13937" w14:paraId="1331810B" w14:textId="3FA1723F">
      <w:pPr>
        <w:pStyle w:val="FoF"/>
        <w:numPr>
          <w:ilvl w:val="0"/>
          <w:numId w:val="26"/>
        </w:numPr>
        <w:ind w:left="0" w:firstLine="180"/>
        <w:rPr>
          <w:rFonts w:eastAsiaTheme="minorEastAsia" w:cstheme="minorBidi"/>
          <w:sz w:val="26"/>
          <w:szCs w:val="26"/>
        </w:rPr>
      </w:pPr>
      <w:bookmarkStart w:name="_Hlk75522358" w:id="77"/>
      <w:r w:rsidRPr="3934F952">
        <w:rPr>
          <w:rFonts w:eastAsiaTheme="minorEastAsia" w:cstheme="minorBidi"/>
          <w:sz w:val="26"/>
          <w:szCs w:val="26"/>
        </w:rPr>
        <w:t xml:space="preserve">As of April 2021, </w:t>
      </w:r>
      <w:r w:rsidRPr="3934F952" w:rsidR="009324E3">
        <w:rPr>
          <w:rFonts w:eastAsiaTheme="minorEastAsia" w:cstheme="minorBidi"/>
          <w:sz w:val="26"/>
          <w:szCs w:val="26"/>
        </w:rPr>
        <w:t xml:space="preserve">the rate for </w:t>
      </w:r>
      <w:r w:rsidRPr="3934F952">
        <w:rPr>
          <w:rFonts w:eastAsiaTheme="minorEastAsia" w:cstheme="minorBidi"/>
          <w:sz w:val="26"/>
          <w:szCs w:val="26"/>
        </w:rPr>
        <w:t xml:space="preserve">phone calls </w:t>
      </w:r>
      <w:r w:rsidRPr="3934F952" w:rsidR="009324E3">
        <w:rPr>
          <w:rFonts w:eastAsiaTheme="minorEastAsia" w:cstheme="minorBidi"/>
          <w:sz w:val="26"/>
          <w:szCs w:val="26"/>
        </w:rPr>
        <w:t xml:space="preserve">from prisons in </w:t>
      </w:r>
      <w:r w:rsidRPr="3934F952">
        <w:rPr>
          <w:rFonts w:eastAsiaTheme="minorEastAsia" w:cstheme="minorBidi"/>
          <w:sz w:val="26"/>
          <w:szCs w:val="26"/>
        </w:rPr>
        <w:t>Illinois</w:t>
      </w:r>
      <w:r w:rsidRPr="3934F952" w:rsidR="009324E3">
        <w:rPr>
          <w:rFonts w:eastAsiaTheme="minorEastAsia" w:cstheme="minorBidi"/>
          <w:sz w:val="26"/>
          <w:szCs w:val="26"/>
        </w:rPr>
        <w:t xml:space="preserve"> is </w:t>
      </w:r>
      <w:r w:rsidRPr="3934F952">
        <w:rPr>
          <w:rFonts w:eastAsiaTheme="minorEastAsia" w:cstheme="minorBidi"/>
          <w:sz w:val="26"/>
          <w:szCs w:val="26"/>
        </w:rPr>
        <w:t>$0.009 per minute</w:t>
      </w:r>
      <w:r w:rsidRPr="3934F952" w:rsidR="009324E3">
        <w:rPr>
          <w:rFonts w:eastAsiaTheme="minorEastAsia" w:cstheme="minorBidi"/>
          <w:sz w:val="26"/>
          <w:szCs w:val="26"/>
        </w:rPr>
        <w:t xml:space="preserve">, in </w:t>
      </w:r>
      <w:r w:rsidRPr="3934F952">
        <w:rPr>
          <w:rFonts w:eastAsiaTheme="minorEastAsia" w:cstheme="minorBidi"/>
          <w:sz w:val="26"/>
          <w:szCs w:val="26"/>
        </w:rPr>
        <w:t xml:space="preserve">Dallas County, </w:t>
      </w:r>
      <w:r w:rsidRPr="3934F952" w:rsidR="002A1576">
        <w:rPr>
          <w:rFonts w:eastAsiaTheme="minorEastAsia" w:cstheme="minorBidi"/>
          <w:sz w:val="26"/>
          <w:szCs w:val="26"/>
        </w:rPr>
        <w:t xml:space="preserve">Texas, </w:t>
      </w:r>
      <w:r w:rsidRPr="3934F952" w:rsidR="006428BC">
        <w:rPr>
          <w:rFonts w:eastAsiaTheme="minorEastAsia" w:cstheme="minorBidi"/>
          <w:sz w:val="26"/>
          <w:szCs w:val="26"/>
        </w:rPr>
        <w:t xml:space="preserve">the rate for </w:t>
      </w:r>
      <w:r w:rsidRPr="3934F952">
        <w:rPr>
          <w:rFonts w:eastAsiaTheme="minorEastAsia" w:cstheme="minorBidi"/>
          <w:sz w:val="26"/>
          <w:szCs w:val="26"/>
        </w:rPr>
        <w:t xml:space="preserve">phone calls </w:t>
      </w:r>
      <w:r w:rsidRPr="3934F952" w:rsidR="009324E3">
        <w:rPr>
          <w:rFonts w:eastAsiaTheme="minorEastAsia" w:cstheme="minorBidi"/>
          <w:sz w:val="26"/>
          <w:szCs w:val="26"/>
        </w:rPr>
        <w:t xml:space="preserve">from jails </w:t>
      </w:r>
      <w:r w:rsidRPr="3934F952" w:rsidR="006428BC">
        <w:rPr>
          <w:rFonts w:eastAsiaTheme="minorEastAsia" w:cstheme="minorBidi"/>
          <w:sz w:val="26"/>
          <w:szCs w:val="26"/>
        </w:rPr>
        <w:t xml:space="preserve">is </w:t>
      </w:r>
      <w:r w:rsidRPr="3934F952">
        <w:rPr>
          <w:rFonts w:eastAsiaTheme="minorEastAsia" w:cstheme="minorBidi"/>
          <w:sz w:val="26"/>
          <w:szCs w:val="26"/>
        </w:rPr>
        <w:t xml:space="preserve">$0.0119 </w:t>
      </w:r>
      <w:r w:rsidRPr="3934F952">
        <w:rPr>
          <w:rFonts w:eastAsiaTheme="minorEastAsia" w:cstheme="minorBidi"/>
          <w:sz w:val="26"/>
          <w:szCs w:val="26"/>
        </w:rPr>
        <w:lastRenderedPageBreak/>
        <w:t>per minute</w:t>
      </w:r>
      <w:r w:rsidRPr="3934F952" w:rsidR="006428BC">
        <w:rPr>
          <w:rFonts w:eastAsiaTheme="minorEastAsia" w:cstheme="minorBidi"/>
          <w:sz w:val="26"/>
          <w:szCs w:val="26"/>
        </w:rPr>
        <w:t xml:space="preserve">, </w:t>
      </w:r>
      <w:r w:rsidRPr="3934F952" w:rsidR="00B01893">
        <w:rPr>
          <w:rFonts w:eastAsiaTheme="minorEastAsia" w:cstheme="minorBidi"/>
          <w:sz w:val="26"/>
          <w:szCs w:val="26"/>
        </w:rPr>
        <w:t xml:space="preserve">and </w:t>
      </w:r>
      <w:r w:rsidRPr="3934F952" w:rsidR="006428BC">
        <w:rPr>
          <w:rFonts w:eastAsiaTheme="minorEastAsia" w:cstheme="minorBidi"/>
          <w:sz w:val="26"/>
          <w:szCs w:val="26"/>
        </w:rPr>
        <w:t xml:space="preserve">in </w:t>
      </w:r>
      <w:r w:rsidRPr="3934F952">
        <w:rPr>
          <w:rFonts w:eastAsiaTheme="minorEastAsia" w:cstheme="minorBidi"/>
          <w:sz w:val="26"/>
          <w:szCs w:val="26"/>
        </w:rPr>
        <w:t>New York City, where jail phone calls are free to families, the</w:t>
      </w:r>
      <w:r w:rsidRPr="3934F952" w:rsidR="006428BC">
        <w:rPr>
          <w:rFonts w:eastAsiaTheme="minorEastAsia" w:cstheme="minorBidi"/>
          <w:sz w:val="26"/>
          <w:szCs w:val="26"/>
        </w:rPr>
        <w:t xml:space="preserve"> rate paid by </w:t>
      </w:r>
      <w:r w:rsidRPr="3934F952" w:rsidR="004A7DAA">
        <w:rPr>
          <w:rFonts w:eastAsiaTheme="minorEastAsia" w:cstheme="minorBidi"/>
          <w:sz w:val="26"/>
          <w:szCs w:val="26"/>
        </w:rPr>
        <w:t xml:space="preserve">the city is </w:t>
      </w:r>
      <w:r w:rsidRPr="3934F952">
        <w:rPr>
          <w:rFonts w:eastAsiaTheme="minorEastAsia" w:cstheme="minorBidi"/>
          <w:sz w:val="26"/>
          <w:szCs w:val="26"/>
        </w:rPr>
        <w:t>$0.03 per minute</w:t>
      </w:r>
      <w:r w:rsidRPr="3934F952" w:rsidR="00B01893">
        <w:rPr>
          <w:rFonts w:eastAsiaTheme="minorEastAsia" w:cstheme="minorBidi"/>
          <w:sz w:val="26"/>
          <w:szCs w:val="26"/>
        </w:rPr>
        <w:t xml:space="preserve">. </w:t>
      </w:r>
    </w:p>
    <w:bookmarkEnd w:id="77"/>
    <w:p w:rsidRPr="002928D4" w:rsidR="007218A2" w:rsidP="00311B65" w:rsidRDefault="007F363B" w14:paraId="7AE69FDD" w14:textId="45C105CF">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Some C</w:t>
      </w:r>
      <w:r w:rsidRPr="3934F952" w:rsidR="00F54D4F">
        <w:rPr>
          <w:rFonts w:eastAsiaTheme="minorEastAsia" w:cstheme="minorBidi"/>
          <w:sz w:val="26"/>
          <w:szCs w:val="26"/>
        </w:rPr>
        <w:t xml:space="preserve">alifornia counties currently </w:t>
      </w:r>
      <w:r w:rsidRPr="3934F952" w:rsidR="00C02A9B">
        <w:rPr>
          <w:rFonts w:eastAsiaTheme="minorEastAsia" w:cstheme="minorBidi"/>
          <w:sz w:val="26"/>
          <w:szCs w:val="26"/>
        </w:rPr>
        <w:t>use</w:t>
      </w:r>
      <w:r w:rsidRPr="3934F952" w:rsidR="00F54D4F">
        <w:rPr>
          <w:rFonts w:eastAsiaTheme="minorEastAsia" w:cstheme="minorBidi"/>
          <w:sz w:val="26"/>
          <w:szCs w:val="26"/>
        </w:rPr>
        <w:t xml:space="preserve"> funds from site commissions for rehabilitative</w:t>
      </w:r>
      <w:r w:rsidRPr="3934F952" w:rsidR="000218E0">
        <w:rPr>
          <w:rFonts w:eastAsiaTheme="minorEastAsia" w:cstheme="minorBidi"/>
          <w:sz w:val="26"/>
          <w:szCs w:val="26"/>
        </w:rPr>
        <w:t xml:space="preserve"> and </w:t>
      </w:r>
      <w:r w:rsidRPr="3934F952" w:rsidR="00F54D4F">
        <w:rPr>
          <w:rFonts w:eastAsiaTheme="minorEastAsia" w:cstheme="minorBidi"/>
          <w:sz w:val="26"/>
          <w:szCs w:val="26"/>
        </w:rPr>
        <w:t>educational purposes for the incarcerated and for unrelated purposes</w:t>
      </w:r>
      <w:r w:rsidRPr="3934F952" w:rsidR="003E7C85">
        <w:rPr>
          <w:rFonts w:eastAsiaTheme="minorEastAsia" w:cstheme="minorBidi"/>
          <w:sz w:val="26"/>
          <w:szCs w:val="26"/>
        </w:rPr>
        <w:t>.</w:t>
      </w:r>
    </w:p>
    <w:p w:rsidRPr="002928D4" w:rsidR="000F5E63" w:rsidP="00311B65" w:rsidRDefault="000F5E63" w14:paraId="1F02AD87" w14:textId="6BEC7438">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Adopting a</w:t>
      </w:r>
      <w:r w:rsidRPr="3934F952" w:rsidR="00E42346">
        <w:rPr>
          <w:rFonts w:eastAsiaTheme="minorEastAsia" w:cstheme="minorBidi"/>
          <w:sz w:val="26"/>
          <w:szCs w:val="26"/>
        </w:rPr>
        <w:t>n interim</w:t>
      </w:r>
      <w:r w:rsidRPr="3934F952">
        <w:rPr>
          <w:rFonts w:eastAsiaTheme="minorEastAsia" w:cstheme="minorBidi"/>
          <w:sz w:val="26"/>
          <w:szCs w:val="26"/>
        </w:rPr>
        <w:t xml:space="preserve"> </w:t>
      </w:r>
      <w:r w:rsidRPr="3934F952" w:rsidR="00C02F55">
        <w:rPr>
          <w:rFonts w:eastAsiaTheme="minorEastAsia" w:cstheme="minorBidi"/>
          <w:sz w:val="26"/>
          <w:szCs w:val="26"/>
        </w:rPr>
        <w:t xml:space="preserve">intrastate IPCS rate of </w:t>
      </w:r>
      <w:r w:rsidRPr="3934F952">
        <w:rPr>
          <w:rFonts w:eastAsiaTheme="minorEastAsia" w:cstheme="minorBidi"/>
          <w:sz w:val="26"/>
          <w:szCs w:val="26"/>
        </w:rPr>
        <w:t>$0.07 per minute balances this Commission’s obligation to ensure just and reasonable rates</w:t>
      </w:r>
      <w:r w:rsidRPr="3934F952" w:rsidR="00C02F55">
        <w:rPr>
          <w:rFonts w:eastAsiaTheme="minorEastAsia" w:cstheme="minorBidi"/>
          <w:sz w:val="26"/>
          <w:szCs w:val="26"/>
        </w:rPr>
        <w:t xml:space="preserve"> for </w:t>
      </w:r>
      <w:r w:rsidRPr="3934F952" w:rsidR="007B7517">
        <w:rPr>
          <w:rFonts w:eastAsiaTheme="minorEastAsia" w:cstheme="minorBidi"/>
          <w:sz w:val="26"/>
          <w:szCs w:val="26"/>
        </w:rPr>
        <w:t>services offered by telephone corporations</w:t>
      </w:r>
      <w:r w:rsidRPr="3934F952">
        <w:rPr>
          <w:rFonts w:eastAsiaTheme="minorEastAsia" w:cstheme="minorBidi"/>
          <w:sz w:val="26"/>
          <w:szCs w:val="26"/>
        </w:rPr>
        <w:t xml:space="preserve"> with counties’ </w:t>
      </w:r>
      <w:r w:rsidRPr="3934F952" w:rsidR="003153A2">
        <w:rPr>
          <w:rFonts w:eastAsiaTheme="minorEastAsia" w:cstheme="minorBidi"/>
          <w:sz w:val="26"/>
          <w:szCs w:val="26"/>
        </w:rPr>
        <w:t xml:space="preserve">authority </w:t>
      </w:r>
      <w:r w:rsidRPr="3934F952">
        <w:rPr>
          <w:rFonts w:eastAsiaTheme="minorEastAsia" w:cstheme="minorBidi"/>
          <w:sz w:val="26"/>
          <w:szCs w:val="26"/>
        </w:rPr>
        <w:t xml:space="preserve">to collect </w:t>
      </w:r>
      <w:r w:rsidRPr="3934F952" w:rsidR="002A1576">
        <w:rPr>
          <w:rFonts w:eastAsiaTheme="minorEastAsia" w:cstheme="minorBidi"/>
          <w:sz w:val="26"/>
          <w:szCs w:val="26"/>
        </w:rPr>
        <w:t xml:space="preserve">site </w:t>
      </w:r>
      <w:r w:rsidRPr="3934F952">
        <w:rPr>
          <w:rFonts w:eastAsiaTheme="minorEastAsia" w:cstheme="minorBidi"/>
          <w:sz w:val="26"/>
          <w:szCs w:val="26"/>
        </w:rPr>
        <w:t>commission fees</w:t>
      </w:r>
      <w:r w:rsidRPr="3934F952" w:rsidR="007B7517">
        <w:rPr>
          <w:rFonts w:eastAsiaTheme="minorEastAsia" w:cstheme="minorBidi"/>
          <w:sz w:val="26"/>
          <w:szCs w:val="26"/>
        </w:rPr>
        <w:t xml:space="preserve"> pursuant to Penal Code </w:t>
      </w:r>
      <w:r w:rsidRPr="3934F952" w:rsidR="74485BDB">
        <w:rPr>
          <w:rFonts w:eastAsiaTheme="minorEastAsia" w:cstheme="minorBidi"/>
          <w:sz w:val="26"/>
          <w:szCs w:val="26"/>
        </w:rPr>
        <w:t xml:space="preserve">Section </w:t>
      </w:r>
      <w:r w:rsidRPr="3934F952" w:rsidR="007B7517">
        <w:rPr>
          <w:rFonts w:eastAsiaTheme="minorEastAsia" w:cstheme="minorBidi"/>
          <w:sz w:val="26"/>
          <w:szCs w:val="26"/>
        </w:rPr>
        <w:t>4025</w:t>
      </w:r>
      <w:r w:rsidRPr="3934F952" w:rsidR="00BB7708">
        <w:rPr>
          <w:rFonts w:eastAsiaTheme="minorEastAsia" w:cstheme="minorBidi"/>
          <w:sz w:val="26"/>
          <w:szCs w:val="26"/>
        </w:rPr>
        <w:t>.</w:t>
      </w:r>
    </w:p>
    <w:p w:rsidRPr="002928D4" w:rsidR="00A53D55" w:rsidP="00311B65" w:rsidRDefault="00A53D55" w14:paraId="7E3A2B98" w14:textId="41F9E59B">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Adopting an </w:t>
      </w:r>
      <w:r w:rsidRPr="3934F952" w:rsidR="00024465">
        <w:rPr>
          <w:rFonts w:eastAsiaTheme="minorEastAsia" w:cstheme="minorBidi"/>
          <w:sz w:val="26"/>
          <w:szCs w:val="26"/>
        </w:rPr>
        <w:t xml:space="preserve">interim intrastate IPCS rate cap </w:t>
      </w:r>
      <w:r w:rsidRPr="3934F952">
        <w:rPr>
          <w:rFonts w:eastAsiaTheme="minorEastAsia" w:cstheme="minorBidi"/>
          <w:sz w:val="26"/>
          <w:szCs w:val="26"/>
        </w:rPr>
        <w:t>of $0.07 per minute</w:t>
      </w:r>
      <w:r w:rsidRPr="3934F952" w:rsidR="007B7517">
        <w:rPr>
          <w:rFonts w:eastAsiaTheme="minorEastAsia" w:cstheme="minorBidi"/>
          <w:sz w:val="26"/>
          <w:szCs w:val="26"/>
        </w:rPr>
        <w:t xml:space="preserve"> </w:t>
      </w:r>
      <w:r w:rsidRPr="3934F952">
        <w:rPr>
          <w:rFonts w:eastAsiaTheme="minorEastAsia" w:cstheme="minorBidi"/>
          <w:sz w:val="26"/>
          <w:szCs w:val="26"/>
        </w:rPr>
        <w:t>r</w:t>
      </w:r>
      <w:r w:rsidRPr="3934F952" w:rsidR="00024465">
        <w:rPr>
          <w:rFonts w:eastAsiaTheme="minorEastAsia" w:cstheme="minorBidi"/>
          <w:sz w:val="26"/>
          <w:szCs w:val="26"/>
        </w:rPr>
        <w:t xml:space="preserve">esults </w:t>
      </w:r>
      <w:r w:rsidRPr="3934F952" w:rsidR="6941F8ED">
        <w:rPr>
          <w:rFonts w:eastAsiaTheme="minorEastAsia" w:cstheme="minorBidi"/>
          <w:sz w:val="26"/>
          <w:szCs w:val="26"/>
        </w:rPr>
        <w:t xml:space="preserve">in </w:t>
      </w:r>
      <w:r w:rsidRPr="3934F952" w:rsidR="00024465">
        <w:rPr>
          <w:rFonts w:eastAsiaTheme="minorEastAsia" w:cstheme="minorBidi"/>
          <w:sz w:val="26"/>
          <w:szCs w:val="26"/>
        </w:rPr>
        <w:t xml:space="preserve">less wildly divergent </w:t>
      </w:r>
      <w:r w:rsidRPr="3934F952" w:rsidR="00C02A9B">
        <w:rPr>
          <w:rFonts w:eastAsiaTheme="minorEastAsia" w:cstheme="minorBidi"/>
          <w:sz w:val="26"/>
          <w:szCs w:val="26"/>
        </w:rPr>
        <w:t xml:space="preserve">IPCS </w:t>
      </w:r>
      <w:r w:rsidRPr="3934F952" w:rsidR="00024465">
        <w:rPr>
          <w:rFonts w:eastAsiaTheme="minorEastAsia" w:cstheme="minorBidi"/>
          <w:sz w:val="26"/>
          <w:szCs w:val="26"/>
        </w:rPr>
        <w:t xml:space="preserve">rates for the incarcerated and their families </w:t>
      </w:r>
      <w:r w:rsidRPr="3934F952" w:rsidR="003153A2">
        <w:rPr>
          <w:rFonts w:eastAsiaTheme="minorEastAsia" w:cstheme="minorBidi"/>
          <w:sz w:val="26"/>
          <w:szCs w:val="26"/>
        </w:rPr>
        <w:t xml:space="preserve">across different facilities in </w:t>
      </w:r>
      <w:r w:rsidRPr="3934F952" w:rsidR="00024465">
        <w:rPr>
          <w:rFonts w:eastAsiaTheme="minorEastAsia" w:cstheme="minorBidi"/>
          <w:sz w:val="26"/>
          <w:szCs w:val="26"/>
        </w:rPr>
        <w:t>California</w:t>
      </w:r>
      <w:r w:rsidRPr="3934F952" w:rsidR="00B14601">
        <w:rPr>
          <w:rFonts w:eastAsiaTheme="minorEastAsia" w:cstheme="minorBidi"/>
          <w:sz w:val="26"/>
          <w:szCs w:val="26"/>
        </w:rPr>
        <w:t>.</w:t>
      </w:r>
    </w:p>
    <w:p w:rsidRPr="002928D4" w:rsidR="007B7517" w:rsidP="00311B65" w:rsidRDefault="007B7517" w14:paraId="71AC7A7C" w14:textId="6A1AA018">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Adopting an interim rate cap of $0.07 per minute provides a cushion for counties to identify other funding sources for cost centers currently funded through site commissions</w:t>
      </w:r>
      <w:r w:rsidRPr="3934F952" w:rsidR="003153A2">
        <w:rPr>
          <w:rFonts w:eastAsiaTheme="minorEastAsia" w:cstheme="minorBidi"/>
          <w:sz w:val="26"/>
          <w:szCs w:val="26"/>
        </w:rPr>
        <w:t>.</w:t>
      </w:r>
    </w:p>
    <w:p w:rsidRPr="002928D4" w:rsidR="00EC551E" w:rsidP="00311B65" w:rsidRDefault="00EC551E" w14:paraId="1DE5FA4B" w14:textId="0E291FED">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Adopting an interim rate cap of $0.07 per minute </w:t>
      </w:r>
      <w:r w:rsidRPr="3934F952" w:rsidR="007B7517">
        <w:rPr>
          <w:rFonts w:eastAsiaTheme="minorEastAsia" w:cstheme="minorBidi"/>
          <w:sz w:val="26"/>
          <w:szCs w:val="26"/>
        </w:rPr>
        <w:t>results in</w:t>
      </w:r>
      <w:r w:rsidRPr="3934F952" w:rsidR="004E7B51">
        <w:rPr>
          <w:rFonts w:eastAsiaTheme="minorEastAsia" w:cstheme="minorBidi"/>
          <w:sz w:val="26"/>
          <w:szCs w:val="26"/>
        </w:rPr>
        <w:t xml:space="preserve"> </w:t>
      </w:r>
      <w:r w:rsidRPr="3934F952">
        <w:rPr>
          <w:rFonts w:eastAsiaTheme="minorEastAsia" w:cstheme="minorBidi"/>
          <w:sz w:val="26"/>
          <w:szCs w:val="26"/>
        </w:rPr>
        <w:t xml:space="preserve">immediate relief </w:t>
      </w:r>
      <w:r w:rsidRPr="3934F952" w:rsidR="007C2345">
        <w:rPr>
          <w:rFonts w:eastAsiaTheme="minorEastAsia" w:cstheme="minorBidi"/>
          <w:sz w:val="26"/>
          <w:szCs w:val="26"/>
        </w:rPr>
        <w:t>to approximately 171,000 incarcerated people located at 343 incarceration facilities in California</w:t>
      </w:r>
      <w:r w:rsidRPr="3934F952" w:rsidR="003F4EA4">
        <w:rPr>
          <w:rFonts w:eastAsiaTheme="minorEastAsia" w:cstheme="minorBidi"/>
          <w:sz w:val="26"/>
          <w:szCs w:val="26"/>
        </w:rPr>
        <w:t xml:space="preserve">, </w:t>
      </w:r>
      <w:r w:rsidRPr="3934F952">
        <w:rPr>
          <w:rFonts w:eastAsiaTheme="minorEastAsia" w:cstheme="minorBidi"/>
          <w:sz w:val="26"/>
          <w:szCs w:val="26"/>
        </w:rPr>
        <w:t>and their families</w:t>
      </w:r>
      <w:r w:rsidRPr="3934F952" w:rsidR="00FE1C62">
        <w:rPr>
          <w:rFonts w:eastAsiaTheme="minorEastAsia" w:cstheme="minorBidi"/>
          <w:sz w:val="26"/>
          <w:szCs w:val="26"/>
        </w:rPr>
        <w:t>.</w:t>
      </w:r>
      <w:r w:rsidRPr="3934F952">
        <w:rPr>
          <w:rFonts w:eastAsiaTheme="minorEastAsia" w:cstheme="minorBidi"/>
          <w:sz w:val="26"/>
          <w:szCs w:val="26"/>
        </w:rPr>
        <w:t xml:space="preserve"> </w:t>
      </w:r>
    </w:p>
    <w:p w:rsidRPr="002928D4" w:rsidR="006C11EC" w:rsidP="00311B65" w:rsidRDefault="006C11EC" w14:paraId="3E619D4B" w14:textId="0BD06F5D">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Incarcerated people who have regular contact with family members are more likely to succeed after release and have lower recidivism rates because they maintain vital support networks.</w:t>
      </w:r>
    </w:p>
    <w:p w:rsidRPr="002928D4" w:rsidR="006C11EC" w:rsidP="00311B65" w:rsidRDefault="006C11EC" w14:paraId="01B80C8B" w14:textId="321FA310">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Reduced recidivism benefits society by saving millions of dollars in incarceration-related costs annually.</w:t>
      </w:r>
    </w:p>
    <w:p w:rsidRPr="002928D4" w:rsidR="00160E42" w:rsidP="00311B65" w:rsidRDefault="00994323" w14:paraId="532F2D70" w14:textId="05272D2A">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T</w:t>
      </w:r>
      <w:r w:rsidRPr="3934F952" w:rsidR="00160E42">
        <w:rPr>
          <w:rFonts w:eastAsiaTheme="minorEastAsia" w:cstheme="minorBidi"/>
          <w:sz w:val="26"/>
          <w:szCs w:val="26"/>
        </w:rPr>
        <w:t xml:space="preserve">he FCC’s Third Order </w:t>
      </w:r>
      <w:r w:rsidRPr="3934F952" w:rsidR="00E535FF">
        <w:rPr>
          <w:rFonts w:eastAsiaTheme="minorEastAsia" w:cstheme="minorBidi"/>
          <w:sz w:val="26"/>
          <w:szCs w:val="26"/>
        </w:rPr>
        <w:t xml:space="preserve">states </w:t>
      </w:r>
      <w:r w:rsidRPr="3934F952" w:rsidR="00160E42">
        <w:rPr>
          <w:rFonts w:eastAsiaTheme="minorEastAsia" w:cstheme="minorBidi"/>
          <w:sz w:val="26"/>
          <w:szCs w:val="26"/>
        </w:rPr>
        <w:t xml:space="preserve">that </w:t>
      </w:r>
      <w:r w:rsidRPr="3934F952" w:rsidR="00E535FF">
        <w:rPr>
          <w:rFonts w:eastAsiaTheme="minorEastAsia" w:cstheme="minorBidi"/>
          <w:sz w:val="26"/>
          <w:szCs w:val="26"/>
        </w:rPr>
        <w:t>the FCC</w:t>
      </w:r>
      <w:r w:rsidRPr="3934F952" w:rsidR="00160E42">
        <w:rPr>
          <w:rFonts w:eastAsiaTheme="minorEastAsia" w:cstheme="minorBidi"/>
          <w:sz w:val="26"/>
          <w:szCs w:val="26"/>
        </w:rPr>
        <w:t xml:space="preserve"> has not yet been able to collect standardized and accurate cost data </w:t>
      </w:r>
      <w:r w:rsidRPr="3934F952" w:rsidR="00E535FF">
        <w:rPr>
          <w:rFonts w:eastAsiaTheme="minorEastAsia" w:cstheme="minorBidi"/>
          <w:sz w:val="26"/>
          <w:szCs w:val="26"/>
        </w:rPr>
        <w:t>from</w:t>
      </w:r>
      <w:r w:rsidRPr="3934F952" w:rsidR="00CF204E">
        <w:rPr>
          <w:rFonts w:eastAsiaTheme="minorEastAsia" w:cstheme="minorBidi"/>
          <w:sz w:val="26"/>
          <w:szCs w:val="26"/>
        </w:rPr>
        <w:t xml:space="preserve"> </w:t>
      </w:r>
      <w:r w:rsidRPr="3934F952" w:rsidR="00D0344B">
        <w:rPr>
          <w:rFonts w:eastAsiaTheme="minorEastAsia" w:cstheme="minorBidi"/>
          <w:sz w:val="26"/>
          <w:szCs w:val="26"/>
        </w:rPr>
        <w:t xml:space="preserve">all </w:t>
      </w:r>
      <w:r w:rsidRPr="3934F952" w:rsidR="00CF204E">
        <w:rPr>
          <w:rFonts w:eastAsiaTheme="minorEastAsia" w:cstheme="minorBidi"/>
          <w:sz w:val="26"/>
          <w:szCs w:val="26"/>
        </w:rPr>
        <w:t>telephon</w:t>
      </w:r>
      <w:r w:rsidRPr="3934F952" w:rsidR="00D0344B">
        <w:rPr>
          <w:rFonts w:eastAsiaTheme="minorEastAsia" w:cstheme="minorBidi"/>
          <w:sz w:val="26"/>
          <w:szCs w:val="26"/>
        </w:rPr>
        <w:t>e corporations providing</w:t>
      </w:r>
      <w:r w:rsidRPr="3934F952" w:rsidR="00160E42">
        <w:rPr>
          <w:rFonts w:eastAsiaTheme="minorEastAsia" w:cstheme="minorBidi"/>
          <w:sz w:val="26"/>
          <w:szCs w:val="26"/>
        </w:rPr>
        <w:t xml:space="preserve"> IPCS</w:t>
      </w:r>
      <w:r w:rsidRPr="3934F952" w:rsidR="00D436E1">
        <w:rPr>
          <w:rFonts w:eastAsiaTheme="minorEastAsia" w:cstheme="minorBidi"/>
          <w:sz w:val="26"/>
          <w:szCs w:val="26"/>
        </w:rPr>
        <w:t>.</w:t>
      </w:r>
    </w:p>
    <w:p w:rsidRPr="002928D4" w:rsidR="00D63693" w:rsidP="00BF0F7B" w:rsidRDefault="00D63693" w14:paraId="3D6D2B2D" w14:textId="5BADA832">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lastRenderedPageBreak/>
        <w:t xml:space="preserve">The FCC has adopted interim caps </w:t>
      </w:r>
      <w:r w:rsidRPr="3934F952" w:rsidR="009003BA">
        <w:rPr>
          <w:rFonts w:eastAsiaTheme="minorEastAsia" w:cstheme="minorBidi"/>
          <w:sz w:val="26"/>
          <w:szCs w:val="26"/>
        </w:rPr>
        <w:t xml:space="preserve">on </w:t>
      </w:r>
      <w:r w:rsidRPr="3934F952">
        <w:rPr>
          <w:rFonts w:eastAsiaTheme="minorEastAsia" w:cstheme="minorBidi"/>
          <w:sz w:val="26"/>
          <w:szCs w:val="26"/>
        </w:rPr>
        <w:t>several</w:t>
      </w:r>
      <w:r w:rsidRPr="3934F952" w:rsidR="009003BA">
        <w:rPr>
          <w:rFonts w:eastAsiaTheme="minorEastAsia" w:cstheme="minorBidi"/>
          <w:sz w:val="26"/>
          <w:szCs w:val="26"/>
        </w:rPr>
        <w:t xml:space="preserve"> ancillary fees</w:t>
      </w:r>
      <w:r w:rsidRPr="3934F952" w:rsidR="005022DC">
        <w:rPr>
          <w:rFonts w:eastAsiaTheme="minorEastAsia" w:cstheme="minorBidi"/>
          <w:sz w:val="26"/>
          <w:szCs w:val="26"/>
        </w:rPr>
        <w:t xml:space="preserve"> as follows: </w:t>
      </w:r>
    </w:p>
    <w:p w:rsidRPr="00F03213" w:rsidR="00C22009" w:rsidP="00BF0F7B" w:rsidRDefault="00C22009" w14:paraId="414C63B2" w14:textId="5D256F5A">
      <w:pPr>
        <w:pStyle w:val="FoF"/>
        <w:numPr>
          <w:ilvl w:val="1"/>
          <w:numId w:val="26"/>
        </w:numPr>
        <w:spacing w:after="120" w:line="240" w:lineRule="auto"/>
        <w:ind w:right="1440"/>
        <w:rPr>
          <w:sz w:val="26"/>
          <w:szCs w:val="26"/>
        </w:rPr>
      </w:pPr>
      <w:r w:rsidRPr="00F03213">
        <w:rPr>
          <w:sz w:val="26"/>
          <w:szCs w:val="26"/>
        </w:rPr>
        <w:t xml:space="preserve">Automated </w:t>
      </w:r>
      <w:r w:rsidR="00A849EC">
        <w:rPr>
          <w:sz w:val="26"/>
          <w:szCs w:val="26"/>
        </w:rPr>
        <w:t>p</w:t>
      </w:r>
      <w:r w:rsidRPr="00F03213">
        <w:rPr>
          <w:sz w:val="26"/>
          <w:szCs w:val="26"/>
        </w:rPr>
        <w:t xml:space="preserve">ayment </w:t>
      </w:r>
      <w:r w:rsidR="00A849EC">
        <w:rPr>
          <w:sz w:val="26"/>
          <w:szCs w:val="26"/>
        </w:rPr>
        <w:t>f</w:t>
      </w:r>
      <w:r w:rsidRPr="00F03213">
        <w:rPr>
          <w:sz w:val="26"/>
          <w:szCs w:val="26"/>
        </w:rPr>
        <w:t>ees:  These fees are limited to a maximum of $3.00 per use;</w:t>
      </w:r>
    </w:p>
    <w:p w:rsidRPr="00F03213" w:rsidR="009003BA" w:rsidP="00BF0F7B" w:rsidRDefault="009003BA" w14:paraId="0241EE13" w14:textId="77777777">
      <w:pPr>
        <w:pStyle w:val="FoF"/>
        <w:numPr>
          <w:ilvl w:val="1"/>
          <w:numId w:val="26"/>
        </w:numPr>
        <w:spacing w:after="120" w:line="240" w:lineRule="auto"/>
        <w:ind w:right="1440"/>
        <w:rPr>
          <w:sz w:val="26"/>
          <w:szCs w:val="26"/>
        </w:rPr>
      </w:pPr>
      <w:r w:rsidRPr="00F03213">
        <w:rPr>
          <w:sz w:val="26"/>
          <w:szCs w:val="26"/>
        </w:rPr>
        <w:t xml:space="preserve">Paper bill fee:  Paper bill fees are capped at $2.00 per statement; and, </w:t>
      </w:r>
    </w:p>
    <w:p w:rsidRPr="009003BA" w:rsidR="009003BA" w:rsidP="00BF0F7B" w:rsidRDefault="009003BA" w14:paraId="31D272FB" w14:textId="6C73D645">
      <w:pPr>
        <w:pStyle w:val="FoF"/>
        <w:numPr>
          <w:ilvl w:val="1"/>
          <w:numId w:val="26"/>
        </w:numPr>
        <w:spacing w:after="120" w:line="240" w:lineRule="auto"/>
        <w:ind w:right="1440"/>
        <w:rPr>
          <w:sz w:val="26"/>
          <w:szCs w:val="26"/>
        </w:rPr>
      </w:pPr>
      <w:r w:rsidRPr="00F03213">
        <w:rPr>
          <w:sz w:val="26"/>
          <w:szCs w:val="26"/>
        </w:rPr>
        <w:t>Live agent fee:  Single live operator interactions are capped at $5.95 per interaction;</w:t>
      </w:r>
    </w:p>
    <w:p w:rsidRPr="00F03213" w:rsidR="009003BA" w:rsidP="00BF0F7B" w:rsidRDefault="009003BA" w14:paraId="718053D5" w14:textId="36B31F3F">
      <w:pPr>
        <w:pStyle w:val="FoF"/>
        <w:numPr>
          <w:ilvl w:val="1"/>
          <w:numId w:val="26"/>
        </w:numPr>
        <w:spacing w:after="120" w:line="240" w:lineRule="auto"/>
        <w:ind w:right="1440"/>
        <w:rPr>
          <w:sz w:val="26"/>
          <w:szCs w:val="26"/>
        </w:rPr>
      </w:pPr>
      <w:r w:rsidRPr="00F03213">
        <w:rPr>
          <w:sz w:val="26"/>
          <w:szCs w:val="26"/>
        </w:rPr>
        <w:t>Single-</w:t>
      </w:r>
      <w:r w:rsidR="00A849EC">
        <w:rPr>
          <w:sz w:val="26"/>
          <w:szCs w:val="26"/>
        </w:rPr>
        <w:t>c</w:t>
      </w:r>
      <w:r w:rsidRPr="00F03213">
        <w:rPr>
          <w:sz w:val="26"/>
          <w:szCs w:val="26"/>
        </w:rPr>
        <w:t xml:space="preserve">all </w:t>
      </w:r>
      <w:r w:rsidR="00A849EC">
        <w:rPr>
          <w:sz w:val="26"/>
          <w:szCs w:val="26"/>
        </w:rPr>
        <w:t>s</w:t>
      </w:r>
      <w:r w:rsidRPr="00F03213">
        <w:rPr>
          <w:sz w:val="26"/>
          <w:szCs w:val="26"/>
        </w:rPr>
        <w:t xml:space="preserve">ervice (collect) (and related service): </w:t>
      </w:r>
      <w:r w:rsidR="00BF0F7B">
        <w:rPr>
          <w:sz w:val="26"/>
          <w:szCs w:val="26"/>
        </w:rPr>
        <w:t xml:space="preserve"> </w:t>
      </w:r>
      <w:r w:rsidRPr="00F03213">
        <w:rPr>
          <w:sz w:val="26"/>
          <w:szCs w:val="26"/>
        </w:rPr>
        <w:t xml:space="preserve">Where no prepaid or debit inmate calling services account has been established, </w:t>
      </w:r>
      <w:r w:rsidR="00CF204E">
        <w:rPr>
          <w:sz w:val="26"/>
          <w:szCs w:val="26"/>
        </w:rPr>
        <w:t xml:space="preserve">telephone corporations providing </w:t>
      </w:r>
      <w:r w:rsidRPr="00F03213">
        <w:rPr>
          <w:sz w:val="26"/>
          <w:szCs w:val="26"/>
        </w:rPr>
        <w:t>IPCS are precluded from charging more than the exact fee the third</w:t>
      </w:r>
      <w:r w:rsidR="00BF0F7B">
        <w:rPr>
          <w:sz w:val="26"/>
          <w:szCs w:val="26"/>
        </w:rPr>
        <w:noBreakHyphen/>
      </w:r>
      <w:r w:rsidRPr="00F03213">
        <w:rPr>
          <w:sz w:val="26"/>
          <w:szCs w:val="26"/>
        </w:rPr>
        <w:t xml:space="preserve">party charges for these transactions up to a limit of $6.95 per </w:t>
      </w:r>
      <w:r w:rsidR="0052489F">
        <w:rPr>
          <w:sz w:val="26"/>
          <w:szCs w:val="26"/>
        </w:rPr>
        <w:t>transaction</w:t>
      </w:r>
      <w:r w:rsidRPr="00F03213">
        <w:rPr>
          <w:sz w:val="26"/>
          <w:szCs w:val="26"/>
        </w:rPr>
        <w:t>, with no markup;</w:t>
      </w:r>
    </w:p>
    <w:p w:rsidRPr="00F03213" w:rsidR="00C22009" w:rsidP="00BF0F7B" w:rsidRDefault="00C22009" w14:paraId="2A996C92" w14:textId="10C27B26">
      <w:pPr>
        <w:pStyle w:val="FoF"/>
        <w:numPr>
          <w:ilvl w:val="1"/>
          <w:numId w:val="26"/>
        </w:numPr>
        <w:spacing w:after="120" w:line="240" w:lineRule="auto"/>
        <w:ind w:right="1440"/>
        <w:rPr>
          <w:sz w:val="26"/>
          <w:szCs w:val="26"/>
        </w:rPr>
      </w:pPr>
      <w:r w:rsidRPr="00F03213">
        <w:rPr>
          <w:sz w:val="26"/>
          <w:szCs w:val="26"/>
        </w:rPr>
        <w:t>Third-</w:t>
      </w:r>
      <w:r w:rsidR="00A849EC">
        <w:rPr>
          <w:sz w:val="26"/>
          <w:szCs w:val="26"/>
        </w:rPr>
        <w:t>p</w:t>
      </w:r>
      <w:r w:rsidRPr="00F03213">
        <w:rPr>
          <w:sz w:val="26"/>
          <w:szCs w:val="26"/>
        </w:rPr>
        <w:t xml:space="preserve">arty </w:t>
      </w:r>
      <w:r w:rsidR="00A849EC">
        <w:rPr>
          <w:sz w:val="26"/>
          <w:szCs w:val="26"/>
        </w:rPr>
        <w:t>f</w:t>
      </w:r>
      <w:r w:rsidRPr="00F03213">
        <w:rPr>
          <w:sz w:val="26"/>
          <w:szCs w:val="26"/>
        </w:rPr>
        <w:t xml:space="preserve">inancial </w:t>
      </w:r>
      <w:r w:rsidR="00A849EC">
        <w:rPr>
          <w:sz w:val="26"/>
          <w:szCs w:val="26"/>
        </w:rPr>
        <w:t>t</w:t>
      </w:r>
      <w:r w:rsidRPr="00F03213">
        <w:rPr>
          <w:sz w:val="26"/>
          <w:szCs w:val="26"/>
        </w:rPr>
        <w:t xml:space="preserve">ransaction </w:t>
      </w:r>
      <w:r w:rsidR="00A849EC">
        <w:rPr>
          <w:sz w:val="26"/>
          <w:szCs w:val="26"/>
        </w:rPr>
        <w:t>f</w:t>
      </w:r>
      <w:r w:rsidRPr="00F03213">
        <w:rPr>
          <w:sz w:val="26"/>
          <w:szCs w:val="26"/>
        </w:rPr>
        <w:t>ees:</w:t>
      </w:r>
      <w:r w:rsidR="00BF0F7B">
        <w:rPr>
          <w:sz w:val="26"/>
          <w:szCs w:val="26"/>
        </w:rPr>
        <w:t xml:space="preserve"> </w:t>
      </w:r>
      <w:r w:rsidRPr="00F03213">
        <w:rPr>
          <w:sz w:val="26"/>
          <w:szCs w:val="26"/>
        </w:rPr>
        <w:t xml:space="preserve"> The amount of third-party fees that an inmate calling service provider can pass on to consumers are limited to the exact third-party fees, with no markup</w:t>
      </w:r>
      <w:r w:rsidRPr="00F03213" w:rsidR="00D8660B">
        <w:rPr>
          <w:sz w:val="26"/>
          <w:szCs w:val="26"/>
        </w:rPr>
        <w:t xml:space="preserve">, up to a limit of $6.95 per </w:t>
      </w:r>
      <w:r w:rsidR="0052489F">
        <w:rPr>
          <w:sz w:val="26"/>
          <w:szCs w:val="26"/>
        </w:rPr>
        <w:t>transaction</w:t>
      </w:r>
      <w:r w:rsidRPr="00F03213">
        <w:rPr>
          <w:sz w:val="26"/>
          <w:szCs w:val="26"/>
        </w:rPr>
        <w:t>;</w:t>
      </w:r>
    </w:p>
    <w:p w:rsidRPr="00F03213" w:rsidR="00C22009" w:rsidP="00BF0F7B" w:rsidRDefault="00C22009" w14:paraId="292DA94C" w14:textId="72E97D40">
      <w:pPr>
        <w:pStyle w:val="FoF"/>
        <w:numPr>
          <w:ilvl w:val="1"/>
          <w:numId w:val="26"/>
        </w:numPr>
        <w:spacing w:after="120" w:line="240" w:lineRule="auto"/>
        <w:ind w:right="1440"/>
        <w:rPr>
          <w:sz w:val="26"/>
          <w:szCs w:val="26"/>
        </w:rPr>
      </w:pPr>
      <w:r w:rsidRPr="00F03213">
        <w:rPr>
          <w:sz w:val="26"/>
          <w:szCs w:val="26"/>
        </w:rPr>
        <w:t xml:space="preserve">Mandatory </w:t>
      </w:r>
      <w:r w:rsidR="00A849EC">
        <w:rPr>
          <w:sz w:val="26"/>
          <w:szCs w:val="26"/>
        </w:rPr>
        <w:t>p</w:t>
      </w:r>
      <w:r w:rsidRPr="00F03213">
        <w:rPr>
          <w:sz w:val="26"/>
          <w:szCs w:val="26"/>
        </w:rPr>
        <w:t>ass-</w:t>
      </w:r>
      <w:r w:rsidR="00A849EC">
        <w:rPr>
          <w:sz w:val="26"/>
          <w:szCs w:val="26"/>
        </w:rPr>
        <w:t>t</w:t>
      </w:r>
      <w:r w:rsidRPr="00F03213">
        <w:rPr>
          <w:sz w:val="26"/>
          <w:szCs w:val="26"/>
        </w:rPr>
        <w:t xml:space="preserve">hrough </w:t>
      </w:r>
      <w:r w:rsidR="00836B36">
        <w:rPr>
          <w:sz w:val="26"/>
          <w:szCs w:val="26"/>
        </w:rPr>
        <w:t xml:space="preserve">of </w:t>
      </w:r>
      <w:r w:rsidR="00A849EC">
        <w:rPr>
          <w:sz w:val="26"/>
          <w:szCs w:val="26"/>
        </w:rPr>
        <w:t>g</w:t>
      </w:r>
      <w:r w:rsidRPr="00F03213">
        <w:rPr>
          <w:sz w:val="26"/>
          <w:szCs w:val="26"/>
        </w:rPr>
        <w:t xml:space="preserve">overnment </w:t>
      </w:r>
      <w:r w:rsidR="00A849EC">
        <w:rPr>
          <w:sz w:val="26"/>
          <w:szCs w:val="26"/>
        </w:rPr>
        <w:t>t</w:t>
      </w:r>
      <w:r w:rsidRPr="00F03213">
        <w:rPr>
          <w:sz w:val="26"/>
          <w:szCs w:val="26"/>
        </w:rPr>
        <w:t xml:space="preserve">axes and </w:t>
      </w:r>
      <w:r w:rsidR="00A849EC">
        <w:rPr>
          <w:sz w:val="26"/>
          <w:szCs w:val="26"/>
        </w:rPr>
        <w:t>f</w:t>
      </w:r>
      <w:r w:rsidRPr="00F03213">
        <w:rPr>
          <w:sz w:val="26"/>
          <w:szCs w:val="26"/>
        </w:rPr>
        <w:t>ees: Markups on either category of charges is prohibited</w:t>
      </w:r>
      <w:r w:rsidR="00CC7E69">
        <w:rPr>
          <w:rFonts w:ascii="Times New Roman" w:hAnsi="Times New Roman"/>
          <w:sz w:val="26"/>
          <w:szCs w:val="26"/>
        </w:rPr>
        <w:t xml:space="preserve"> unless</w:t>
      </w:r>
      <w:r w:rsidRPr="009E7546" w:rsidR="009E7546">
        <w:rPr>
          <w:sz w:val="26"/>
          <w:szCs w:val="26"/>
        </w:rPr>
        <w:t xml:space="preserve"> the markup is authorized by a local statute, rule, or regulation</w:t>
      </w:r>
      <w:r w:rsidRPr="00F03213">
        <w:rPr>
          <w:sz w:val="26"/>
          <w:szCs w:val="26"/>
        </w:rPr>
        <w:t>.</w:t>
      </w:r>
    </w:p>
    <w:p w:rsidRPr="00BF0F7B" w:rsidR="00095119" w:rsidP="00BF0F7B" w:rsidRDefault="00095119" w14:paraId="12EACBF2" w14:textId="355711D0">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We are not aware of instances where markup of mandatory pass-through of government taxes and fees is permitted in California.</w:t>
      </w:r>
    </w:p>
    <w:p w:rsidRPr="00BF0F7B" w:rsidR="006B0BA3" w:rsidP="00BF0F7B" w:rsidRDefault="00682906" w14:paraId="058F5F3B" w14:textId="0B9FFF20">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P</w:t>
      </w:r>
      <w:r w:rsidRPr="3934F952" w:rsidR="001865DE">
        <w:rPr>
          <w:rFonts w:eastAsiaTheme="minorEastAsia" w:cstheme="minorBidi"/>
          <w:sz w:val="26"/>
          <w:szCs w:val="26"/>
        </w:rPr>
        <w:t>roviders are currently imposing some 35 ancillary fees in connection with IPCS</w:t>
      </w:r>
      <w:r w:rsidRPr="3934F952">
        <w:rPr>
          <w:rFonts w:eastAsiaTheme="minorEastAsia" w:cstheme="minorBidi"/>
          <w:sz w:val="26"/>
          <w:szCs w:val="26"/>
        </w:rPr>
        <w:t>.</w:t>
      </w:r>
    </w:p>
    <w:p w:rsidRPr="00BF0F7B" w:rsidR="00F97461" w:rsidP="00BF0F7B" w:rsidRDefault="00F97461" w14:paraId="5F4D78FA" w14:textId="11FAB752">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Most ancillary service fees and charges </w:t>
      </w:r>
      <w:r w:rsidRPr="3934F952" w:rsidR="00B70F2C">
        <w:rPr>
          <w:rFonts w:eastAsiaTheme="minorEastAsia" w:cstheme="minorBidi"/>
          <w:sz w:val="26"/>
          <w:szCs w:val="26"/>
        </w:rPr>
        <w:t xml:space="preserve">found in connection with the IPCS market </w:t>
      </w:r>
      <w:r w:rsidRPr="3934F952">
        <w:rPr>
          <w:rFonts w:eastAsiaTheme="minorEastAsia" w:cstheme="minorBidi"/>
          <w:sz w:val="26"/>
          <w:szCs w:val="26"/>
        </w:rPr>
        <w:t xml:space="preserve">are not imposed in any other segment of the telecommunications market in California.  </w:t>
      </w:r>
    </w:p>
    <w:p w:rsidRPr="00BF0F7B" w:rsidR="001C2360" w:rsidP="00BF0F7B" w:rsidRDefault="005110E8" w14:paraId="520AF889" w14:textId="2B3B3803">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Incarcerated persons and their loved ones have </w:t>
      </w:r>
      <w:r w:rsidRPr="3934F952" w:rsidR="001C2360">
        <w:rPr>
          <w:rFonts w:eastAsiaTheme="minorEastAsia" w:cstheme="minorBidi"/>
          <w:sz w:val="26"/>
          <w:szCs w:val="26"/>
        </w:rPr>
        <w:t>be</w:t>
      </w:r>
      <w:r w:rsidRPr="3934F952">
        <w:rPr>
          <w:rFonts w:eastAsiaTheme="minorEastAsia" w:cstheme="minorBidi"/>
          <w:sz w:val="26"/>
          <w:szCs w:val="26"/>
        </w:rPr>
        <w:t>en</w:t>
      </w:r>
      <w:r w:rsidRPr="3934F952" w:rsidR="001C2360">
        <w:rPr>
          <w:rFonts w:eastAsiaTheme="minorEastAsia" w:cstheme="minorBidi"/>
          <w:sz w:val="26"/>
          <w:szCs w:val="26"/>
        </w:rPr>
        <w:t xml:space="preserve"> charged </w:t>
      </w:r>
      <w:r w:rsidRPr="3934F952" w:rsidR="002A1576">
        <w:rPr>
          <w:rFonts w:eastAsiaTheme="minorEastAsia" w:cstheme="minorBidi"/>
          <w:sz w:val="26"/>
          <w:szCs w:val="26"/>
        </w:rPr>
        <w:t xml:space="preserve">multiple </w:t>
      </w:r>
      <w:r w:rsidRPr="3934F952" w:rsidR="00B43C2C">
        <w:rPr>
          <w:rFonts w:eastAsiaTheme="minorEastAsia" w:cstheme="minorBidi"/>
          <w:sz w:val="26"/>
          <w:szCs w:val="26"/>
        </w:rPr>
        <w:t>single-call</w:t>
      </w:r>
      <w:r w:rsidRPr="3934F952" w:rsidR="001F0EE3">
        <w:rPr>
          <w:rFonts w:eastAsiaTheme="minorEastAsia" w:cstheme="minorBidi"/>
          <w:sz w:val="26"/>
          <w:szCs w:val="26"/>
        </w:rPr>
        <w:t xml:space="preserve"> service </w:t>
      </w:r>
      <w:r w:rsidRPr="3934F952" w:rsidR="001C2360">
        <w:rPr>
          <w:rFonts w:eastAsiaTheme="minorEastAsia" w:cstheme="minorBidi"/>
          <w:sz w:val="26"/>
          <w:szCs w:val="26"/>
        </w:rPr>
        <w:t>fee</w:t>
      </w:r>
      <w:r w:rsidRPr="3934F952" w:rsidR="002A1576">
        <w:rPr>
          <w:rFonts w:eastAsiaTheme="minorEastAsia" w:cstheme="minorBidi"/>
          <w:sz w:val="26"/>
          <w:szCs w:val="26"/>
        </w:rPr>
        <w:t xml:space="preserve">s </w:t>
      </w:r>
      <w:r w:rsidRPr="3934F952">
        <w:rPr>
          <w:rFonts w:eastAsiaTheme="minorEastAsia" w:cstheme="minorBidi"/>
          <w:sz w:val="26"/>
          <w:szCs w:val="26"/>
        </w:rPr>
        <w:t xml:space="preserve">while </w:t>
      </w:r>
      <w:r w:rsidRPr="3934F952" w:rsidR="008B18E6">
        <w:rPr>
          <w:rFonts w:eastAsiaTheme="minorEastAsia" w:cstheme="minorBidi"/>
          <w:sz w:val="26"/>
          <w:szCs w:val="26"/>
        </w:rPr>
        <w:t xml:space="preserve">attempting to </w:t>
      </w:r>
      <w:r w:rsidRPr="3934F952" w:rsidR="001C2360">
        <w:rPr>
          <w:rFonts w:eastAsiaTheme="minorEastAsia" w:cstheme="minorBidi"/>
          <w:sz w:val="26"/>
          <w:szCs w:val="26"/>
        </w:rPr>
        <w:t>complet</w:t>
      </w:r>
      <w:r w:rsidRPr="3934F952" w:rsidR="008B18E6">
        <w:rPr>
          <w:rFonts w:eastAsiaTheme="minorEastAsia" w:cstheme="minorBidi"/>
          <w:sz w:val="26"/>
          <w:szCs w:val="26"/>
        </w:rPr>
        <w:t>e</w:t>
      </w:r>
      <w:r w:rsidRPr="3934F952" w:rsidR="001C2360">
        <w:rPr>
          <w:rFonts w:eastAsiaTheme="minorEastAsia" w:cstheme="minorBidi"/>
          <w:sz w:val="26"/>
          <w:szCs w:val="26"/>
        </w:rPr>
        <w:t xml:space="preserve"> a single 15-minute phone call</w:t>
      </w:r>
      <w:r w:rsidRPr="3934F952" w:rsidR="007F08D2">
        <w:rPr>
          <w:rFonts w:eastAsiaTheme="minorEastAsia" w:cstheme="minorBidi"/>
          <w:sz w:val="26"/>
          <w:szCs w:val="26"/>
        </w:rPr>
        <w:t>.</w:t>
      </w:r>
    </w:p>
    <w:p w:rsidRPr="00BF0F7B" w:rsidR="005B0C19" w:rsidP="00BF0F7B" w:rsidRDefault="00C546FA" w14:paraId="39550CA2" w14:textId="19E08E27">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lastRenderedPageBreak/>
        <w:t>Fifteen state prison systems have eliminated automated payment</w:t>
      </w:r>
      <w:r w:rsidRPr="3934F952" w:rsidR="00D401DF">
        <w:rPr>
          <w:rFonts w:eastAsiaTheme="minorEastAsia" w:cstheme="minorBidi"/>
          <w:sz w:val="26"/>
          <w:szCs w:val="26"/>
        </w:rPr>
        <w:t xml:space="preserve">/automated </w:t>
      </w:r>
      <w:r w:rsidRPr="3934F952">
        <w:rPr>
          <w:rFonts w:eastAsiaTheme="minorEastAsia" w:cstheme="minorBidi"/>
          <w:sz w:val="26"/>
          <w:szCs w:val="26"/>
        </w:rPr>
        <w:t>deposit fees</w:t>
      </w:r>
      <w:r w:rsidRPr="3934F952" w:rsidR="005B0C19">
        <w:rPr>
          <w:rFonts w:eastAsiaTheme="minorEastAsia" w:cstheme="minorBidi"/>
          <w:sz w:val="26"/>
          <w:szCs w:val="26"/>
        </w:rPr>
        <w:t>.</w:t>
      </w:r>
    </w:p>
    <w:p w:rsidRPr="00BF0F7B" w:rsidR="00C546FA" w:rsidP="00BF0F7B" w:rsidRDefault="00D401DF" w14:paraId="6D30B29B" w14:textId="6BDFD167">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As of April 2021, </w:t>
      </w:r>
      <w:r w:rsidRPr="3934F952" w:rsidR="00C546FA">
        <w:rPr>
          <w:rFonts w:eastAsiaTheme="minorEastAsia" w:cstheme="minorBidi"/>
          <w:sz w:val="26"/>
          <w:szCs w:val="26"/>
        </w:rPr>
        <w:t>GTL do</w:t>
      </w:r>
      <w:r w:rsidRPr="3934F952" w:rsidR="00EE1DC9">
        <w:rPr>
          <w:rFonts w:eastAsiaTheme="minorEastAsia" w:cstheme="minorBidi"/>
          <w:sz w:val="26"/>
          <w:szCs w:val="26"/>
        </w:rPr>
        <w:t>e</w:t>
      </w:r>
      <w:r w:rsidRPr="3934F952">
        <w:rPr>
          <w:rFonts w:eastAsiaTheme="minorEastAsia" w:cstheme="minorBidi"/>
          <w:sz w:val="26"/>
          <w:szCs w:val="26"/>
        </w:rPr>
        <w:t>s</w:t>
      </w:r>
      <w:r w:rsidRPr="3934F952" w:rsidR="00C546FA">
        <w:rPr>
          <w:rFonts w:eastAsiaTheme="minorEastAsia" w:cstheme="minorBidi"/>
          <w:sz w:val="26"/>
          <w:szCs w:val="26"/>
        </w:rPr>
        <w:t xml:space="preserve"> </w:t>
      </w:r>
      <w:r w:rsidRPr="3934F952" w:rsidR="002A7DDC">
        <w:rPr>
          <w:rFonts w:eastAsiaTheme="minorEastAsia" w:cstheme="minorBidi"/>
          <w:sz w:val="26"/>
          <w:szCs w:val="26"/>
        </w:rPr>
        <w:t xml:space="preserve">not </w:t>
      </w:r>
      <w:r w:rsidRPr="3934F952" w:rsidR="00C546FA">
        <w:rPr>
          <w:rFonts w:eastAsiaTheme="minorEastAsia" w:cstheme="minorBidi"/>
          <w:sz w:val="26"/>
          <w:szCs w:val="26"/>
        </w:rPr>
        <w:t xml:space="preserve">impose </w:t>
      </w:r>
      <w:r w:rsidRPr="3934F952">
        <w:rPr>
          <w:rFonts w:eastAsiaTheme="minorEastAsia" w:cstheme="minorBidi"/>
          <w:sz w:val="26"/>
          <w:szCs w:val="26"/>
        </w:rPr>
        <w:t>an automated payment/automated deposit fee</w:t>
      </w:r>
      <w:r w:rsidRPr="3934F952" w:rsidR="00C546FA">
        <w:rPr>
          <w:rFonts w:eastAsiaTheme="minorEastAsia" w:cstheme="minorBidi"/>
          <w:sz w:val="26"/>
          <w:szCs w:val="26"/>
        </w:rPr>
        <w:t xml:space="preserve"> on incarcerated</w:t>
      </w:r>
      <w:r w:rsidRPr="3934F952">
        <w:rPr>
          <w:rFonts w:eastAsiaTheme="minorEastAsia" w:cstheme="minorBidi"/>
          <w:sz w:val="26"/>
          <w:szCs w:val="26"/>
        </w:rPr>
        <w:t xml:space="preserve"> persons</w:t>
      </w:r>
      <w:r w:rsidRPr="3934F952" w:rsidR="00C546FA">
        <w:rPr>
          <w:rFonts w:eastAsiaTheme="minorEastAsia" w:cstheme="minorBidi"/>
          <w:sz w:val="26"/>
          <w:szCs w:val="26"/>
        </w:rPr>
        <w:t xml:space="preserve"> in multiple facilities in California</w:t>
      </w:r>
      <w:r w:rsidRPr="3934F952" w:rsidR="00EE1DC9">
        <w:rPr>
          <w:rFonts w:eastAsiaTheme="minorEastAsia" w:cstheme="minorBidi"/>
          <w:sz w:val="26"/>
          <w:szCs w:val="26"/>
        </w:rPr>
        <w:t>.</w:t>
      </w:r>
    </w:p>
    <w:p w:rsidRPr="00BF0F7B" w:rsidR="009168C8" w:rsidP="00BF0F7B" w:rsidRDefault="009168C8" w14:paraId="27DF11C3" w14:textId="36023635">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 </w:t>
      </w:r>
      <w:r w:rsidRPr="3934F952" w:rsidR="00176D53">
        <w:rPr>
          <w:rFonts w:eastAsiaTheme="minorEastAsia" w:cstheme="minorBidi"/>
          <w:sz w:val="26"/>
          <w:szCs w:val="26"/>
        </w:rPr>
        <w:t>C</w:t>
      </w:r>
      <w:r w:rsidRPr="3934F952">
        <w:rPr>
          <w:rFonts w:eastAsiaTheme="minorEastAsia" w:cstheme="minorBidi"/>
          <w:sz w:val="26"/>
          <w:szCs w:val="26"/>
        </w:rPr>
        <w:t xml:space="preserve">ustomers </w:t>
      </w:r>
      <w:r w:rsidRPr="3934F952" w:rsidR="002956F9">
        <w:rPr>
          <w:rFonts w:eastAsiaTheme="minorEastAsia" w:cstheme="minorBidi"/>
          <w:sz w:val="26"/>
          <w:szCs w:val="26"/>
        </w:rPr>
        <w:t xml:space="preserve">not residing in incarceration </w:t>
      </w:r>
      <w:r w:rsidRPr="3934F952">
        <w:rPr>
          <w:rFonts w:eastAsiaTheme="minorEastAsia" w:cstheme="minorBidi"/>
          <w:sz w:val="26"/>
          <w:szCs w:val="26"/>
        </w:rPr>
        <w:t>facilities</w:t>
      </w:r>
      <w:r w:rsidRPr="3934F952" w:rsidR="00176D53">
        <w:rPr>
          <w:rFonts w:eastAsiaTheme="minorEastAsia" w:cstheme="minorBidi"/>
          <w:sz w:val="26"/>
          <w:szCs w:val="26"/>
        </w:rPr>
        <w:t xml:space="preserve"> typically</w:t>
      </w:r>
      <w:r w:rsidRPr="3934F952">
        <w:rPr>
          <w:rFonts w:eastAsiaTheme="minorEastAsia" w:cstheme="minorBidi"/>
          <w:sz w:val="26"/>
          <w:szCs w:val="26"/>
        </w:rPr>
        <w:t xml:space="preserve"> receive paper</w:t>
      </w:r>
      <w:r w:rsidRPr="3934F952" w:rsidR="00176D53">
        <w:rPr>
          <w:rFonts w:eastAsiaTheme="minorEastAsia" w:cstheme="minorBidi"/>
          <w:sz w:val="26"/>
          <w:szCs w:val="26"/>
        </w:rPr>
        <w:t xml:space="preserve"> utility</w:t>
      </w:r>
      <w:r w:rsidRPr="3934F952">
        <w:rPr>
          <w:rFonts w:eastAsiaTheme="minorEastAsia" w:cstheme="minorBidi"/>
          <w:sz w:val="26"/>
          <w:szCs w:val="26"/>
        </w:rPr>
        <w:t xml:space="preserve"> bills or </w:t>
      </w:r>
      <w:r w:rsidRPr="3934F952" w:rsidR="00176D53">
        <w:rPr>
          <w:rFonts w:eastAsiaTheme="minorEastAsia" w:cstheme="minorBidi"/>
          <w:sz w:val="26"/>
          <w:szCs w:val="26"/>
        </w:rPr>
        <w:t xml:space="preserve">bank </w:t>
      </w:r>
      <w:r w:rsidRPr="3934F952">
        <w:rPr>
          <w:rFonts w:eastAsiaTheme="minorEastAsia" w:cstheme="minorBidi"/>
          <w:sz w:val="26"/>
          <w:szCs w:val="26"/>
        </w:rPr>
        <w:t xml:space="preserve">statements without paying additional fees. </w:t>
      </w:r>
    </w:p>
    <w:p w:rsidRPr="00BF0F7B" w:rsidR="00C546FA" w:rsidP="00BF0F7B" w:rsidRDefault="009168C8" w14:paraId="2DE4CD45" w14:textId="33B930C5">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Many customers lack access to broadband service to access online statements.  </w:t>
      </w:r>
    </w:p>
    <w:p w:rsidRPr="00BF0F7B" w:rsidR="00C546FA" w:rsidP="00BF0F7B" w:rsidRDefault="00504850" w14:paraId="19412027" w14:textId="69EC17E5">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Most tele</w:t>
      </w:r>
      <w:r w:rsidRPr="3934F952" w:rsidR="00005B77">
        <w:rPr>
          <w:rFonts w:eastAsiaTheme="minorEastAsia" w:cstheme="minorBidi"/>
          <w:sz w:val="26"/>
          <w:szCs w:val="26"/>
        </w:rPr>
        <w:t xml:space="preserve">phone corporations </w:t>
      </w:r>
      <w:r w:rsidRPr="3934F952">
        <w:rPr>
          <w:rFonts w:eastAsiaTheme="minorEastAsia" w:cstheme="minorBidi"/>
          <w:sz w:val="26"/>
          <w:szCs w:val="26"/>
        </w:rPr>
        <w:t>and other utilities provide customer service</w:t>
      </w:r>
      <w:r w:rsidRPr="3934F952" w:rsidR="0090613A">
        <w:rPr>
          <w:rFonts w:eastAsiaTheme="minorEastAsia" w:cstheme="minorBidi"/>
          <w:sz w:val="26"/>
          <w:szCs w:val="26"/>
        </w:rPr>
        <w:t xml:space="preserve">s for free, including </w:t>
      </w:r>
      <w:r w:rsidRPr="3934F952" w:rsidR="00176D53">
        <w:rPr>
          <w:rFonts w:eastAsiaTheme="minorEastAsia" w:cstheme="minorBidi"/>
          <w:sz w:val="26"/>
          <w:szCs w:val="26"/>
        </w:rPr>
        <w:t>services such as s</w:t>
      </w:r>
      <w:r w:rsidRPr="3934F952" w:rsidR="0090613A">
        <w:rPr>
          <w:rFonts w:eastAsiaTheme="minorEastAsia" w:cstheme="minorBidi"/>
          <w:sz w:val="26"/>
          <w:szCs w:val="26"/>
        </w:rPr>
        <w:t>peaking with a live agent to set up an account, add</w:t>
      </w:r>
      <w:r w:rsidRPr="3934F952" w:rsidR="00176D53">
        <w:rPr>
          <w:rFonts w:eastAsiaTheme="minorEastAsia" w:cstheme="minorBidi"/>
          <w:sz w:val="26"/>
          <w:szCs w:val="26"/>
        </w:rPr>
        <w:t>ing</w:t>
      </w:r>
      <w:r w:rsidRPr="3934F952" w:rsidR="0090613A">
        <w:rPr>
          <w:rFonts w:eastAsiaTheme="minorEastAsia" w:cstheme="minorBidi"/>
          <w:sz w:val="26"/>
          <w:szCs w:val="26"/>
        </w:rPr>
        <w:t xml:space="preserve"> money to an account, or assist</w:t>
      </w:r>
      <w:r w:rsidRPr="3934F952" w:rsidR="00176D53">
        <w:rPr>
          <w:rFonts w:eastAsiaTheme="minorEastAsia" w:cstheme="minorBidi"/>
          <w:sz w:val="26"/>
          <w:szCs w:val="26"/>
        </w:rPr>
        <w:t>ing</w:t>
      </w:r>
      <w:r w:rsidRPr="3934F952" w:rsidR="0090613A">
        <w:rPr>
          <w:rFonts w:eastAsiaTheme="minorEastAsia" w:cstheme="minorBidi"/>
          <w:sz w:val="26"/>
          <w:szCs w:val="26"/>
        </w:rPr>
        <w:t xml:space="preserve"> with making a call.</w:t>
      </w:r>
    </w:p>
    <w:p w:rsidRPr="00BF0F7B" w:rsidR="0090613A" w:rsidP="00BF0F7B" w:rsidRDefault="00A65488" w14:paraId="03AC3FCE" w14:textId="44171CF1">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S</w:t>
      </w:r>
      <w:r w:rsidRPr="3934F952" w:rsidR="005F4AF4">
        <w:rPr>
          <w:rFonts w:eastAsiaTheme="minorEastAsia" w:cstheme="minorBidi"/>
          <w:sz w:val="26"/>
          <w:szCs w:val="26"/>
        </w:rPr>
        <w:t xml:space="preserve">ingle-call </w:t>
      </w:r>
      <w:r w:rsidRPr="3934F952" w:rsidR="00E56A23">
        <w:rPr>
          <w:rFonts w:eastAsiaTheme="minorEastAsia" w:cstheme="minorBidi"/>
          <w:sz w:val="26"/>
          <w:szCs w:val="26"/>
        </w:rPr>
        <w:t xml:space="preserve">service providers </w:t>
      </w:r>
      <w:r w:rsidRPr="3934F952" w:rsidR="005F4AF4">
        <w:rPr>
          <w:rFonts w:eastAsiaTheme="minorEastAsia" w:cstheme="minorBidi"/>
          <w:sz w:val="26"/>
          <w:szCs w:val="26"/>
        </w:rPr>
        <w:t xml:space="preserve">or third-party financial transaction </w:t>
      </w:r>
      <w:r w:rsidRPr="3934F952" w:rsidR="002749BA">
        <w:rPr>
          <w:rFonts w:eastAsiaTheme="minorEastAsia" w:cstheme="minorBidi"/>
          <w:sz w:val="26"/>
          <w:szCs w:val="26"/>
        </w:rPr>
        <w:t xml:space="preserve">companies </w:t>
      </w:r>
      <w:r w:rsidRPr="3934F952" w:rsidR="008F24C4">
        <w:rPr>
          <w:rFonts w:eastAsiaTheme="minorEastAsia" w:cstheme="minorBidi"/>
          <w:sz w:val="26"/>
          <w:szCs w:val="26"/>
        </w:rPr>
        <w:t xml:space="preserve">have </w:t>
      </w:r>
      <w:r w:rsidRPr="3934F952" w:rsidR="004C11DC">
        <w:rPr>
          <w:rFonts w:eastAsiaTheme="minorEastAsia" w:cstheme="minorBidi"/>
          <w:sz w:val="26"/>
          <w:szCs w:val="26"/>
        </w:rPr>
        <w:t>charge</w:t>
      </w:r>
      <w:r w:rsidRPr="3934F952" w:rsidR="008F24C4">
        <w:rPr>
          <w:rFonts w:eastAsiaTheme="minorEastAsia" w:cstheme="minorBidi"/>
          <w:sz w:val="26"/>
          <w:szCs w:val="26"/>
        </w:rPr>
        <w:t>d</w:t>
      </w:r>
      <w:r w:rsidRPr="3934F952" w:rsidR="004C11DC">
        <w:rPr>
          <w:rFonts w:eastAsiaTheme="minorEastAsia" w:cstheme="minorBidi"/>
          <w:sz w:val="26"/>
          <w:szCs w:val="26"/>
        </w:rPr>
        <w:t xml:space="preserve"> </w:t>
      </w:r>
      <w:r w:rsidRPr="3934F952" w:rsidR="00306A67">
        <w:rPr>
          <w:rFonts w:eastAsiaTheme="minorEastAsia" w:cstheme="minorBidi"/>
          <w:sz w:val="26"/>
          <w:szCs w:val="26"/>
        </w:rPr>
        <w:t xml:space="preserve">incarcerated </w:t>
      </w:r>
      <w:r w:rsidRPr="3934F952" w:rsidR="00CF204E">
        <w:rPr>
          <w:rFonts w:eastAsiaTheme="minorEastAsia" w:cstheme="minorBidi"/>
          <w:sz w:val="26"/>
          <w:szCs w:val="26"/>
        </w:rPr>
        <w:t xml:space="preserve">people </w:t>
      </w:r>
      <w:r w:rsidRPr="3934F952" w:rsidR="004C11DC">
        <w:rPr>
          <w:rFonts w:eastAsiaTheme="minorEastAsia" w:cstheme="minorBidi"/>
          <w:sz w:val="26"/>
          <w:szCs w:val="26"/>
        </w:rPr>
        <w:t>highe</w:t>
      </w:r>
      <w:r w:rsidRPr="3934F952" w:rsidR="00BE6C9F">
        <w:rPr>
          <w:rFonts w:eastAsiaTheme="minorEastAsia" w:cstheme="minorBidi"/>
          <w:sz w:val="26"/>
          <w:szCs w:val="26"/>
        </w:rPr>
        <w:t>r</w:t>
      </w:r>
      <w:r w:rsidRPr="3934F952" w:rsidR="00E56A23">
        <w:rPr>
          <w:rFonts w:eastAsiaTheme="minorEastAsia" w:cstheme="minorBidi"/>
          <w:sz w:val="26"/>
          <w:szCs w:val="26"/>
        </w:rPr>
        <w:t>-</w:t>
      </w:r>
      <w:r w:rsidRPr="3934F952" w:rsidR="00BE6C9F">
        <w:rPr>
          <w:rFonts w:eastAsiaTheme="minorEastAsia" w:cstheme="minorBidi"/>
          <w:sz w:val="26"/>
          <w:szCs w:val="26"/>
        </w:rPr>
        <w:t>than</w:t>
      </w:r>
      <w:r w:rsidRPr="3934F952" w:rsidR="00E56A23">
        <w:rPr>
          <w:rFonts w:eastAsiaTheme="minorEastAsia" w:cstheme="minorBidi"/>
          <w:sz w:val="26"/>
          <w:szCs w:val="26"/>
        </w:rPr>
        <w:t>-</w:t>
      </w:r>
      <w:r w:rsidRPr="3934F952" w:rsidR="00BE6C9F">
        <w:rPr>
          <w:rFonts w:eastAsiaTheme="minorEastAsia" w:cstheme="minorBidi"/>
          <w:sz w:val="26"/>
          <w:szCs w:val="26"/>
        </w:rPr>
        <w:t>typical</w:t>
      </w:r>
      <w:r w:rsidRPr="3934F952" w:rsidR="004C11DC">
        <w:rPr>
          <w:rFonts w:eastAsiaTheme="minorEastAsia" w:cstheme="minorBidi"/>
          <w:sz w:val="26"/>
          <w:szCs w:val="26"/>
        </w:rPr>
        <w:t xml:space="preserve"> fee</w:t>
      </w:r>
      <w:r w:rsidRPr="3934F952" w:rsidR="00306A67">
        <w:rPr>
          <w:rFonts w:eastAsiaTheme="minorEastAsia" w:cstheme="minorBidi"/>
          <w:sz w:val="26"/>
          <w:szCs w:val="26"/>
        </w:rPr>
        <w:t xml:space="preserve">s for such services and </w:t>
      </w:r>
      <w:r w:rsidRPr="3934F952" w:rsidR="00633B8E">
        <w:rPr>
          <w:rFonts w:eastAsiaTheme="minorEastAsia" w:cstheme="minorBidi"/>
          <w:sz w:val="26"/>
          <w:szCs w:val="26"/>
        </w:rPr>
        <w:t xml:space="preserve">then </w:t>
      </w:r>
      <w:r w:rsidRPr="3934F952" w:rsidR="004C11DC">
        <w:rPr>
          <w:rFonts w:eastAsiaTheme="minorEastAsia" w:cstheme="minorBidi"/>
          <w:sz w:val="26"/>
          <w:szCs w:val="26"/>
        </w:rPr>
        <w:t>return</w:t>
      </w:r>
      <w:r w:rsidRPr="3934F952" w:rsidR="00633B8E">
        <w:rPr>
          <w:rFonts w:eastAsiaTheme="minorEastAsia" w:cstheme="minorBidi"/>
          <w:sz w:val="26"/>
          <w:szCs w:val="26"/>
        </w:rPr>
        <w:t>ed</w:t>
      </w:r>
      <w:r w:rsidRPr="3934F952" w:rsidR="004C11DC">
        <w:rPr>
          <w:rFonts w:eastAsiaTheme="minorEastAsia" w:cstheme="minorBidi"/>
          <w:sz w:val="26"/>
          <w:szCs w:val="26"/>
        </w:rPr>
        <w:t xml:space="preserve"> some portion of these higher fees to </w:t>
      </w:r>
      <w:r w:rsidRPr="3934F952" w:rsidR="00CF204E">
        <w:rPr>
          <w:rFonts w:eastAsiaTheme="minorEastAsia" w:cstheme="minorBidi"/>
          <w:sz w:val="26"/>
          <w:szCs w:val="26"/>
        </w:rPr>
        <w:t xml:space="preserve">telephone corporations providing </w:t>
      </w:r>
      <w:r w:rsidRPr="3934F952" w:rsidR="004C11DC">
        <w:rPr>
          <w:rFonts w:eastAsiaTheme="minorEastAsia" w:cstheme="minorBidi"/>
          <w:sz w:val="26"/>
          <w:szCs w:val="26"/>
        </w:rPr>
        <w:t>IPCS.</w:t>
      </w:r>
    </w:p>
    <w:p w:rsidRPr="00BF0F7B" w:rsidR="001205EE" w:rsidP="00BF0F7B" w:rsidRDefault="00771E40" w14:paraId="0E294666" w14:textId="1C6A2CAE">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IPCS providers did not provide information or evidence to</w:t>
      </w:r>
      <w:r w:rsidRPr="3934F952" w:rsidR="00F5000F">
        <w:rPr>
          <w:rFonts w:eastAsiaTheme="minorEastAsia" w:cstheme="minorBidi"/>
          <w:sz w:val="26"/>
          <w:szCs w:val="26"/>
        </w:rPr>
        <w:t xml:space="preserve"> justi</w:t>
      </w:r>
      <w:r w:rsidRPr="3934F952" w:rsidR="00763814">
        <w:rPr>
          <w:rFonts w:eastAsiaTheme="minorEastAsia" w:cstheme="minorBidi"/>
          <w:sz w:val="26"/>
          <w:szCs w:val="26"/>
        </w:rPr>
        <w:t>fy</w:t>
      </w:r>
      <w:r w:rsidRPr="3934F952" w:rsidR="00F5000F">
        <w:rPr>
          <w:rFonts w:eastAsiaTheme="minorEastAsia" w:cstheme="minorBidi"/>
          <w:sz w:val="26"/>
          <w:szCs w:val="26"/>
        </w:rPr>
        <w:t xml:space="preserve"> </w:t>
      </w:r>
      <w:r w:rsidRPr="3934F952" w:rsidR="00C54B31">
        <w:rPr>
          <w:rFonts w:eastAsiaTheme="minorEastAsia" w:cstheme="minorBidi"/>
          <w:sz w:val="26"/>
          <w:szCs w:val="26"/>
        </w:rPr>
        <w:t xml:space="preserve">the </w:t>
      </w:r>
      <w:r w:rsidRPr="3934F952" w:rsidR="00C406FB">
        <w:rPr>
          <w:rFonts w:eastAsiaTheme="minorEastAsia" w:cstheme="minorBidi"/>
          <w:sz w:val="26"/>
          <w:szCs w:val="26"/>
        </w:rPr>
        <w:t>imposi</w:t>
      </w:r>
      <w:r w:rsidRPr="3934F952" w:rsidR="00C54B31">
        <w:rPr>
          <w:rFonts w:eastAsiaTheme="minorEastAsia" w:cstheme="minorBidi"/>
          <w:sz w:val="26"/>
          <w:szCs w:val="26"/>
        </w:rPr>
        <w:t>tion of</w:t>
      </w:r>
      <w:r w:rsidRPr="3934F952" w:rsidR="00C406FB">
        <w:rPr>
          <w:rFonts w:eastAsiaTheme="minorEastAsia" w:cstheme="minorBidi"/>
          <w:sz w:val="26"/>
          <w:szCs w:val="26"/>
        </w:rPr>
        <w:t xml:space="preserve"> </w:t>
      </w:r>
      <w:r w:rsidRPr="3934F952" w:rsidR="00F5000F">
        <w:rPr>
          <w:rFonts w:eastAsiaTheme="minorEastAsia" w:cstheme="minorBidi"/>
          <w:sz w:val="26"/>
          <w:szCs w:val="26"/>
        </w:rPr>
        <w:t>ancillary service fees not required by commercial calling services</w:t>
      </w:r>
      <w:r w:rsidRPr="3934F952" w:rsidR="00040EB9">
        <w:rPr>
          <w:rFonts w:eastAsiaTheme="minorEastAsia" w:cstheme="minorBidi"/>
          <w:sz w:val="26"/>
          <w:szCs w:val="26"/>
        </w:rPr>
        <w:t xml:space="preserve"> </w:t>
      </w:r>
      <w:r w:rsidRPr="3934F952" w:rsidR="00C406FB">
        <w:rPr>
          <w:rFonts w:eastAsiaTheme="minorEastAsia" w:cstheme="minorBidi"/>
          <w:sz w:val="26"/>
          <w:szCs w:val="26"/>
        </w:rPr>
        <w:t>on incarcerated persons and their families.</w:t>
      </w:r>
    </w:p>
    <w:p w:rsidRPr="00BF0F7B" w:rsidR="009034FF" w:rsidP="00BF0F7B" w:rsidRDefault="009034FF" w14:paraId="60D1AC17" w14:textId="40EE02FB">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 xml:space="preserve">The ancillary fees assessed on </w:t>
      </w:r>
      <w:r w:rsidRPr="3934F952" w:rsidR="002A1576">
        <w:rPr>
          <w:rFonts w:eastAsiaTheme="minorEastAsia" w:cstheme="minorBidi"/>
          <w:sz w:val="26"/>
          <w:szCs w:val="26"/>
        </w:rPr>
        <w:t xml:space="preserve">IPCS </w:t>
      </w:r>
      <w:r w:rsidRPr="3934F952">
        <w:rPr>
          <w:rFonts w:eastAsiaTheme="minorEastAsia" w:cstheme="minorBidi"/>
          <w:sz w:val="26"/>
          <w:szCs w:val="26"/>
        </w:rPr>
        <w:t xml:space="preserve">customers create hardship for families and </w:t>
      </w:r>
      <w:r w:rsidRPr="3934F952" w:rsidR="002A1576">
        <w:rPr>
          <w:rFonts w:eastAsiaTheme="minorEastAsia" w:cstheme="minorBidi"/>
          <w:sz w:val="26"/>
          <w:szCs w:val="26"/>
        </w:rPr>
        <w:t xml:space="preserve">adopting </w:t>
      </w:r>
      <w:r w:rsidRPr="3934F952">
        <w:rPr>
          <w:rFonts w:eastAsiaTheme="minorEastAsia" w:cstheme="minorBidi"/>
          <w:sz w:val="26"/>
          <w:szCs w:val="26"/>
        </w:rPr>
        <w:t xml:space="preserve">the FCC’s </w:t>
      </w:r>
      <w:r w:rsidRPr="3934F952" w:rsidR="002A1576">
        <w:rPr>
          <w:rFonts w:eastAsiaTheme="minorEastAsia" w:cstheme="minorBidi"/>
          <w:sz w:val="26"/>
          <w:szCs w:val="26"/>
        </w:rPr>
        <w:t xml:space="preserve">Third Order </w:t>
      </w:r>
      <w:r w:rsidRPr="3934F952">
        <w:rPr>
          <w:rFonts w:eastAsiaTheme="minorEastAsia" w:cstheme="minorBidi"/>
          <w:sz w:val="26"/>
          <w:szCs w:val="26"/>
        </w:rPr>
        <w:t>ancillary fee caps in California is insufficient to address these hardships.</w:t>
      </w:r>
    </w:p>
    <w:p w:rsidRPr="00BF0F7B" w:rsidR="006707AF" w:rsidP="00BF0F7B" w:rsidRDefault="0058655F" w14:paraId="57B34B8C" w14:textId="38A3A630">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Ancillary service charges generally cannot be practically segregated between interstate and intrastate jurisdiction except in the limited number of cases where, at the time a charge is imposed and the consumer accepts the charge, the call to which the service is ancillary is clearly an interstate-only or an intrastate-only call</w:t>
      </w:r>
      <w:r w:rsidRPr="3934F952" w:rsidR="00C202B9">
        <w:rPr>
          <w:rFonts w:eastAsiaTheme="minorEastAsia" w:cstheme="minorBidi"/>
          <w:sz w:val="26"/>
          <w:szCs w:val="26"/>
        </w:rPr>
        <w:t>.</w:t>
      </w:r>
    </w:p>
    <w:p w:rsidRPr="00BF0F7B" w:rsidR="000E78D2" w:rsidP="00BF0F7B" w:rsidRDefault="00A86BE5" w14:paraId="11844CD3" w14:textId="05F5269D">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lastRenderedPageBreak/>
        <w:t xml:space="preserve">The only ancillary fee </w:t>
      </w:r>
      <w:r w:rsidRPr="3934F952" w:rsidR="000E78D2">
        <w:rPr>
          <w:rFonts w:eastAsiaTheme="minorEastAsia" w:cstheme="minorBidi"/>
          <w:sz w:val="26"/>
          <w:szCs w:val="26"/>
        </w:rPr>
        <w:t xml:space="preserve">permitted by </w:t>
      </w:r>
      <w:r w:rsidRPr="3934F952" w:rsidR="00063C07">
        <w:rPr>
          <w:rFonts w:eastAsiaTheme="minorEastAsia" w:cstheme="minorBidi"/>
          <w:sz w:val="26"/>
          <w:szCs w:val="26"/>
        </w:rPr>
        <w:t xml:space="preserve">the </w:t>
      </w:r>
      <w:r w:rsidRPr="3934F952" w:rsidR="00D82E5D">
        <w:rPr>
          <w:rFonts w:eastAsiaTheme="minorEastAsia" w:cstheme="minorBidi"/>
          <w:sz w:val="26"/>
          <w:szCs w:val="26"/>
        </w:rPr>
        <w:t xml:space="preserve">FCC </w:t>
      </w:r>
      <w:r w:rsidRPr="3934F952" w:rsidR="002A1576">
        <w:rPr>
          <w:rFonts w:eastAsiaTheme="minorEastAsia" w:cstheme="minorBidi"/>
          <w:sz w:val="26"/>
          <w:szCs w:val="26"/>
        </w:rPr>
        <w:t xml:space="preserve">for interstate IPCS calls </w:t>
      </w:r>
      <w:r w:rsidRPr="3934F952">
        <w:rPr>
          <w:rFonts w:eastAsiaTheme="minorEastAsia" w:cstheme="minorBidi"/>
          <w:sz w:val="26"/>
          <w:szCs w:val="26"/>
        </w:rPr>
        <w:t xml:space="preserve">that can practicably be identified with a particular call is the </w:t>
      </w:r>
      <w:r w:rsidRPr="3934F952" w:rsidR="00B43C2C">
        <w:rPr>
          <w:rFonts w:eastAsiaTheme="minorEastAsia" w:cstheme="minorBidi"/>
          <w:sz w:val="26"/>
          <w:szCs w:val="26"/>
        </w:rPr>
        <w:t>single-call</w:t>
      </w:r>
      <w:r w:rsidRPr="3934F952">
        <w:rPr>
          <w:rFonts w:eastAsiaTheme="minorEastAsia" w:cstheme="minorBidi"/>
          <w:sz w:val="26"/>
          <w:szCs w:val="26"/>
        </w:rPr>
        <w:t xml:space="preserve"> service fee</w:t>
      </w:r>
      <w:r w:rsidRPr="3934F952" w:rsidR="000E78D2">
        <w:rPr>
          <w:rFonts w:eastAsiaTheme="minorEastAsia" w:cstheme="minorBidi"/>
          <w:sz w:val="26"/>
          <w:szCs w:val="26"/>
        </w:rPr>
        <w:t>.</w:t>
      </w:r>
    </w:p>
    <w:p w:rsidRPr="00BF0F7B" w:rsidR="006F6607" w:rsidP="00BF0F7B" w:rsidRDefault="00CA2C07" w14:paraId="5D3131BF" w14:textId="7CA96706">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Pr</w:t>
      </w:r>
      <w:r w:rsidRPr="3934F952" w:rsidR="006F6607">
        <w:rPr>
          <w:rFonts w:eastAsiaTheme="minorEastAsia" w:cstheme="minorBidi"/>
          <w:sz w:val="26"/>
          <w:szCs w:val="26"/>
        </w:rPr>
        <w:t>ohibiti</w:t>
      </w:r>
      <w:r w:rsidRPr="3934F952">
        <w:rPr>
          <w:rFonts w:eastAsiaTheme="minorEastAsia" w:cstheme="minorBidi"/>
          <w:sz w:val="26"/>
          <w:szCs w:val="26"/>
        </w:rPr>
        <w:t xml:space="preserve">ng </w:t>
      </w:r>
      <w:r w:rsidRPr="3934F952" w:rsidR="006F6607">
        <w:rPr>
          <w:rFonts w:eastAsiaTheme="minorEastAsia" w:cstheme="minorBidi"/>
          <w:sz w:val="26"/>
          <w:szCs w:val="26"/>
        </w:rPr>
        <w:t>automated payment fees, paper bill/statement fees, live agent fees, and single-call fees in association with intrastate and jurisdictionally mixed IPCS is equivalent to capping these fees at zero ($0.0) dollars.</w:t>
      </w:r>
    </w:p>
    <w:p w:rsidRPr="00BF0F7B" w:rsidR="00C24188" w:rsidP="00BF0F7B" w:rsidRDefault="00232B94" w14:paraId="47BE67D6" w14:textId="28D6F6D4">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A</w:t>
      </w:r>
      <w:r w:rsidRPr="3934F952" w:rsidR="00DE094D">
        <w:rPr>
          <w:rFonts w:eastAsiaTheme="minorEastAsia" w:cstheme="minorBidi"/>
          <w:sz w:val="26"/>
          <w:szCs w:val="26"/>
        </w:rPr>
        <w:t>s of May 2021, there were over 800 parties</w:t>
      </w:r>
      <w:r w:rsidRPr="3934F952" w:rsidR="00C6647C">
        <w:rPr>
          <w:rFonts w:eastAsiaTheme="minorEastAsia" w:cstheme="minorBidi"/>
          <w:sz w:val="26"/>
          <w:szCs w:val="26"/>
        </w:rPr>
        <w:t>, mostly telephone corporations,</w:t>
      </w:r>
      <w:r w:rsidRPr="3934F952" w:rsidR="00DE094D">
        <w:rPr>
          <w:rFonts w:eastAsiaTheme="minorEastAsia" w:cstheme="minorBidi"/>
          <w:sz w:val="26"/>
          <w:szCs w:val="26"/>
        </w:rPr>
        <w:t xml:space="preserve"> </w:t>
      </w:r>
      <w:r w:rsidRPr="3934F952" w:rsidR="002A1576">
        <w:rPr>
          <w:rFonts w:eastAsiaTheme="minorEastAsia" w:cstheme="minorBidi"/>
          <w:sz w:val="26"/>
          <w:szCs w:val="26"/>
        </w:rPr>
        <w:t>on</w:t>
      </w:r>
      <w:r w:rsidRPr="3934F952" w:rsidR="00DE094D">
        <w:rPr>
          <w:rFonts w:eastAsiaTheme="minorEastAsia" w:cstheme="minorBidi"/>
          <w:sz w:val="26"/>
          <w:szCs w:val="26"/>
        </w:rPr>
        <w:t xml:space="preserve"> the </w:t>
      </w:r>
      <w:r w:rsidRPr="3934F952" w:rsidR="00322094">
        <w:rPr>
          <w:rFonts w:eastAsiaTheme="minorEastAsia" w:cstheme="minorBidi"/>
          <w:sz w:val="26"/>
          <w:szCs w:val="26"/>
        </w:rPr>
        <w:t>service list</w:t>
      </w:r>
      <w:r w:rsidRPr="3934F952" w:rsidR="00A16044">
        <w:rPr>
          <w:rFonts w:eastAsiaTheme="minorEastAsia" w:cstheme="minorBidi"/>
          <w:sz w:val="26"/>
          <w:szCs w:val="26"/>
        </w:rPr>
        <w:t xml:space="preserve"> for this proceeding,</w:t>
      </w:r>
      <w:r w:rsidRPr="3934F952" w:rsidR="00C6647C">
        <w:rPr>
          <w:rFonts w:eastAsiaTheme="minorEastAsia" w:cstheme="minorBidi"/>
          <w:sz w:val="26"/>
          <w:szCs w:val="26"/>
        </w:rPr>
        <w:t xml:space="preserve"> </w:t>
      </w:r>
      <w:r w:rsidRPr="3934F952">
        <w:rPr>
          <w:rFonts w:eastAsiaTheme="minorEastAsia" w:cstheme="minorBidi"/>
          <w:sz w:val="26"/>
          <w:szCs w:val="26"/>
        </w:rPr>
        <w:t xml:space="preserve">but </w:t>
      </w:r>
      <w:r w:rsidRPr="3934F952" w:rsidR="00A16044">
        <w:rPr>
          <w:rFonts w:eastAsiaTheme="minorEastAsia" w:cstheme="minorBidi"/>
          <w:sz w:val="26"/>
          <w:szCs w:val="26"/>
        </w:rPr>
        <w:t>only a</w:t>
      </w:r>
      <w:r w:rsidRPr="3934F952" w:rsidR="00FE2755">
        <w:rPr>
          <w:rFonts w:eastAsiaTheme="minorEastAsia" w:cstheme="minorBidi"/>
          <w:sz w:val="26"/>
          <w:szCs w:val="26"/>
        </w:rPr>
        <w:t xml:space="preserve"> small number of parties had actively participated in the proceeding or </w:t>
      </w:r>
      <w:r w:rsidRPr="3934F952" w:rsidR="00921EA9">
        <w:rPr>
          <w:rFonts w:eastAsiaTheme="minorEastAsia" w:cstheme="minorBidi"/>
          <w:sz w:val="26"/>
          <w:szCs w:val="26"/>
        </w:rPr>
        <w:t>provide</w:t>
      </w:r>
      <w:r w:rsidRPr="3934F952" w:rsidR="00FE2755">
        <w:rPr>
          <w:rFonts w:eastAsiaTheme="minorEastAsia" w:cstheme="minorBidi"/>
          <w:sz w:val="26"/>
          <w:szCs w:val="26"/>
        </w:rPr>
        <w:t xml:space="preserve"> IPCS</w:t>
      </w:r>
      <w:r w:rsidRPr="3934F952" w:rsidR="00921EA9">
        <w:rPr>
          <w:rFonts w:eastAsiaTheme="minorEastAsia" w:cstheme="minorBidi"/>
          <w:sz w:val="26"/>
          <w:szCs w:val="26"/>
        </w:rPr>
        <w:t xml:space="preserve">.  </w:t>
      </w:r>
    </w:p>
    <w:p w:rsidR="00322094" w:rsidP="00BF0F7B" w:rsidRDefault="00921EA9" w14:paraId="4FC2CA79" w14:textId="0049FBF5">
      <w:pPr>
        <w:pStyle w:val="FoF"/>
        <w:numPr>
          <w:ilvl w:val="0"/>
          <w:numId w:val="26"/>
        </w:numPr>
        <w:ind w:left="0" w:firstLine="180"/>
        <w:rPr>
          <w:rFonts w:eastAsiaTheme="minorHAnsi" w:cstheme="minorBidi"/>
          <w:sz w:val="26"/>
          <w:szCs w:val="22"/>
        </w:rPr>
      </w:pPr>
      <w:r w:rsidRPr="00BF0F7B">
        <w:rPr>
          <w:rFonts w:eastAsiaTheme="minorHAnsi" w:cstheme="minorBidi"/>
          <w:sz w:val="26"/>
          <w:szCs w:val="22"/>
        </w:rPr>
        <w:t xml:space="preserve">A service list </w:t>
      </w:r>
      <w:r w:rsidRPr="00BF0F7B" w:rsidR="00C24188">
        <w:rPr>
          <w:rFonts w:eastAsiaTheme="minorHAnsi" w:cstheme="minorBidi"/>
          <w:sz w:val="26"/>
          <w:szCs w:val="22"/>
        </w:rPr>
        <w:t xml:space="preserve">larger than 800 </w:t>
      </w:r>
      <w:r w:rsidRPr="00BF0F7B" w:rsidR="00322094">
        <w:rPr>
          <w:rFonts w:eastAsiaTheme="minorHAnsi" w:cstheme="minorBidi"/>
          <w:sz w:val="26"/>
          <w:szCs w:val="22"/>
        </w:rPr>
        <w:t>complicates service of proceeding documents to parties due to email size limits</w:t>
      </w:r>
      <w:r w:rsidRPr="00BF0F7B" w:rsidR="00C24188">
        <w:rPr>
          <w:rFonts w:eastAsiaTheme="minorHAnsi" w:cstheme="minorBidi"/>
          <w:sz w:val="26"/>
          <w:szCs w:val="22"/>
        </w:rPr>
        <w:t xml:space="preserve"> and is not necessary for this case</w:t>
      </w:r>
      <w:r w:rsidRPr="00BF0F7B" w:rsidR="00322094">
        <w:rPr>
          <w:rFonts w:eastAsiaTheme="minorHAnsi" w:cstheme="minorBidi"/>
          <w:sz w:val="26"/>
          <w:szCs w:val="22"/>
        </w:rPr>
        <w:t xml:space="preserve">.  </w:t>
      </w:r>
    </w:p>
    <w:p w:rsidR="00436DB7" w:rsidP="00BF0F7B" w:rsidRDefault="00436DB7" w14:paraId="315391C3" w14:textId="2C620363">
      <w:pPr>
        <w:pStyle w:val="FoF"/>
        <w:numPr>
          <w:ilvl w:val="0"/>
          <w:numId w:val="26"/>
        </w:numPr>
        <w:ind w:left="0" w:firstLine="180"/>
        <w:rPr>
          <w:rFonts w:eastAsiaTheme="minorHAnsi" w:cstheme="minorBidi"/>
          <w:sz w:val="26"/>
          <w:szCs w:val="22"/>
        </w:rPr>
      </w:pPr>
      <w:r>
        <w:rPr>
          <w:rFonts w:eastAsiaTheme="minorHAnsi" w:cstheme="minorBidi"/>
          <w:sz w:val="26"/>
          <w:szCs w:val="22"/>
        </w:rPr>
        <w:t xml:space="preserve">It is reasonable to require </w:t>
      </w:r>
      <w:r w:rsidR="00CF06C7">
        <w:rPr>
          <w:rFonts w:eastAsiaTheme="minorHAnsi" w:cstheme="minorBidi"/>
          <w:sz w:val="26"/>
          <w:szCs w:val="22"/>
        </w:rPr>
        <w:t xml:space="preserve">IPC providers to provide </w:t>
      </w:r>
      <w:r w:rsidR="002150BC">
        <w:rPr>
          <w:rFonts w:eastAsiaTheme="minorHAnsi" w:cstheme="minorBidi"/>
          <w:sz w:val="26"/>
          <w:szCs w:val="22"/>
        </w:rPr>
        <w:t xml:space="preserve">customer </w:t>
      </w:r>
      <w:r w:rsidR="00CF06C7">
        <w:rPr>
          <w:rFonts w:eastAsiaTheme="minorHAnsi" w:cstheme="minorBidi"/>
          <w:sz w:val="26"/>
          <w:szCs w:val="22"/>
        </w:rPr>
        <w:t xml:space="preserve">notices and disclosures regarding </w:t>
      </w:r>
      <w:r w:rsidR="002150BC">
        <w:rPr>
          <w:rFonts w:eastAsiaTheme="minorHAnsi" w:cstheme="minorBidi"/>
          <w:sz w:val="26"/>
          <w:szCs w:val="22"/>
        </w:rPr>
        <w:t xml:space="preserve">adopted </w:t>
      </w:r>
      <w:r w:rsidR="00CF06C7">
        <w:rPr>
          <w:rFonts w:eastAsiaTheme="minorHAnsi" w:cstheme="minorBidi"/>
          <w:sz w:val="26"/>
          <w:szCs w:val="22"/>
        </w:rPr>
        <w:t xml:space="preserve">rate and ancillary service fee requirements in </w:t>
      </w:r>
      <w:r w:rsidR="008B0AF8">
        <w:rPr>
          <w:rFonts w:eastAsiaTheme="minorHAnsi" w:cstheme="minorBidi"/>
          <w:sz w:val="26"/>
          <w:szCs w:val="22"/>
        </w:rPr>
        <w:t>English, Spanish and other languages prevalent in incarceration facilities</w:t>
      </w:r>
      <w:r w:rsidR="005D157E">
        <w:rPr>
          <w:rFonts w:eastAsiaTheme="minorHAnsi" w:cstheme="minorBidi"/>
          <w:sz w:val="26"/>
          <w:szCs w:val="22"/>
        </w:rPr>
        <w:t xml:space="preserve">, and to </w:t>
      </w:r>
      <w:r w:rsidRPr="73BF4038" w:rsidR="005D157E">
        <w:rPr>
          <w:rFonts w:eastAsiaTheme="majorEastAsia" w:cstheme="majorBidi"/>
          <w:sz w:val="26"/>
          <w:szCs w:val="26"/>
        </w:rPr>
        <w:t>inform the incarcerated of methods to lodge service quality complaints with the Commission</w:t>
      </w:r>
      <w:r w:rsidR="008B0AF8">
        <w:rPr>
          <w:rFonts w:eastAsiaTheme="minorHAnsi" w:cstheme="minorBidi"/>
          <w:sz w:val="26"/>
          <w:szCs w:val="22"/>
        </w:rPr>
        <w:t xml:space="preserve">. </w:t>
      </w:r>
    </w:p>
    <w:p w:rsidRPr="00BF0F7B" w:rsidR="00AF75EE" w:rsidP="00BF0F7B" w:rsidRDefault="00AF75EE" w14:paraId="0DB14FB3" w14:textId="2A1DBA0F">
      <w:pPr>
        <w:pStyle w:val="FoF"/>
        <w:numPr>
          <w:ilvl w:val="0"/>
          <w:numId w:val="26"/>
        </w:numPr>
        <w:ind w:left="0" w:firstLine="180"/>
        <w:rPr>
          <w:rFonts w:eastAsiaTheme="minorEastAsia" w:cstheme="minorBidi"/>
          <w:sz w:val="26"/>
          <w:szCs w:val="26"/>
        </w:rPr>
      </w:pPr>
      <w:r w:rsidRPr="3934F952">
        <w:rPr>
          <w:rFonts w:eastAsiaTheme="minorEastAsia" w:cstheme="minorBidi"/>
          <w:sz w:val="26"/>
          <w:szCs w:val="26"/>
        </w:rPr>
        <w:t>IPCS providers had ample opportunity to file in the record of this proceeding detailed and/or summary cost data but have declined to do so</w:t>
      </w:r>
      <w:r w:rsidRPr="3934F952" w:rsidR="00E9370B">
        <w:rPr>
          <w:rFonts w:eastAsiaTheme="minorEastAsia" w:cstheme="minorBidi"/>
          <w:sz w:val="26"/>
          <w:szCs w:val="26"/>
        </w:rPr>
        <w:t>.</w:t>
      </w:r>
    </w:p>
    <w:p w:rsidR="005939A5" w:rsidP="005939A5" w:rsidRDefault="005939A5" w14:paraId="315D50B4" w14:textId="77777777">
      <w:pPr>
        <w:pStyle w:val="Dummy"/>
      </w:pPr>
      <w:bookmarkStart w:name="_Toc8123726" w:id="78"/>
      <w:bookmarkStart w:name="_Toc80089428" w:id="79"/>
      <w:r>
        <w:t>Conclusions of Law</w:t>
      </w:r>
      <w:bookmarkEnd w:id="78"/>
      <w:bookmarkEnd w:id="79"/>
    </w:p>
    <w:p w:rsidR="00CF5F05" w:rsidP="0072152F" w:rsidRDefault="00CF5F05" w14:paraId="554BC1EA" w14:textId="1206F252">
      <w:pPr>
        <w:pStyle w:val="CoL"/>
        <w:numPr>
          <w:ilvl w:val="0"/>
          <w:numId w:val="28"/>
        </w:numPr>
        <w:ind w:left="0" w:firstLine="360"/>
        <w:rPr>
          <w:sz w:val="26"/>
          <w:szCs w:val="26"/>
        </w:rPr>
      </w:pPr>
      <w:r w:rsidRPr="00E95968">
        <w:rPr>
          <w:sz w:val="26"/>
          <w:szCs w:val="26"/>
        </w:rPr>
        <w:t xml:space="preserve">The California Constitution and </w:t>
      </w:r>
      <w:r>
        <w:rPr>
          <w:sz w:val="26"/>
          <w:szCs w:val="26"/>
        </w:rPr>
        <w:t xml:space="preserve">the </w:t>
      </w:r>
      <w:r w:rsidRPr="00E95968">
        <w:rPr>
          <w:sz w:val="26"/>
          <w:szCs w:val="26"/>
        </w:rPr>
        <w:t xml:space="preserve">Public Utilities Code </w:t>
      </w:r>
      <w:r>
        <w:rPr>
          <w:sz w:val="26"/>
          <w:szCs w:val="26"/>
        </w:rPr>
        <w:t>ve</w:t>
      </w:r>
      <w:r w:rsidRPr="00E95968">
        <w:rPr>
          <w:sz w:val="26"/>
          <w:szCs w:val="26"/>
        </w:rPr>
        <w:t>st in the Commission</w:t>
      </w:r>
      <w:r>
        <w:rPr>
          <w:sz w:val="26"/>
          <w:szCs w:val="26"/>
        </w:rPr>
        <w:t>)</w:t>
      </w:r>
      <w:r w:rsidR="00476CFE">
        <w:rPr>
          <w:sz w:val="26"/>
          <w:szCs w:val="26"/>
        </w:rPr>
        <w:t xml:space="preserve"> </w:t>
      </w:r>
      <w:r w:rsidRPr="00E95968">
        <w:rPr>
          <w:sz w:val="26"/>
          <w:szCs w:val="26"/>
        </w:rPr>
        <w:t>regulatory authority over public utilities, including telephone corporations</w:t>
      </w:r>
      <w:r>
        <w:rPr>
          <w:sz w:val="26"/>
          <w:szCs w:val="26"/>
        </w:rPr>
        <w:t>.</w:t>
      </w:r>
    </w:p>
    <w:p w:rsidRPr="00B41CD3" w:rsidR="00DD608B" w:rsidP="0072152F" w:rsidRDefault="00DD608B" w14:paraId="285C7C32" w14:textId="2C401933">
      <w:pPr>
        <w:pStyle w:val="CoL"/>
        <w:numPr>
          <w:ilvl w:val="0"/>
          <w:numId w:val="28"/>
        </w:numPr>
        <w:ind w:left="0" w:firstLine="360"/>
        <w:rPr>
          <w:sz w:val="26"/>
          <w:szCs w:val="26"/>
        </w:rPr>
      </w:pPr>
      <w:r w:rsidRPr="00B41CD3">
        <w:rPr>
          <w:sz w:val="26"/>
          <w:szCs w:val="26"/>
        </w:rPr>
        <w:t>P</w:t>
      </w:r>
      <w:r w:rsidR="008B5C79">
        <w:rPr>
          <w:sz w:val="26"/>
          <w:szCs w:val="26"/>
        </w:rPr>
        <w:t xml:space="preserve">ublic </w:t>
      </w:r>
      <w:r w:rsidRPr="00B41CD3">
        <w:rPr>
          <w:sz w:val="26"/>
          <w:szCs w:val="26"/>
        </w:rPr>
        <w:t>Util</w:t>
      </w:r>
      <w:r w:rsidR="008B5C79">
        <w:rPr>
          <w:sz w:val="26"/>
          <w:szCs w:val="26"/>
        </w:rPr>
        <w:t>ities</w:t>
      </w:r>
      <w:r w:rsidRPr="00B41CD3">
        <w:rPr>
          <w:sz w:val="26"/>
          <w:szCs w:val="26"/>
        </w:rPr>
        <w:t xml:space="preserve"> Code Sections </w:t>
      </w:r>
      <w:r w:rsidR="00DE71A4">
        <w:rPr>
          <w:sz w:val="26"/>
          <w:szCs w:val="26"/>
        </w:rPr>
        <w:t>216, 2</w:t>
      </w:r>
      <w:r w:rsidRPr="00B41CD3">
        <w:rPr>
          <w:sz w:val="26"/>
          <w:szCs w:val="26"/>
        </w:rPr>
        <w:t xml:space="preserve">33, </w:t>
      </w:r>
      <w:r w:rsidR="00A60BB3">
        <w:rPr>
          <w:sz w:val="26"/>
          <w:szCs w:val="26"/>
        </w:rPr>
        <w:t xml:space="preserve">234, </w:t>
      </w:r>
      <w:r w:rsidR="00221E6C">
        <w:rPr>
          <w:sz w:val="26"/>
          <w:szCs w:val="26"/>
        </w:rPr>
        <w:t xml:space="preserve">451, 454(a) and </w:t>
      </w:r>
      <w:r w:rsidR="00A60BB3">
        <w:rPr>
          <w:sz w:val="26"/>
          <w:szCs w:val="26"/>
        </w:rPr>
        <w:t>701</w:t>
      </w:r>
      <w:r w:rsidR="00C6647C">
        <w:rPr>
          <w:sz w:val="26"/>
          <w:szCs w:val="26"/>
        </w:rPr>
        <w:t xml:space="preserve"> </w:t>
      </w:r>
      <w:r w:rsidR="008B5C79">
        <w:rPr>
          <w:sz w:val="26"/>
          <w:szCs w:val="26"/>
        </w:rPr>
        <w:t xml:space="preserve">vest in the Commission the obligation </w:t>
      </w:r>
      <w:r w:rsidR="00A60BB3">
        <w:rPr>
          <w:sz w:val="26"/>
          <w:szCs w:val="26"/>
        </w:rPr>
        <w:t xml:space="preserve">to </w:t>
      </w:r>
      <w:r w:rsidR="00355DAA">
        <w:rPr>
          <w:sz w:val="26"/>
          <w:szCs w:val="26"/>
        </w:rPr>
        <w:t>en</w:t>
      </w:r>
      <w:r w:rsidR="00A60BB3">
        <w:rPr>
          <w:sz w:val="26"/>
          <w:szCs w:val="26"/>
        </w:rPr>
        <w:t xml:space="preserve">sure </w:t>
      </w:r>
      <w:r w:rsidR="002A1576">
        <w:rPr>
          <w:sz w:val="26"/>
          <w:szCs w:val="26"/>
        </w:rPr>
        <w:t xml:space="preserve">that </w:t>
      </w:r>
      <w:r w:rsidR="00A60BB3">
        <w:rPr>
          <w:sz w:val="26"/>
          <w:szCs w:val="26"/>
        </w:rPr>
        <w:t xml:space="preserve">the rates, terms and conditions </w:t>
      </w:r>
      <w:r w:rsidR="002979B7">
        <w:rPr>
          <w:sz w:val="26"/>
          <w:szCs w:val="26"/>
        </w:rPr>
        <w:t xml:space="preserve">charged by telephone corporations to provide </w:t>
      </w:r>
      <w:r w:rsidR="00A60BB3">
        <w:rPr>
          <w:sz w:val="26"/>
          <w:szCs w:val="26"/>
        </w:rPr>
        <w:t xml:space="preserve">intrastate IPCS are just and reasonable. </w:t>
      </w:r>
    </w:p>
    <w:p w:rsidR="006F39F6" w:rsidP="0072152F" w:rsidRDefault="009665EE" w14:paraId="4E1A77D3" w14:textId="64B31D42">
      <w:pPr>
        <w:pStyle w:val="CoL"/>
        <w:numPr>
          <w:ilvl w:val="0"/>
          <w:numId w:val="28"/>
        </w:numPr>
        <w:ind w:left="0" w:firstLine="360"/>
        <w:rPr>
          <w:sz w:val="26"/>
          <w:szCs w:val="26"/>
        </w:rPr>
      </w:pPr>
      <w:r>
        <w:rPr>
          <w:sz w:val="26"/>
          <w:szCs w:val="26"/>
        </w:rPr>
        <w:t xml:space="preserve">Telephone corporations </w:t>
      </w:r>
      <w:r w:rsidR="002979B7">
        <w:rPr>
          <w:sz w:val="26"/>
          <w:szCs w:val="26"/>
        </w:rPr>
        <w:t xml:space="preserve">providing </w:t>
      </w:r>
      <w:r>
        <w:rPr>
          <w:sz w:val="26"/>
          <w:szCs w:val="26"/>
        </w:rPr>
        <w:t>IPCS</w:t>
      </w:r>
      <w:r w:rsidR="00167962">
        <w:rPr>
          <w:sz w:val="26"/>
          <w:szCs w:val="26"/>
        </w:rPr>
        <w:t xml:space="preserve"> voice services, including via </w:t>
      </w:r>
      <w:r w:rsidRPr="006F39F6" w:rsidR="006F39F6">
        <w:rPr>
          <w:sz w:val="26"/>
          <w:szCs w:val="26"/>
        </w:rPr>
        <w:t>VoIP technologies</w:t>
      </w:r>
      <w:r w:rsidR="00167962">
        <w:rPr>
          <w:sz w:val="26"/>
          <w:szCs w:val="26"/>
        </w:rPr>
        <w:t>,</w:t>
      </w:r>
      <w:r w:rsidRPr="006F39F6" w:rsidR="006F39F6">
        <w:rPr>
          <w:sz w:val="26"/>
          <w:szCs w:val="26"/>
        </w:rPr>
        <w:t xml:space="preserve"> are public utilities subject to our jurisdiction</w:t>
      </w:r>
      <w:r w:rsidR="00AB77CE">
        <w:rPr>
          <w:sz w:val="26"/>
          <w:szCs w:val="26"/>
        </w:rPr>
        <w:t>.</w:t>
      </w:r>
    </w:p>
    <w:p w:rsidRPr="00971E3B" w:rsidR="00971E3B" w:rsidP="0072152F" w:rsidRDefault="00971E3B" w14:paraId="52863298" w14:textId="467667B6">
      <w:pPr>
        <w:pStyle w:val="CoL"/>
        <w:numPr>
          <w:ilvl w:val="0"/>
          <w:numId w:val="28"/>
        </w:numPr>
        <w:ind w:left="0" w:firstLine="360"/>
        <w:rPr>
          <w:sz w:val="26"/>
          <w:szCs w:val="26"/>
        </w:rPr>
      </w:pPr>
      <w:r w:rsidRPr="00B41CD3">
        <w:rPr>
          <w:sz w:val="26"/>
          <w:szCs w:val="26"/>
        </w:rPr>
        <w:lastRenderedPageBreak/>
        <w:t>P</w:t>
      </w:r>
      <w:r w:rsidR="00FB0FF3">
        <w:rPr>
          <w:sz w:val="26"/>
          <w:szCs w:val="26"/>
        </w:rPr>
        <w:t>ursuant to P</w:t>
      </w:r>
      <w:r w:rsidRPr="00B41CD3">
        <w:rPr>
          <w:sz w:val="26"/>
          <w:szCs w:val="26"/>
        </w:rPr>
        <w:t>ub</w:t>
      </w:r>
      <w:r w:rsidR="006D69B9">
        <w:rPr>
          <w:sz w:val="26"/>
          <w:szCs w:val="26"/>
        </w:rPr>
        <w:t>lic Utilities</w:t>
      </w:r>
      <w:r w:rsidRPr="00B41CD3">
        <w:rPr>
          <w:sz w:val="26"/>
          <w:szCs w:val="26"/>
        </w:rPr>
        <w:t xml:space="preserve"> Code Section 451</w:t>
      </w:r>
      <w:r w:rsidR="00FB0FF3">
        <w:rPr>
          <w:sz w:val="26"/>
          <w:szCs w:val="26"/>
        </w:rPr>
        <w:t xml:space="preserve">, </w:t>
      </w:r>
      <w:r>
        <w:rPr>
          <w:sz w:val="26"/>
          <w:szCs w:val="26"/>
        </w:rPr>
        <w:t xml:space="preserve">unjust or unreasonable charges demanded or received by utilities are unlawful. </w:t>
      </w:r>
    </w:p>
    <w:p w:rsidRPr="006F39F6" w:rsidR="006F39F6" w:rsidP="0072152F" w:rsidRDefault="00F64AA7" w14:paraId="5C9E6FA8" w14:textId="4FB06C38">
      <w:pPr>
        <w:pStyle w:val="CoL"/>
        <w:numPr>
          <w:ilvl w:val="0"/>
          <w:numId w:val="28"/>
        </w:numPr>
        <w:ind w:left="0" w:firstLine="360"/>
        <w:rPr>
          <w:sz w:val="26"/>
          <w:szCs w:val="26"/>
        </w:rPr>
      </w:pPr>
      <w:r>
        <w:rPr>
          <w:sz w:val="26"/>
          <w:szCs w:val="26"/>
        </w:rPr>
        <w:t>For purposes of this decision, t</w:t>
      </w:r>
      <w:r w:rsidR="003109EC">
        <w:rPr>
          <w:sz w:val="26"/>
          <w:szCs w:val="26"/>
        </w:rPr>
        <w:t xml:space="preserve">he </w:t>
      </w:r>
      <w:r w:rsidR="006F39F6">
        <w:rPr>
          <w:sz w:val="26"/>
          <w:szCs w:val="26"/>
        </w:rPr>
        <w:t>Commission should</w:t>
      </w:r>
      <w:r w:rsidR="00971E3B">
        <w:rPr>
          <w:sz w:val="26"/>
          <w:szCs w:val="26"/>
        </w:rPr>
        <w:t xml:space="preserve"> </w:t>
      </w:r>
      <w:r w:rsidR="006F39F6">
        <w:rPr>
          <w:sz w:val="26"/>
          <w:szCs w:val="26"/>
        </w:rPr>
        <w:t xml:space="preserve">define </w:t>
      </w:r>
      <w:r w:rsidR="00B26C7C">
        <w:rPr>
          <w:sz w:val="26"/>
          <w:szCs w:val="26"/>
        </w:rPr>
        <w:t xml:space="preserve">intrastate </w:t>
      </w:r>
      <w:r w:rsidR="003109EC">
        <w:rPr>
          <w:sz w:val="26"/>
          <w:szCs w:val="26"/>
        </w:rPr>
        <w:t>IPCS as</w:t>
      </w:r>
      <w:r w:rsidR="004526EA">
        <w:rPr>
          <w:sz w:val="26"/>
          <w:szCs w:val="26"/>
        </w:rPr>
        <w:t xml:space="preserve"> </w:t>
      </w:r>
      <w:r w:rsidR="009B72D8">
        <w:rPr>
          <w:sz w:val="26"/>
          <w:szCs w:val="26"/>
        </w:rPr>
        <w:t xml:space="preserve">voice </w:t>
      </w:r>
      <w:r w:rsidRPr="006F39F6" w:rsidR="006F39F6">
        <w:rPr>
          <w:sz w:val="26"/>
          <w:szCs w:val="26"/>
        </w:rPr>
        <w:t>calling services provided to any local, state, or federal correctional or detention facility type operated in California housing adults and/or juveniles, including but not limited to city and county jails, federal and state prisons, correctional facilities, juvenile detention facilities, holding centers, camps, psychiatric hospitals, immigration detention centers, military jails and tribal jails</w:t>
      </w:r>
      <w:r w:rsidR="009B72D8">
        <w:rPr>
          <w:sz w:val="26"/>
          <w:szCs w:val="26"/>
        </w:rPr>
        <w:t xml:space="preserve">, </w:t>
      </w:r>
      <w:r w:rsidRPr="006F39F6" w:rsidR="006F39F6">
        <w:rPr>
          <w:sz w:val="26"/>
          <w:szCs w:val="26"/>
        </w:rPr>
        <w:t>including</w:t>
      </w:r>
      <w:r w:rsidR="003109EC">
        <w:rPr>
          <w:sz w:val="26"/>
          <w:szCs w:val="26"/>
        </w:rPr>
        <w:t xml:space="preserve">, </w:t>
      </w:r>
      <w:r w:rsidRPr="006F39F6" w:rsidR="006F39F6">
        <w:rPr>
          <w:sz w:val="26"/>
          <w:szCs w:val="26"/>
        </w:rPr>
        <w:t>but not limited to</w:t>
      </w:r>
      <w:r w:rsidR="003109EC">
        <w:rPr>
          <w:sz w:val="26"/>
          <w:szCs w:val="26"/>
        </w:rPr>
        <w:t>,</w:t>
      </w:r>
      <w:r w:rsidRPr="006F39F6" w:rsidR="006F39F6">
        <w:rPr>
          <w:sz w:val="26"/>
          <w:szCs w:val="26"/>
        </w:rPr>
        <w:t xml:space="preserve"> </w:t>
      </w:r>
      <w:r w:rsidR="002A1576">
        <w:rPr>
          <w:sz w:val="26"/>
          <w:szCs w:val="26"/>
        </w:rPr>
        <w:t xml:space="preserve">voice and </w:t>
      </w:r>
      <w:r w:rsidR="006F711B">
        <w:rPr>
          <w:sz w:val="26"/>
          <w:szCs w:val="26"/>
        </w:rPr>
        <w:t xml:space="preserve">interconnected </w:t>
      </w:r>
      <w:r w:rsidRPr="006F39F6" w:rsidR="006F39F6">
        <w:rPr>
          <w:sz w:val="26"/>
          <w:szCs w:val="26"/>
        </w:rPr>
        <w:t xml:space="preserve">VoIP calling, </w:t>
      </w:r>
      <w:r w:rsidR="009B72D8">
        <w:rPr>
          <w:sz w:val="26"/>
          <w:szCs w:val="26"/>
        </w:rPr>
        <w:t>and</w:t>
      </w:r>
      <w:r w:rsidRPr="006F39F6" w:rsidR="006F39F6">
        <w:rPr>
          <w:sz w:val="26"/>
          <w:szCs w:val="26"/>
        </w:rPr>
        <w:t xml:space="preserve"> voice and VoIP communications services serving people with disabilities</w:t>
      </w:r>
      <w:r w:rsidR="0006216A">
        <w:rPr>
          <w:sz w:val="26"/>
          <w:szCs w:val="26"/>
        </w:rPr>
        <w:t>.</w:t>
      </w:r>
      <w:r w:rsidRPr="00CC1404" w:rsidR="00CC1404">
        <w:rPr>
          <w:sz w:val="26"/>
          <w:szCs w:val="26"/>
        </w:rPr>
        <w:t xml:space="preserve"> </w:t>
      </w:r>
    </w:p>
    <w:p w:rsidR="00534C96" w:rsidP="0072152F" w:rsidRDefault="00534C96" w14:paraId="5AC2ED24" w14:textId="0C869E9A">
      <w:pPr>
        <w:pStyle w:val="CoL"/>
        <w:numPr>
          <w:ilvl w:val="0"/>
          <w:numId w:val="28"/>
        </w:numPr>
        <w:ind w:left="0" w:firstLine="360"/>
        <w:rPr>
          <w:sz w:val="26"/>
          <w:szCs w:val="26"/>
        </w:rPr>
      </w:pPr>
      <w:r w:rsidRPr="00B41CD3">
        <w:rPr>
          <w:sz w:val="26"/>
          <w:szCs w:val="26"/>
        </w:rPr>
        <w:t>The C</w:t>
      </w:r>
      <w:r w:rsidRPr="00B41CD3" w:rsidR="00D10756">
        <w:rPr>
          <w:sz w:val="26"/>
          <w:szCs w:val="26"/>
        </w:rPr>
        <w:t xml:space="preserve">ommission </w:t>
      </w:r>
      <w:r w:rsidRPr="00B41CD3">
        <w:rPr>
          <w:sz w:val="26"/>
          <w:szCs w:val="26"/>
        </w:rPr>
        <w:t xml:space="preserve">has </w:t>
      </w:r>
      <w:r w:rsidRPr="00B41CD3" w:rsidR="00D10756">
        <w:rPr>
          <w:sz w:val="26"/>
          <w:szCs w:val="26"/>
        </w:rPr>
        <w:t xml:space="preserve">the </w:t>
      </w:r>
      <w:r w:rsidRPr="00B41CD3">
        <w:rPr>
          <w:sz w:val="26"/>
          <w:szCs w:val="26"/>
        </w:rPr>
        <w:t>authority to investigate market power abuses</w:t>
      </w:r>
      <w:r w:rsidRPr="00B41CD3" w:rsidR="0026764F">
        <w:rPr>
          <w:sz w:val="26"/>
          <w:szCs w:val="26"/>
        </w:rPr>
        <w:t xml:space="preserve"> </w:t>
      </w:r>
      <w:r w:rsidR="00747FDA">
        <w:rPr>
          <w:sz w:val="26"/>
          <w:szCs w:val="26"/>
        </w:rPr>
        <w:t xml:space="preserve">on the part of public utilities </w:t>
      </w:r>
      <w:r w:rsidRPr="00B41CD3" w:rsidR="0026764F">
        <w:rPr>
          <w:sz w:val="26"/>
          <w:szCs w:val="26"/>
        </w:rPr>
        <w:t>and to regulate</w:t>
      </w:r>
      <w:r w:rsidRPr="00B41CD3" w:rsidR="001377C4">
        <w:rPr>
          <w:sz w:val="26"/>
          <w:szCs w:val="26"/>
        </w:rPr>
        <w:t xml:space="preserve"> rates where monopolies </w:t>
      </w:r>
      <w:r w:rsidR="00557DE8">
        <w:rPr>
          <w:sz w:val="26"/>
          <w:szCs w:val="26"/>
        </w:rPr>
        <w:t xml:space="preserve">exist </w:t>
      </w:r>
      <w:r w:rsidRPr="00B41CD3" w:rsidR="001377C4">
        <w:rPr>
          <w:sz w:val="26"/>
          <w:szCs w:val="26"/>
        </w:rPr>
        <w:t>or where competition is prohibited or does not otherwise exist.</w:t>
      </w:r>
    </w:p>
    <w:p w:rsidR="00E35E49" w:rsidP="0072152F" w:rsidRDefault="00E35E49" w14:paraId="236F51DC" w14:textId="00A909FA">
      <w:pPr>
        <w:pStyle w:val="CoL"/>
        <w:numPr>
          <w:ilvl w:val="0"/>
          <w:numId w:val="28"/>
        </w:numPr>
        <w:ind w:left="0" w:firstLine="360"/>
        <w:rPr>
          <w:sz w:val="26"/>
          <w:szCs w:val="26"/>
        </w:rPr>
      </w:pPr>
      <w:r>
        <w:rPr>
          <w:sz w:val="26"/>
          <w:szCs w:val="26"/>
        </w:rPr>
        <w:t xml:space="preserve">Incarcerated people are </w:t>
      </w:r>
      <w:r w:rsidRPr="00E35E49">
        <w:rPr>
          <w:sz w:val="26"/>
          <w:szCs w:val="26"/>
        </w:rPr>
        <w:t xml:space="preserve">a captive customer class </w:t>
      </w:r>
      <w:r>
        <w:rPr>
          <w:sz w:val="26"/>
          <w:szCs w:val="26"/>
        </w:rPr>
        <w:t xml:space="preserve">with no alternative choice of </w:t>
      </w:r>
      <w:r w:rsidR="00F6714F">
        <w:rPr>
          <w:sz w:val="26"/>
          <w:szCs w:val="26"/>
        </w:rPr>
        <w:t xml:space="preserve">IPCS service provider </w:t>
      </w:r>
      <w:r w:rsidRPr="00E35E49">
        <w:rPr>
          <w:sz w:val="26"/>
          <w:szCs w:val="26"/>
        </w:rPr>
        <w:t xml:space="preserve">once a given facility has selected a single provider.  </w:t>
      </w:r>
    </w:p>
    <w:p w:rsidR="00F56E39" w:rsidP="0072152F" w:rsidRDefault="00F56E39" w14:paraId="25737D1E" w14:textId="29A293E7">
      <w:pPr>
        <w:pStyle w:val="CoL"/>
        <w:numPr>
          <w:ilvl w:val="0"/>
          <w:numId w:val="28"/>
        </w:numPr>
        <w:ind w:left="0" w:firstLine="360"/>
        <w:rPr>
          <w:sz w:val="26"/>
          <w:szCs w:val="26"/>
        </w:rPr>
      </w:pPr>
      <w:r>
        <w:rPr>
          <w:sz w:val="26"/>
          <w:szCs w:val="26"/>
        </w:rPr>
        <w:t xml:space="preserve">Providers of IPCS in California </w:t>
      </w:r>
      <w:r w:rsidR="00130EAB">
        <w:rPr>
          <w:sz w:val="26"/>
          <w:szCs w:val="26"/>
        </w:rPr>
        <w:t xml:space="preserve">operate locational </w:t>
      </w:r>
      <w:r>
        <w:rPr>
          <w:sz w:val="26"/>
          <w:szCs w:val="26"/>
        </w:rPr>
        <w:t>monopol</w:t>
      </w:r>
      <w:r w:rsidR="00130EAB">
        <w:rPr>
          <w:sz w:val="26"/>
          <w:szCs w:val="26"/>
        </w:rPr>
        <w:t xml:space="preserve">ies </w:t>
      </w:r>
      <w:r>
        <w:rPr>
          <w:sz w:val="26"/>
          <w:szCs w:val="26"/>
        </w:rPr>
        <w:t xml:space="preserve">in the facilities they serve and exercise </w:t>
      </w:r>
      <w:r w:rsidRPr="00F03213">
        <w:rPr>
          <w:sz w:val="26"/>
          <w:szCs w:val="26"/>
        </w:rPr>
        <w:t>market power</w:t>
      </w:r>
      <w:r>
        <w:rPr>
          <w:sz w:val="26"/>
          <w:szCs w:val="26"/>
        </w:rPr>
        <w:t>.</w:t>
      </w:r>
    </w:p>
    <w:p w:rsidR="0026764F" w:rsidP="0072152F" w:rsidRDefault="004605D2" w14:paraId="6C947360" w14:textId="65A0F9C9">
      <w:pPr>
        <w:pStyle w:val="CoL"/>
        <w:numPr>
          <w:ilvl w:val="0"/>
          <w:numId w:val="28"/>
        </w:numPr>
        <w:ind w:left="0" w:firstLine="360"/>
        <w:rPr>
          <w:sz w:val="26"/>
          <w:szCs w:val="26"/>
        </w:rPr>
      </w:pPr>
      <w:r w:rsidRPr="00B41CD3">
        <w:rPr>
          <w:sz w:val="26"/>
          <w:szCs w:val="26"/>
        </w:rPr>
        <w:t xml:space="preserve">California </w:t>
      </w:r>
      <w:r w:rsidR="002B200D">
        <w:rPr>
          <w:sz w:val="26"/>
          <w:szCs w:val="26"/>
        </w:rPr>
        <w:t xml:space="preserve">Penal Code Section 4025(d) authorizes, but does not require, county sheriff’s departments to collect site commissions from </w:t>
      </w:r>
      <w:r w:rsidR="00A035EC">
        <w:rPr>
          <w:sz w:val="26"/>
          <w:szCs w:val="26"/>
        </w:rPr>
        <w:t xml:space="preserve">telephone corporations providing </w:t>
      </w:r>
      <w:r w:rsidR="002B200D">
        <w:rPr>
          <w:sz w:val="26"/>
          <w:szCs w:val="26"/>
        </w:rPr>
        <w:t xml:space="preserve">IPCS and </w:t>
      </w:r>
      <w:r w:rsidR="00AF2CA1">
        <w:rPr>
          <w:sz w:val="26"/>
          <w:szCs w:val="26"/>
        </w:rPr>
        <w:t xml:space="preserve">to </w:t>
      </w:r>
      <w:r w:rsidR="002B200D">
        <w:rPr>
          <w:sz w:val="26"/>
          <w:szCs w:val="26"/>
        </w:rPr>
        <w:t>place these funds in an inmate welfare fund that is spent primarily</w:t>
      </w:r>
      <w:r w:rsidR="004B7752">
        <w:rPr>
          <w:sz w:val="26"/>
          <w:szCs w:val="26"/>
        </w:rPr>
        <w:t xml:space="preserve"> </w:t>
      </w:r>
      <w:r w:rsidR="002B200D">
        <w:rPr>
          <w:sz w:val="26"/>
          <w:szCs w:val="26"/>
        </w:rPr>
        <w:t>for the benefit, education, and welfare of incarcerated persons.</w:t>
      </w:r>
    </w:p>
    <w:p w:rsidR="00E00D3B" w:rsidP="0072152F" w:rsidRDefault="003D4AE5" w14:paraId="4D841CCE" w14:textId="48F15322">
      <w:pPr>
        <w:pStyle w:val="CoL"/>
        <w:numPr>
          <w:ilvl w:val="0"/>
          <w:numId w:val="28"/>
        </w:numPr>
        <w:ind w:left="0" w:firstLine="180"/>
        <w:rPr>
          <w:sz w:val="26"/>
          <w:szCs w:val="26"/>
        </w:rPr>
      </w:pPr>
      <w:r>
        <w:rPr>
          <w:sz w:val="26"/>
          <w:szCs w:val="26"/>
        </w:rPr>
        <w:t>The lawful c</w:t>
      </w:r>
      <w:r w:rsidR="00970E91">
        <w:rPr>
          <w:sz w:val="26"/>
          <w:szCs w:val="26"/>
        </w:rPr>
        <w:t>ollection of site commission funds</w:t>
      </w:r>
      <w:r>
        <w:rPr>
          <w:sz w:val="26"/>
          <w:szCs w:val="26"/>
        </w:rPr>
        <w:t xml:space="preserve"> pursuant to Penal Code Section 4025(d) </w:t>
      </w:r>
      <w:r w:rsidR="00970E91">
        <w:rPr>
          <w:sz w:val="26"/>
          <w:szCs w:val="26"/>
        </w:rPr>
        <w:t xml:space="preserve">does not absolve this Commission from </w:t>
      </w:r>
      <w:r w:rsidR="00305B3A">
        <w:rPr>
          <w:sz w:val="26"/>
          <w:szCs w:val="26"/>
        </w:rPr>
        <w:t xml:space="preserve">its </w:t>
      </w:r>
      <w:r w:rsidR="00970E91">
        <w:rPr>
          <w:sz w:val="26"/>
          <w:szCs w:val="26"/>
        </w:rPr>
        <w:t>obligation to ensure access to just and reasonable calling service rates for incarcerated people and their families</w:t>
      </w:r>
      <w:r>
        <w:rPr>
          <w:sz w:val="26"/>
          <w:szCs w:val="26"/>
        </w:rPr>
        <w:t xml:space="preserve"> pursuant to </w:t>
      </w:r>
      <w:r w:rsidR="00E00D3B">
        <w:rPr>
          <w:sz w:val="26"/>
          <w:szCs w:val="26"/>
        </w:rPr>
        <w:t>Pub</w:t>
      </w:r>
      <w:r w:rsidR="006D69B9">
        <w:rPr>
          <w:sz w:val="26"/>
          <w:szCs w:val="26"/>
        </w:rPr>
        <w:t>lic Utilities</w:t>
      </w:r>
      <w:r w:rsidR="00E00D3B">
        <w:rPr>
          <w:sz w:val="26"/>
          <w:szCs w:val="26"/>
        </w:rPr>
        <w:t xml:space="preserve"> Code Section </w:t>
      </w:r>
      <w:r w:rsidRPr="40AD9B3F" w:rsidR="00E00D3B">
        <w:rPr>
          <w:sz w:val="26"/>
          <w:szCs w:val="26"/>
        </w:rPr>
        <w:t>4</w:t>
      </w:r>
      <w:r w:rsidRPr="40AD9B3F" w:rsidR="65EEDE57">
        <w:rPr>
          <w:sz w:val="26"/>
          <w:szCs w:val="26"/>
        </w:rPr>
        <w:t>5</w:t>
      </w:r>
      <w:r w:rsidRPr="40AD9B3F" w:rsidR="00E00D3B">
        <w:rPr>
          <w:sz w:val="26"/>
          <w:szCs w:val="26"/>
        </w:rPr>
        <w:t>1.</w:t>
      </w:r>
    </w:p>
    <w:p w:rsidR="00E00D3B" w:rsidP="0072152F" w:rsidRDefault="00970E91" w14:paraId="44172BFB" w14:textId="70096011">
      <w:pPr>
        <w:pStyle w:val="CoL"/>
        <w:numPr>
          <w:ilvl w:val="0"/>
          <w:numId w:val="28"/>
        </w:numPr>
        <w:ind w:left="0" w:firstLine="180"/>
        <w:rPr>
          <w:sz w:val="26"/>
          <w:szCs w:val="26"/>
        </w:rPr>
      </w:pPr>
      <w:r>
        <w:rPr>
          <w:sz w:val="26"/>
          <w:szCs w:val="26"/>
        </w:rPr>
        <w:lastRenderedPageBreak/>
        <w:t xml:space="preserve"> </w:t>
      </w:r>
      <w:r w:rsidR="00E00D3B">
        <w:rPr>
          <w:sz w:val="26"/>
          <w:szCs w:val="26"/>
        </w:rPr>
        <w:t xml:space="preserve">County sheriff’s departments’ </w:t>
      </w:r>
      <w:r w:rsidRPr="00E00D3B">
        <w:rPr>
          <w:sz w:val="26"/>
          <w:szCs w:val="26"/>
        </w:rPr>
        <w:t>collections of site commission</w:t>
      </w:r>
      <w:r w:rsidR="00E00D3B">
        <w:rPr>
          <w:sz w:val="26"/>
          <w:szCs w:val="26"/>
        </w:rPr>
        <w:t xml:space="preserve"> funds </w:t>
      </w:r>
      <w:r w:rsidRPr="00E00D3B">
        <w:rPr>
          <w:sz w:val="26"/>
          <w:szCs w:val="26"/>
        </w:rPr>
        <w:t xml:space="preserve">pursuant to Penal Code </w:t>
      </w:r>
      <w:r w:rsidRPr="549249FB" w:rsidR="1894D686">
        <w:rPr>
          <w:sz w:val="26"/>
          <w:szCs w:val="26"/>
        </w:rPr>
        <w:t xml:space="preserve">Section </w:t>
      </w:r>
      <w:r w:rsidRPr="00E00D3B">
        <w:rPr>
          <w:sz w:val="26"/>
          <w:szCs w:val="26"/>
        </w:rPr>
        <w:t>4025,</w:t>
      </w:r>
      <w:r w:rsidR="00E00D3B">
        <w:rPr>
          <w:sz w:val="26"/>
          <w:szCs w:val="26"/>
        </w:rPr>
        <w:t xml:space="preserve"> if any, must </w:t>
      </w:r>
      <w:r w:rsidR="00E04E5B">
        <w:rPr>
          <w:sz w:val="26"/>
          <w:szCs w:val="26"/>
        </w:rPr>
        <w:t xml:space="preserve">be </w:t>
      </w:r>
      <w:r w:rsidRPr="40AD9B3F" w:rsidR="245F30D0">
        <w:rPr>
          <w:sz w:val="26"/>
          <w:szCs w:val="26"/>
        </w:rPr>
        <w:t>in accordance</w:t>
      </w:r>
      <w:r w:rsidR="00E04E5B">
        <w:rPr>
          <w:sz w:val="26"/>
          <w:szCs w:val="26"/>
        </w:rPr>
        <w:t xml:space="preserve"> </w:t>
      </w:r>
      <w:r w:rsidRPr="00E00D3B">
        <w:rPr>
          <w:sz w:val="26"/>
          <w:szCs w:val="26"/>
        </w:rPr>
        <w:t xml:space="preserve">with </w:t>
      </w:r>
      <w:r w:rsidR="00F82E90">
        <w:rPr>
          <w:sz w:val="26"/>
          <w:szCs w:val="26"/>
        </w:rPr>
        <w:t xml:space="preserve">the provision of </w:t>
      </w:r>
      <w:r w:rsidRPr="00E00D3B">
        <w:rPr>
          <w:sz w:val="26"/>
          <w:szCs w:val="26"/>
        </w:rPr>
        <w:t>just and reasonable calling rates for incarcerated persons</w:t>
      </w:r>
      <w:r w:rsidR="00F82E90">
        <w:rPr>
          <w:sz w:val="26"/>
          <w:szCs w:val="26"/>
        </w:rPr>
        <w:t xml:space="preserve"> and their families</w:t>
      </w:r>
      <w:r w:rsidR="00E04E5B">
        <w:rPr>
          <w:sz w:val="26"/>
          <w:szCs w:val="26"/>
        </w:rPr>
        <w:t xml:space="preserve"> pursuant to </w:t>
      </w:r>
      <w:r w:rsidRPr="00E00D3B">
        <w:rPr>
          <w:sz w:val="26"/>
          <w:szCs w:val="26"/>
        </w:rPr>
        <w:t>Pub</w:t>
      </w:r>
      <w:r w:rsidR="006D69B9">
        <w:rPr>
          <w:sz w:val="26"/>
          <w:szCs w:val="26"/>
        </w:rPr>
        <w:t>lic Utilities</w:t>
      </w:r>
      <w:r w:rsidRPr="00E00D3B">
        <w:rPr>
          <w:sz w:val="26"/>
          <w:szCs w:val="26"/>
        </w:rPr>
        <w:t xml:space="preserve"> Code Section 451.</w:t>
      </w:r>
      <w:r>
        <w:rPr>
          <w:sz w:val="26"/>
          <w:szCs w:val="26"/>
        </w:rPr>
        <w:t xml:space="preserve">  </w:t>
      </w:r>
    </w:p>
    <w:p w:rsidRPr="00B41CD3" w:rsidR="00970E91" w:rsidP="0072152F" w:rsidRDefault="00970E91" w14:paraId="653867CC" w14:textId="6C3D30AD">
      <w:pPr>
        <w:pStyle w:val="CoL"/>
        <w:numPr>
          <w:ilvl w:val="0"/>
          <w:numId w:val="28"/>
        </w:numPr>
        <w:ind w:left="0" w:firstLine="180"/>
        <w:rPr>
          <w:sz w:val="26"/>
          <w:szCs w:val="26"/>
        </w:rPr>
      </w:pPr>
      <w:r>
        <w:rPr>
          <w:sz w:val="26"/>
          <w:szCs w:val="26"/>
        </w:rPr>
        <w:t xml:space="preserve">IPCS rates that are 584 percent to </w:t>
      </w:r>
      <w:r w:rsidRPr="00436448">
        <w:rPr>
          <w:sz w:val="26"/>
          <w:szCs w:val="26"/>
        </w:rPr>
        <w:t>1,124</w:t>
      </w:r>
      <w:r>
        <w:rPr>
          <w:sz w:val="26"/>
          <w:szCs w:val="26"/>
        </w:rPr>
        <w:t xml:space="preserve"> percent higher </w:t>
      </w:r>
      <w:r w:rsidRPr="004D1050">
        <w:rPr>
          <w:sz w:val="26"/>
          <w:szCs w:val="26"/>
        </w:rPr>
        <w:t xml:space="preserve">than </w:t>
      </w:r>
      <w:r>
        <w:rPr>
          <w:sz w:val="26"/>
          <w:szCs w:val="26"/>
        </w:rPr>
        <w:t>the $0.025 per minute rate offered in state prisons in California are n</w:t>
      </w:r>
      <w:r w:rsidR="00CA68A0">
        <w:rPr>
          <w:sz w:val="26"/>
          <w:szCs w:val="26"/>
        </w:rPr>
        <w:t>either</w:t>
      </w:r>
      <w:r>
        <w:rPr>
          <w:sz w:val="26"/>
          <w:szCs w:val="26"/>
        </w:rPr>
        <w:t xml:space="preserve"> jus</w:t>
      </w:r>
      <w:r w:rsidR="00CA68A0">
        <w:rPr>
          <w:sz w:val="26"/>
          <w:szCs w:val="26"/>
        </w:rPr>
        <w:t xml:space="preserve">t nor </w:t>
      </w:r>
      <w:r>
        <w:rPr>
          <w:sz w:val="26"/>
          <w:szCs w:val="26"/>
        </w:rPr>
        <w:t>reasonable.</w:t>
      </w:r>
    </w:p>
    <w:p w:rsidR="00457113" w:rsidP="0072152F" w:rsidRDefault="00457113" w14:paraId="622EC0B4" w14:textId="20BCA82E">
      <w:pPr>
        <w:pStyle w:val="CoL"/>
        <w:numPr>
          <w:ilvl w:val="0"/>
          <w:numId w:val="28"/>
        </w:numPr>
        <w:ind w:left="0" w:firstLine="180"/>
        <w:rPr>
          <w:sz w:val="26"/>
          <w:szCs w:val="26"/>
        </w:rPr>
      </w:pPr>
      <w:r>
        <w:rPr>
          <w:sz w:val="26"/>
          <w:szCs w:val="26"/>
        </w:rPr>
        <w:t>The Commission should exercise it</w:t>
      </w:r>
      <w:r w:rsidR="00735C6B">
        <w:rPr>
          <w:sz w:val="26"/>
          <w:szCs w:val="26"/>
        </w:rPr>
        <w:t>s</w:t>
      </w:r>
      <w:r>
        <w:rPr>
          <w:sz w:val="26"/>
          <w:szCs w:val="26"/>
        </w:rPr>
        <w:t xml:space="preserve"> authority and jurisdiction over telephone corporations, including VoIP providers, </w:t>
      </w:r>
      <w:r w:rsidR="00F22A17">
        <w:rPr>
          <w:sz w:val="26"/>
          <w:szCs w:val="26"/>
        </w:rPr>
        <w:t>t</w:t>
      </w:r>
      <w:r>
        <w:rPr>
          <w:sz w:val="26"/>
          <w:szCs w:val="26"/>
        </w:rPr>
        <w:t>o regulate</w:t>
      </w:r>
      <w:r w:rsidR="005C0253">
        <w:rPr>
          <w:sz w:val="26"/>
          <w:szCs w:val="26"/>
        </w:rPr>
        <w:t xml:space="preserve"> intrastate </w:t>
      </w:r>
      <w:r>
        <w:rPr>
          <w:sz w:val="26"/>
          <w:szCs w:val="26"/>
        </w:rPr>
        <w:t>IPCS rates and fees in California.</w:t>
      </w:r>
    </w:p>
    <w:p w:rsidR="004A0AB3" w:rsidP="0072152F" w:rsidRDefault="000E50A1" w14:paraId="6BE27FDD" w14:textId="21A5CCCF">
      <w:pPr>
        <w:pStyle w:val="CoL"/>
        <w:numPr>
          <w:ilvl w:val="0"/>
          <w:numId w:val="28"/>
        </w:numPr>
        <w:ind w:left="0" w:firstLine="180"/>
        <w:rPr>
          <w:sz w:val="26"/>
          <w:szCs w:val="26"/>
        </w:rPr>
      </w:pPr>
      <w:r>
        <w:rPr>
          <w:sz w:val="26"/>
          <w:szCs w:val="26"/>
        </w:rPr>
        <w:t xml:space="preserve">This </w:t>
      </w:r>
      <w:r w:rsidRPr="004A0AB3" w:rsidR="004A0AB3">
        <w:rPr>
          <w:sz w:val="26"/>
          <w:szCs w:val="26"/>
        </w:rPr>
        <w:t>Commission</w:t>
      </w:r>
      <w:r w:rsidR="004878DF">
        <w:rPr>
          <w:sz w:val="26"/>
          <w:szCs w:val="26"/>
        </w:rPr>
        <w:t xml:space="preserve"> has the </w:t>
      </w:r>
      <w:r w:rsidRPr="004A0AB3" w:rsidR="004A0AB3">
        <w:rPr>
          <w:sz w:val="26"/>
          <w:szCs w:val="26"/>
        </w:rPr>
        <w:t>discretion to determine and set just and reasonable rates using a variety of methods</w:t>
      </w:r>
      <w:r w:rsidR="00BA5FD6">
        <w:rPr>
          <w:sz w:val="26"/>
          <w:szCs w:val="26"/>
        </w:rPr>
        <w:t>.</w:t>
      </w:r>
    </w:p>
    <w:p w:rsidRPr="000D2A5D" w:rsidR="008E3FDF" w:rsidP="0072152F" w:rsidRDefault="008E3FDF" w14:paraId="60DA487F" w14:textId="2953603B">
      <w:pPr>
        <w:pStyle w:val="CoL"/>
        <w:numPr>
          <w:ilvl w:val="0"/>
          <w:numId w:val="28"/>
        </w:numPr>
        <w:ind w:left="0" w:firstLine="180"/>
        <w:rPr>
          <w:sz w:val="26"/>
          <w:szCs w:val="26"/>
        </w:rPr>
      </w:pPr>
      <w:r>
        <w:rPr>
          <w:sz w:val="26"/>
          <w:szCs w:val="26"/>
        </w:rPr>
        <w:t xml:space="preserve">It is reasonable to </w:t>
      </w:r>
      <w:r w:rsidRPr="00D900AB">
        <w:rPr>
          <w:sz w:val="26"/>
          <w:szCs w:val="26"/>
        </w:rPr>
        <w:t>a</w:t>
      </w:r>
      <w:r>
        <w:rPr>
          <w:sz w:val="26"/>
          <w:szCs w:val="26"/>
        </w:rPr>
        <w:t xml:space="preserve">dopt a $0.07 </w:t>
      </w:r>
      <w:r w:rsidRPr="122C58D0">
        <w:rPr>
          <w:sz w:val="26"/>
          <w:szCs w:val="26"/>
        </w:rPr>
        <w:t>per minute cap</w:t>
      </w:r>
      <w:r>
        <w:rPr>
          <w:sz w:val="26"/>
          <w:szCs w:val="26"/>
        </w:rPr>
        <w:t xml:space="preserve"> on an interim basis.</w:t>
      </w:r>
    </w:p>
    <w:p w:rsidR="00BA6466" w:rsidP="0072152F" w:rsidRDefault="00F9672B" w14:paraId="56F81EAB" w14:textId="68C4A4B8">
      <w:pPr>
        <w:pStyle w:val="CoL"/>
        <w:numPr>
          <w:ilvl w:val="0"/>
          <w:numId w:val="28"/>
        </w:numPr>
        <w:ind w:left="0" w:firstLine="180"/>
        <w:rPr>
          <w:sz w:val="26"/>
          <w:szCs w:val="26"/>
        </w:rPr>
      </w:pPr>
      <w:r>
        <w:rPr>
          <w:sz w:val="26"/>
          <w:szCs w:val="26"/>
        </w:rPr>
        <w:t xml:space="preserve">The Commission should </w:t>
      </w:r>
      <w:r w:rsidR="00907761">
        <w:rPr>
          <w:sz w:val="26"/>
          <w:szCs w:val="26"/>
        </w:rPr>
        <w:t xml:space="preserve">adopt an </w:t>
      </w:r>
      <w:r w:rsidRPr="00907761" w:rsidR="00907761">
        <w:rPr>
          <w:sz w:val="26"/>
          <w:szCs w:val="26"/>
        </w:rPr>
        <w:t xml:space="preserve">interim rate cap of seven cents ($0.07) per minute for all intrastate IPCS </w:t>
      </w:r>
      <w:r w:rsidR="00907761">
        <w:rPr>
          <w:sz w:val="26"/>
          <w:szCs w:val="26"/>
        </w:rPr>
        <w:t>voice</w:t>
      </w:r>
      <w:r w:rsidR="00502D22">
        <w:rPr>
          <w:sz w:val="26"/>
          <w:szCs w:val="26"/>
        </w:rPr>
        <w:t xml:space="preserve"> </w:t>
      </w:r>
      <w:r w:rsidRPr="00907761" w:rsidR="00907761">
        <w:rPr>
          <w:sz w:val="26"/>
          <w:szCs w:val="26"/>
        </w:rPr>
        <w:t>calls in California</w:t>
      </w:r>
      <w:r w:rsidR="00907761">
        <w:rPr>
          <w:sz w:val="26"/>
          <w:szCs w:val="26"/>
        </w:rPr>
        <w:t>.</w:t>
      </w:r>
    </w:p>
    <w:p w:rsidR="00C00450" w:rsidP="0072152F" w:rsidRDefault="00C00450" w14:paraId="2E454E84" w14:textId="2577A1B6">
      <w:pPr>
        <w:pStyle w:val="CoL"/>
        <w:numPr>
          <w:ilvl w:val="0"/>
          <w:numId w:val="28"/>
        </w:numPr>
        <w:ind w:left="0" w:firstLine="180"/>
        <w:rPr>
          <w:sz w:val="26"/>
          <w:szCs w:val="26"/>
        </w:rPr>
      </w:pPr>
      <w:r>
        <w:rPr>
          <w:sz w:val="26"/>
          <w:szCs w:val="26"/>
        </w:rPr>
        <w:t>The</w:t>
      </w:r>
      <w:r w:rsidR="003262CE">
        <w:rPr>
          <w:sz w:val="26"/>
          <w:szCs w:val="26"/>
        </w:rPr>
        <w:t xml:space="preserve"> Communications Act of 1934</w:t>
      </w:r>
      <w:r w:rsidR="00A928C9">
        <w:rPr>
          <w:sz w:val="26"/>
          <w:szCs w:val="26"/>
        </w:rPr>
        <w:t>, as amended, allocates jurisdiction over i</w:t>
      </w:r>
      <w:r w:rsidR="00601B78">
        <w:rPr>
          <w:sz w:val="26"/>
          <w:szCs w:val="26"/>
        </w:rPr>
        <w:t xml:space="preserve">ntrastate </w:t>
      </w:r>
      <w:r w:rsidR="00CF7A00">
        <w:rPr>
          <w:sz w:val="26"/>
          <w:szCs w:val="26"/>
        </w:rPr>
        <w:t>communications services to the states</w:t>
      </w:r>
      <w:r w:rsidR="005303D3">
        <w:rPr>
          <w:sz w:val="26"/>
          <w:szCs w:val="26"/>
        </w:rPr>
        <w:t xml:space="preserve"> and jurisdiction o</w:t>
      </w:r>
      <w:r w:rsidR="00D86E76">
        <w:rPr>
          <w:sz w:val="26"/>
          <w:szCs w:val="26"/>
        </w:rPr>
        <w:t>ver</w:t>
      </w:r>
      <w:r w:rsidR="00EA46B3">
        <w:rPr>
          <w:sz w:val="26"/>
          <w:szCs w:val="26"/>
        </w:rPr>
        <w:t xml:space="preserve"> interstate and international communications </w:t>
      </w:r>
      <w:r w:rsidR="00E62EA0">
        <w:rPr>
          <w:sz w:val="26"/>
          <w:szCs w:val="26"/>
        </w:rPr>
        <w:t>services to the FCC</w:t>
      </w:r>
      <w:r w:rsidR="00CF305B">
        <w:rPr>
          <w:sz w:val="26"/>
          <w:szCs w:val="26"/>
        </w:rPr>
        <w:t>.</w:t>
      </w:r>
    </w:p>
    <w:p w:rsidR="00883ED4" w:rsidP="0072152F" w:rsidRDefault="0094337E" w14:paraId="187B38BD" w14:textId="3D2D6C98">
      <w:pPr>
        <w:pStyle w:val="CoL"/>
        <w:numPr>
          <w:ilvl w:val="0"/>
          <w:numId w:val="28"/>
        </w:numPr>
        <w:ind w:left="0" w:firstLine="180"/>
        <w:rPr>
          <w:sz w:val="26"/>
          <w:szCs w:val="26"/>
        </w:rPr>
      </w:pPr>
      <w:r>
        <w:rPr>
          <w:sz w:val="26"/>
          <w:szCs w:val="26"/>
        </w:rPr>
        <w:t>The C</w:t>
      </w:r>
      <w:r w:rsidR="00E62EA0">
        <w:rPr>
          <w:sz w:val="26"/>
          <w:szCs w:val="26"/>
        </w:rPr>
        <w:t>ommission</w:t>
      </w:r>
      <w:r>
        <w:rPr>
          <w:sz w:val="26"/>
          <w:szCs w:val="26"/>
        </w:rPr>
        <w:t xml:space="preserve"> is not preempted from</w:t>
      </w:r>
      <w:r w:rsidR="003047A1">
        <w:rPr>
          <w:sz w:val="26"/>
          <w:szCs w:val="26"/>
        </w:rPr>
        <w:t xml:space="preserve"> </w:t>
      </w:r>
      <w:r w:rsidRPr="0097249C" w:rsidR="00E62EA0">
        <w:rPr>
          <w:sz w:val="26"/>
          <w:szCs w:val="26"/>
        </w:rPr>
        <w:t>impos</w:t>
      </w:r>
      <w:r>
        <w:rPr>
          <w:sz w:val="26"/>
          <w:szCs w:val="26"/>
        </w:rPr>
        <w:t>ing</w:t>
      </w:r>
      <w:r w:rsidRPr="0097249C" w:rsidR="00E62EA0">
        <w:rPr>
          <w:sz w:val="26"/>
          <w:szCs w:val="26"/>
        </w:rPr>
        <w:t xml:space="preserve"> </w:t>
      </w:r>
      <w:r w:rsidR="003047A1">
        <w:rPr>
          <w:sz w:val="26"/>
          <w:szCs w:val="26"/>
        </w:rPr>
        <w:t xml:space="preserve">intrastate </w:t>
      </w:r>
      <w:r w:rsidRPr="0097249C" w:rsidR="00E62EA0">
        <w:rPr>
          <w:sz w:val="26"/>
          <w:szCs w:val="26"/>
        </w:rPr>
        <w:t xml:space="preserve">rates or fees lower than those </w:t>
      </w:r>
      <w:r w:rsidR="003047A1">
        <w:rPr>
          <w:sz w:val="26"/>
          <w:szCs w:val="26"/>
        </w:rPr>
        <w:t>adopted by the FCC</w:t>
      </w:r>
      <w:r w:rsidR="00CD09CA">
        <w:rPr>
          <w:sz w:val="26"/>
          <w:szCs w:val="26"/>
        </w:rPr>
        <w:t xml:space="preserve">, including with regards to </w:t>
      </w:r>
      <w:r w:rsidR="00A96AEE">
        <w:rPr>
          <w:sz w:val="26"/>
          <w:szCs w:val="26"/>
        </w:rPr>
        <w:t xml:space="preserve">calls with </w:t>
      </w:r>
      <w:r w:rsidRPr="0097249C" w:rsidR="00A96AEE">
        <w:rPr>
          <w:sz w:val="26"/>
          <w:szCs w:val="26"/>
        </w:rPr>
        <w:t xml:space="preserve">interstate </w:t>
      </w:r>
      <w:r w:rsidR="00A96AEE">
        <w:rPr>
          <w:sz w:val="26"/>
          <w:szCs w:val="26"/>
        </w:rPr>
        <w:t xml:space="preserve">and </w:t>
      </w:r>
      <w:r w:rsidRPr="0097249C" w:rsidR="00A96AEE">
        <w:rPr>
          <w:sz w:val="26"/>
          <w:szCs w:val="26"/>
        </w:rPr>
        <w:t xml:space="preserve">intrastate components, </w:t>
      </w:r>
      <w:r w:rsidR="00A96AEE">
        <w:rPr>
          <w:sz w:val="26"/>
          <w:szCs w:val="26"/>
        </w:rPr>
        <w:t xml:space="preserve">where </w:t>
      </w:r>
      <w:r w:rsidRPr="0097249C" w:rsidR="00A96AEE">
        <w:rPr>
          <w:sz w:val="26"/>
          <w:szCs w:val="26"/>
        </w:rPr>
        <w:t>federal requirements operate as ceilings</w:t>
      </w:r>
      <w:r w:rsidR="00A96AEE">
        <w:rPr>
          <w:sz w:val="26"/>
          <w:szCs w:val="26"/>
        </w:rPr>
        <w:t>.</w:t>
      </w:r>
      <w:r w:rsidR="002A1576">
        <w:rPr>
          <w:sz w:val="26"/>
          <w:szCs w:val="26"/>
        </w:rPr>
        <w:t xml:space="preserve"> </w:t>
      </w:r>
    </w:p>
    <w:p w:rsidR="00DC2078" w:rsidP="0072152F" w:rsidRDefault="00DC2078" w14:paraId="70262ABE" w14:textId="59C7F9C8">
      <w:pPr>
        <w:pStyle w:val="CoL"/>
        <w:numPr>
          <w:ilvl w:val="0"/>
          <w:numId w:val="28"/>
        </w:numPr>
        <w:ind w:left="0" w:firstLine="180"/>
        <w:rPr>
          <w:sz w:val="26"/>
          <w:szCs w:val="26"/>
        </w:rPr>
      </w:pPr>
      <w:r>
        <w:rPr>
          <w:sz w:val="26"/>
          <w:szCs w:val="26"/>
        </w:rPr>
        <w:t xml:space="preserve">Ancillary service fees other than the </w:t>
      </w:r>
      <w:r w:rsidR="00B43C2C">
        <w:rPr>
          <w:sz w:val="26"/>
          <w:szCs w:val="26"/>
        </w:rPr>
        <w:t>single-call</w:t>
      </w:r>
      <w:r>
        <w:rPr>
          <w:sz w:val="26"/>
          <w:szCs w:val="26"/>
        </w:rPr>
        <w:t xml:space="preserve"> service fee pertain to </w:t>
      </w:r>
      <w:r w:rsidRPr="0058655F">
        <w:rPr>
          <w:sz w:val="26"/>
          <w:szCs w:val="26"/>
        </w:rPr>
        <w:t>jurisdictionally mixed</w:t>
      </w:r>
      <w:r>
        <w:rPr>
          <w:sz w:val="26"/>
          <w:szCs w:val="26"/>
        </w:rPr>
        <w:t xml:space="preserve"> </w:t>
      </w:r>
      <w:r w:rsidRPr="0058655F">
        <w:rPr>
          <w:sz w:val="26"/>
          <w:szCs w:val="26"/>
        </w:rPr>
        <w:t xml:space="preserve">services </w:t>
      </w:r>
      <w:r>
        <w:rPr>
          <w:sz w:val="26"/>
          <w:szCs w:val="26"/>
        </w:rPr>
        <w:t>because</w:t>
      </w:r>
      <w:r w:rsidRPr="0058655F">
        <w:rPr>
          <w:sz w:val="26"/>
          <w:szCs w:val="26"/>
        </w:rPr>
        <w:t xml:space="preserve"> it is impossible or impractical to separate the service’s intrastate from interstate components</w:t>
      </w:r>
      <w:r>
        <w:rPr>
          <w:sz w:val="26"/>
          <w:szCs w:val="26"/>
        </w:rPr>
        <w:t>.</w:t>
      </w:r>
    </w:p>
    <w:p w:rsidRPr="000D2A5D" w:rsidR="00DC2078" w:rsidP="0072152F" w:rsidRDefault="00DC2078" w14:paraId="7E1469A7" w14:textId="278F8F9C">
      <w:pPr>
        <w:pStyle w:val="CoL"/>
        <w:numPr>
          <w:ilvl w:val="0"/>
          <w:numId w:val="28"/>
        </w:numPr>
        <w:ind w:left="0" w:firstLine="180"/>
        <w:rPr>
          <w:sz w:val="26"/>
          <w:szCs w:val="26"/>
        </w:rPr>
      </w:pPr>
      <w:r>
        <w:rPr>
          <w:sz w:val="26"/>
          <w:szCs w:val="26"/>
        </w:rPr>
        <w:lastRenderedPageBreak/>
        <w:t xml:space="preserve">For jurisdictionally mixed ancillary services, FCC requirements do not preempt </w:t>
      </w:r>
      <w:r w:rsidRPr="0058655F">
        <w:rPr>
          <w:sz w:val="26"/>
          <w:szCs w:val="26"/>
        </w:rPr>
        <w:t xml:space="preserve">state </w:t>
      </w:r>
      <w:r>
        <w:rPr>
          <w:sz w:val="26"/>
          <w:szCs w:val="26"/>
        </w:rPr>
        <w:t xml:space="preserve">law or regulations as long as the state requirements </w:t>
      </w:r>
      <w:r w:rsidRPr="0058655F">
        <w:rPr>
          <w:sz w:val="26"/>
          <w:szCs w:val="26"/>
        </w:rPr>
        <w:t xml:space="preserve">impose </w:t>
      </w:r>
      <w:r>
        <w:rPr>
          <w:sz w:val="26"/>
          <w:szCs w:val="26"/>
        </w:rPr>
        <w:t xml:space="preserve">lower </w:t>
      </w:r>
      <w:r w:rsidRPr="0058655F">
        <w:rPr>
          <w:sz w:val="26"/>
          <w:szCs w:val="26"/>
        </w:rPr>
        <w:t>fees</w:t>
      </w:r>
      <w:r>
        <w:rPr>
          <w:sz w:val="26"/>
          <w:szCs w:val="26"/>
        </w:rPr>
        <w:t>.</w:t>
      </w:r>
    </w:p>
    <w:p w:rsidR="00E12056" w:rsidP="0072152F" w:rsidRDefault="00E12056" w14:paraId="7983E05E" w14:textId="4C55DED3">
      <w:pPr>
        <w:pStyle w:val="CoL"/>
        <w:numPr>
          <w:ilvl w:val="0"/>
          <w:numId w:val="28"/>
        </w:numPr>
        <w:ind w:left="0" w:firstLine="180"/>
        <w:rPr>
          <w:sz w:val="26"/>
          <w:szCs w:val="26"/>
        </w:rPr>
      </w:pPr>
      <w:r>
        <w:rPr>
          <w:sz w:val="26"/>
          <w:szCs w:val="26"/>
        </w:rPr>
        <w:t>It</w:t>
      </w:r>
      <w:r w:rsidRPr="00E12056">
        <w:rPr>
          <w:sz w:val="26"/>
          <w:szCs w:val="26"/>
        </w:rPr>
        <w:t xml:space="preserve"> is within this Commission’s authority and jurisdiction to adopt lower ancillary fee caps than those adopted</w:t>
      </w:r>
      <w:r>
        <w:rPr>
          <w:sz w:val="26"/>
          <w:szCs w:val="26"/>
        </w:rPr>
        <w:t xml:space="preserve"> by the FCC</w:t>
      </w:r>
      <w:r w:rsidRPr="00E12056">
        <w:rPr>
          <w:sz w:val="26"/>
          <w:szCs w:val="26"/>
        </w:rPr>
        <w:t xml:space="preserve"> for interstate IPCS and to require IPCS providers to adhere to our adopted caps in the case of all purely intrastate as well as all jurisdictionally mixed ancillary services.  </w:t>
      </w:r>
    </w:p>
    <w:p w:rsidRPr="000D2A5D" w:rsidR="00E52713" w:rsidP="0072152F" w:rsidRDefault="00E52713" w14:paraId="141185AA" w14:textId="10F40AD8">
      <w:pPr>
        <w:pStyle w:val="CoL"/>
        <w:numPr>
          <w:ilvl w:val="0"/>
          <w:numId w:val="28"/>
        </w:numPr>
        <w:ind w:left="0" w:firstLine="180"/>
        <w:rPr>
          <w:sz w:val="26"/>
          <w:szCs w:val="26"/>
        </w:rPr>
      </w:pPr>
      <w:r>
        <w:rPr>
          <w:sz w:val="26"/>
          <w:szCs w:val="26"/>
        </w:rPr>
        <w:t xml:space="preserve">Unregulated intrastate IPCS ancillary fees contribute to total IPCS charges that are unjust and unreasonable. </w:t>
      </w:r>
    </w:p>
    <w:p w:rsidRPr="00B41CD3" w:rsidR="00F9672B" w:rsidP="0072152F" w:rsidRDefault="001458A4" w14:paraId="15202D0F" w14:textId="42BCD962">
      <w:pPr>
        <w:pStyle w:val="CoL"/>
        <w:numPr>
          <w:ilvl w:val="0"/>
          <w:numId w:val="28"/>
        </w:numPr>
        <w:ind w:left="0" w:firstLine="180"/>
        <w:rPr>
          <w:sz w:val="26"/>
          <w:szCs w:val="26"/>
        </w:rPr>
      </w:pPr>
      <w:r>
        <w:rPr>
          <w:sz w:val="26"/>
          <w:szCs w:val="26"/>
        </w:rPr>
        <w:t>It is reasonable for t</w:t>
      </w:r>
      <w:r w:rsidRPr="00B41CD3" w:rsidR="00F9672B">
        <w:rPr>
          <w:sz w:val="26"/>
          <w:szCs w:val="26"/>
        </w:rPr>
        <w:t xml:space="preserve">he Commission </w:t>
      </w:r>
      <w:r>
        <w:rPr>
          <w:sz w:val="26"/>
          <w:szCs w:val="26"/>
        </w:rPr>
        <w:t>to</w:t>
      </w:r>
      <w:r w:rsidRPr="00B41CD3" w:rsidR="00F9672B">
        <w:rPr>
          <w:sz w:val="26"/>
          <w:szCs w:val="26"/>
        </w:rPr>
        <w:t xml:space="preserve"> </w:t>
      </w:r>
      <w:r w:rsidRPr="00B41CD3" w:rsidR="00A63A10">
        <w:rPr>
          <w:sz w:val="26"/>
          <w:szCs w:val="26"/>
        </w:rPr>
        <w:t xml:space="preserve">prohibit or cap </w:t>
      </w:r>
      <w:r w:rsidRPr="00B41CD3" w:rsidR="00F9672B">
        <w:rPr>
          <w:sz w:val="26"/>
          <w:szCs w:val="26"/>
        </w:rPr>
        <w:t xml:space="preserve">ancillary fees </w:t>
      </w:r>
      <w:r w:rsidRPr="00B41CD3" w:rsidR="00A63A10">
        <w:rPr>
          <w:sz w:val="26"/>
          <w:szCs w:val="26"/>
        </w:rPr>
        <w:t xml:space="preserve">imposed in association with intrastate </w:t>
      </w:r>
      <w:r w:rsidR="00531F48">
        <w:rPr>
          <w:sz w:val="26"/>
          <w:szCs w:val="26"/>
        </w:rPr>
        <w:t>and jurisdictionally mixed</w:t>
      </w:r>
      <w:r w:rsidR="00112FF0">
        <w:rPr>
          <w:sz w:val="26"/>
          <w:szCs w:val="26"/>
        </w:rPr>
        <w:t xml:space="preserve"> </w:t>
      </w:r>
      <w:r w:rsidRPr="00B41CD3" w:rsidR="00A63A10">
        <w:rPr>
          <w:sz w:val="26"/>
          <w:szCs w:val="26"/>
        </w:rPr>
        <w:t>IPCS o</w:t>
      </w:r>
      <w:r w:rsidRPr="00B41CD3" w:rsidR="00F9672B">
        <w:rPr>
          <w:sz w:val="26"/>
          <w:szCs w:val="26"/>
        </w:rPr>
        <w:t xml:space="preserve">n an interim basis as follows: </w:t>
      </w:r>
    </w:p>
    <w:p w:rsidRPr="00B41CD3" w:rsidR="00F9672B" w:rsidP="00DA163F" w:rsidRDefault="00112FF0" w14:paraId="0E6D6029" w14:textId="64735C5C">
      <w:pPr>
        <w:pStyle w:val="CoL"/>
        <w:numPr>
          <w:ilvl w:val="0"/>
          <w:numId w:val="35"/>
        </w:numPr>
        <w:spacing w:after="120" w:line="240" w:lineRule="auto"/>
        <w:ind w:left="1260" w:right="1440" w:hanging="187"/>
        <w:rPr>
          <w:sz w:val="26"/>
          <w:szCs w:val="26"/>
        </w:rPr>
      </w:pPr>
      <w:r>
        <w:rPr>
          <w:sz w:val="26"/>
          <w:szCs w:val="26"/>
        </w:rPr>
        <w:t xml:space="preserve">Prohibit </w:t>
      </w:r>
      <w:r w:rsidR="00B43C2C">
        <w:rPr>
          <w:sz w:val="26"/>
          <w:szCs w:val="26"/>
        </w:rPr>
        <w:t>single-call</w:t>
      </w:r>
      <w:r w:rsidR="00A849EC">
        <w:rPr>
          <w:sz w:val="26"/>
          <w:szCs w:val="26"/>
        </w:rPr>
        <w:t xml:space="preserve"> service</w:t>
      </w:r>
      <w:r w:rsidRPr="00B41CD3" w:rsidR="00F9672B">
        <w:rPr>
          <w:sz w:val="26"/>
          <w:szCs w:val="26"/>
        </w:rPr>
        <w:t xml:space="preserve"> </w:t>
      </w:r>
      <w:r w:rsidR="00531F48">
        <w:rPr>
          <w:sz w:val="26"/>
          <w:szCs w:val="26"/>
        </w:rPr>
        <w:t>fees</w:t>
      </w:r>
      <w:r>
        <w:rPr>
          <w:sz w:val="26"/>
          <w:szCs w:val="26"/>
        </w:rPr>
        <w:t>;</w:t>
      </w:r>
    </w:p>
    <w:p w:rsidRPr="00B41CD3" w:rsidR="00F9672B" w:rsidP="00DA163F" w:rsidRDefault="00112FF0" w14:paraId="150EB1DB" w14:textId="12FA70BD">
      <w:pPr>
        <w:pStyle w:val="CoL"/>
        <w:numPr>
          <w:ilvl w:val="0"/>
          <w:numId w:val="35"/>
        </w:numPr>
        <w:spacing w:after="120" w:line="240" w:lineRule="auto"/>
        <w:ind w:left="1260" w:right="1440" w:hanging="187"/>
        <w:rPr>
          <w:sz w:val="26"/>
          <w:szCs w:val="26"/>
        </w:rPr>
      </w:pPr>
      <w:r>
        <w:rPr>
          <w:sz w:val="26"/>
          <w:szCs w:val="26"/>
        </w:rPr>
        <w:t xml:space="preserve">Prohibit </w:t>
      </w:r>
      <w:r w:rsidR="00A849EC">
        <w:rPr>
          <w:sz w:val="26"/>
          <w:szCs w:val="26"/>
        </w:rPr>
        <w:t>automated payment</w:t>
      </w:r>
      <w:r w:rsidR="00531F48">
        <w:rPr>
          <w:sz w:val="26"/>
          <w:szCs w:val="26"/>
        </w:rPr>
        <w:t>/automated deposit</w:t>
      </w:r>
      <w:r w:rsidR="00A849EC">
        <w:rPr>
          <w:sz w:val="26"/>
          <w:szCs w:val="26"/>
        </w:rPr>
        <w:t xml:space="preserve"> fees</w:t>
      </w:r>
      <w:r>
        <w:rPr>
          <w:sz w:val="26"/>
          <w:szCs w:val="26"/>
        </w:rPr>
        <w:t>;</w:t>
      </w:r>
    </w:p>
    <w:p w:rsidRPr="00B41CD3" w:rsidR="00AB74CF" w:rsidP="00DA163F" w:rsidRDefault="00112FF0" w14:paraId="0A2153E1" w14:textId="6D3F4C06">
      <w:pPr>
        <w:pStyle w:val="CoL"/>
        <w:numPr>
          <w:ilvl w:val="0"/>
          <w:numId w:val="35"/>
        </w:numPr>
        <w:spacing w:after="120" w:line="240" w:lineRule="auto"/>
        <w:ind w:left="1260" w:right="1440" w:hanging="187"/>
        <w:rPr>
          <w:sz w:val="26"/>
          <w:szCs w:val="26"/>
        </w:rPr>
      </w:pPr>
      <w:r>
        <w:rPr>
          <w:sz w:val="26"/>
          <w:szCs w:val="26"/>
        </w:rPr>
        <w:t>Prohibit l</w:t>
      </w:r>
      <w:r w:rsidRPr="00B41CD3" w:rsidR="00AB74CF">
        <w:rPr>
          <w:sz w:val="26"/>
          <w:szCs w:val="26"/>
        </w:rPr>
        <w:t>ive agent fe</w:t>
      </w:r>
      <w:r>
        <w:rPr>
          <w:sz w:val="26"/>
          <w:szCs w:val="26"/>
        </w:rPr>
        <w:t>es;</w:t>
      </w:r>
    </w:p>
    <w:p w:rsidRPr="00B41CD3" w:rsidR="00AB74CF" w:rsidP="00DA163F" w:rsidRDefault="00AB74CF" w14:paraId="6DA5BBC5" w14:textId="1C101E3A">
      <w:pPr>
        <w:pStyle w:val="CoL"/>
        <w:numPr>
          <w:ilvl w:val="0"/>
          <w:numId w:val="35"/>
        </w:numPr>
        <w:spacing w:after="120" w:line="240" w:lineRule="auto"/>
        <w:ind w:left="1260" w:right="1440" w:hanging="187"/>
        <w:rPr>
          <w:sz w:val="26"/>
          <w:szCs w:val="26"/>
        </w:rPr>
      </w:pPr>
      <w:r w:rsidRPr="00B41CD3">
        <w:rPr>
          <w:sz w:val="26"/>
          <w:szCs w:val="26"/>
        </w:rPr>
        <w:t>P</w:t>
      </w:r>
      <w:r w:rsidR="00112FF0">
        <w:rPr>
          <w:sz w:val="26"/>
          <w:szCs w:val="26"/>
        </w:rPr>
        <w:t>rohibit p</w:t>
      </w:r>
      <w:r w:rsidRPr="00B41CD3">
        <w:rPr>
          <w:sz w:val="26"/>
          <w:szCs w:val="26"/>
        </w:rPr>
        <w:t>aper bill fee</w:t>
      </w:r>
      <w:r w:rsidR="00112FF0">
        <w:rPr>
          <w:sz w:val="26"/>
          <w:szCs w:val="26"/>
        </w:rPr>
        <w:t>s;</w:t>
      </w:r>
      <w:r w:rsidRPr="00B41CD3">
        <w:rPr>
          <w:sz w:val="26"/>
          <w:szCs w:val="26"/>
        </w:rPr>
        <w:t xml:space="preserve"> </w:t>
      </w:r>
    </w:p>
    <w:p w:rsidRPr="00B41CD3" w:rsidR="00F9672B" w:rsidP="00DA163F" w:rsidRDefault="00D5171B" w14:paraId="6FC9D16F" w14:textId="45EB3411">
      <w:pPr>
        <w:pStyle w:val="CoL"/>
        <w:numPr>
          <w:ilvl w:val="0"/>
          <w:numId w:val="35"/>
        </w:numPr>
        <w:spacing w:after="120" w:line="240" w:lineRule="auto"/>
        <w:ind w:left="1260" w:right="1440" w:hanging="187"/>
        <w:rPr>
          <w:sz w:val="26"/>
          <w:szCs w:val="26"/>
        </w:rPr>
      </w:pPr>
      <w:r>
        <w:rPr>
          <w:sz w:val="26"/>
          <w:szCs w:val="26"/>
        </w:rPr>
        <w:t xml:space="preserve">Limit </w:t>
      </w:r>
      <w:r w:rsidR="00496B5C">
        <w:rPr>
          <w:sz w:val="26"/>
          <w:szCs w:val="26"/>
        </w:rPr>
        <w:t>t</w:t>
      </w:r>
      <w:r w:rsidRPr="00B41CD3" w:rsidR="00F9672B">
        <w:rPr>
          <w:sz w:val="26"/>
          <w:szCs w:val="26"/>
        </w:rPr>
        <w:t>hird-</w:t>
      </w:r>
      <w:r w:rsidR="00496B5C">
        <w:rPr>
          <w:sz w:val="26"/>
          <w:szCs w:val="26"/>
        </w:rPr>
        <w:t>p</w:t>
      </w:r>
      <w:r w:rsidRPr="00B41CD3" w:rsidR="00F9672B">
        <w:rPr>
          <w:sz w:val="26"/>
          <w:szCs w:val="26"/>
        </w:rPr>
        <w:t xml:space="preserve">arty </w:t>
      </w:r>
      <w:r w:rsidR="00496B5C">
        <w:rPr>
          <w:sz w:val="26"/>
          <w:szCs w:val="26"/>
        </w:rPr>
        <w:t>f</w:t>
      </w:r>
      <w:r w:rsidRPr="00B41CD3" w:rsidR="00F9672B">
        <w:rPr>
          <w:sz w:val="26"/>
          <w:szCs w:val="26"/>
        </w:rPr>
        <w:t xml:space="preserve">inancial </w:t>
      </w:r>
      <w:r w:rsidR="00496B5C">
        <w:rPr>
          <w:sz w:val="26"/>
          <w:szCs w:val="26"/>
        </w:rPr>
        <w:t>t</w:t>
      </w:r>
      <w:r w:rsidRPr="00B41CD3" w:rsidR="00F9672B">
        <w:rPr>
          <w:sz w:val="26"/>
          <w:szCs w:val="26"/>
        </w:rPr>
        <w:t xml:space="preserve">ransaction </w:t>
      </w:r>
      <w:r w:rsidR="00496B5C">
        <w:rPr>
          <w:sz w:val="26"/>
          <w:szCs w:val="26"/>
        </w:rPr>
        <w:t>f</w:t>
      </w:r>
      <w:r w:rsidRPr="00B41CD3" w:rsidR="00F9672B">
        <w:rPr>
          <w:sz w:val="26"/>
          <w:szCs w:val="26"/>
        </w:rPr>
        <w:t>ees</w:t>
      </w:r>
      <w:r>
        <w:rPr>
          <w:sz w:val="26"/>
          <w:szCs w:val="26"/>
        </w:rPr>
        <w:t xml:space="preserve"> </w:t>
      </w:r>
      <w:r w:rsidRPr="00B41CD3" w:rsidR="00F9672B">
        <w:rPr>
          <w:sz w:val="26"/>
          <w:szCs w:val="26"/>
        </w:rPr>
        <w:t xml:space="preserve">to </w:t>
      </w:r>
      <w:r w:rsidR="00496B5C">
        <w:rPr>
          <w:sz w:val="26"/>
          <w:szCs w:val="26"/>
        </w:rPr>
        <w:t xml:space="preserve">the </w:t>
      </w:r>
      <w:r>
        <w:rPr>
          <w:sz w:val="26"/>
          <w:szCs w:val="26"/>
        </w:rPr>
        <w:t>pass</w:t>
      </w:r>
      <w:r w:rsidR="00496B5C">
        <w:rPr>
          <w:sz w:val="26"/>
          <w:szCs w:val="26"/>
        </w:rPr>
        <w:t xml:space="preserve"> through of </w:t>
      </w:r>
      <w:r w:rsidRPr="00B41CD3" w:rsidR="00F9672B">
        <w:rPr>
          <w:sz w:val="26"/>
          <w:szCs w:val="26"/>
        </w:rPr>
        <w:t>the exact third-party fee, with no markup</w:t>
      </w:r>
      <w:r w:rsidRPr="00B41CD3" w:rsidR="003673D9">
        <w:rPr>
          <w:sz w:val="26"/>
          <w:szCs w:val="26"/>
        </w:rPr>
        <w:t xml:space="preserve">, </w:t>
      </w:r>
      <w:r w:rsidR="00D659F5">
        <w:rPr>
          <w:sz w:val="26"/>
          <w:szCs w:val="26"/>
        </w:rPr>
        <w:t xml:space="preserve">and excluding any credit card charges, </w:t>
      </w:r>
      <w:r w:rsidRPr="00B41CD3" w:rsidR="003673D9">
        <w:rPr>
          <w:sz w:val="26"/>
          <w:szCs w:val="26"/>
        </w:rPr>
        <w:t xml:space="preserve">up to a cap of $6.95 per </w:t>
      </w:r>
      <w:r w:rsidRPr="40AD9B3F" w:rsidR="74D11EAD">
        <w:rPr>
          <w:sz w:val="26"/>
          <w:szCs w:val="26"/>
        </w:rPr>
        <w:t>transaction</w:t>
      </w:r>
      <w:r w:rsidRPr="00B41CD3" w:rsidR="00C22009">
        <w:rPr>
          <w:sz w:val="26"/>
          <w:szCs w:val="26"/>
        </w:rPr>
        <w:t>;</w:t>
      </w:r>
      <w:r>
        <w:rPr>
          <w:sz w:val="26"/>
          <w:szCs w:val="26"/>
        </w:rPr>
        <w:t xml:space="preserve"> and,</w:t>
      </w:r>
    </w:p>
    <w:p w:rsidRPr="00B41CD3" w:rsidR="00F9672B" w:rsidP="00DA163F" w:rsidRDefault="001634D8" w14:paraId="20439BE6" w14:textId="2F431DE1">
      <w:pPr>
        <w:pStyle w:val="CoL"/>
        <w:numPr>
          <w:ilvl w:val="0"/>
          <w:numId w:val="35"/>
        </w:numPr>
        <w:spacing w:after="120" w:line="240" w:lineRule="auto"/>
        <w:ind w:left="1260" w:right="1440" w:hanging="187"/>
        <w:rPr>
          <w:sz w:val="26"/>
          <w:szCs w:val="26"/>
        </w:rPr>
      </w:pPr>
      <w:r>
        <w:rPr>
          <w:sz w:val="26"/>
          <w:szCs w:val="26"/>
        </w:rPr>
        <w:t xml:space="preserve">Prohibit the markup </w:t>
      </w:r>
      <w:r w:rsidR="00ED2351">
        <w:rPr>
          <w:sz w:val="26"/>
          <w:szCs w:val="26"/>
        </w:rPr>
        <w:t xml:space="preserve">of any </w:t>
      </w:r>
      <w:r w:rsidR="00496B5C">
        <w:rPr>
          <w:sz w:val="26"/>
          <w:szCs w:val="26"/>
        </w:rPr>
        <w:t>m</w:t>
      </w:r>
      <w:r w:rsidRPr="00B41CD3" w:rsidR="00F9672B">
        <w:rPr>
          <w:sz w:val="26"/>
          <w:szCs w:val="26"/>
        </w:rPr>
        <w:t xml:space="preserve">andatory </w:t>
      </w:r>
      <w:r w:rsidR="00496B5C">
        <w:rPr>
          <w:sz w:val="26"/>
          <w:szCs w:val="26"/>
        </w:rPr>
        <w:t>p</w:t>
      </w:r>
      <w:r w:rsidRPr="00B41CD3" w:rsidR="00F9672B">
        <w:rPr>
          <w:sz w:val="26"/>
          <w:szCs w:val="26"/>
        </w:rPr>
        <w:t>ass-</w:t>
      </w:r>
      <w:r w:rsidR="00496B5C">
        <w:rPr>
          <w:sz w:val="26"/>
          <w:szCs w:val="26"/>
        </w:rPr>
        <w:t>t</w:t>
      </w:r>
      <w:r w:rsidRPr="00B41CD3" w:rsidR="00F9672B">
        <w:rPr>
          <w:sz w:val="26"/>
          <w:szCs w:val="26"/>
        </w:rPr>
        <w:t xml:space="preserve">hrough </w:t>
      </w:r>
      <w:r w:rsidR="00496B5C">
        <w:rPr>
          <w:sz w:val="26"/>
          <w:szCs w:val="26"/>
        </w:rPr>
        <w:t>g</w:t>
      </w:r>
      <w:r w:rsidRPr="00B41CD3" w:rsidR="00F9672B">
        <w:rPr>
          <w:sz w:val="26"/>
          <w:szCs w:val="26"/>
        </w:rPr>
        <w:t xml:space="preserve">overnment </w:t>
      </w:r>
      <w:r w:rsidR="00496B5C">
        <w:rPr>
          <w:sz w:val="26"/>
          <w:szCs w:val="26"/>
        </w:rPr>
        <w:t>t</w:t>
      </w:r>
      <w:r w:rsidRPr="00B41CD3" w:rsidR="00F9672B">
        <w:rPr>
          <w:sz w:val="26"/>
          <w:szCs w:val="26"/>
        </w:rPr>
        <w:t xml:space="preserve">axes and </w:t>
      </w:r>
      <w:r w:rsidR="00496B5C">
        <w:rPr>
          <w:sz w:val="26"/>
          <w:szCs w:val="26"/>
        </w:rPr>
        <w:t>f</w:t>
      </w:r>
      <w:r w:rsidRPr="00B41CD3" w:rsidR="00F9672B">
        <w:rPr>
          <w:sz w:val="26"/>
          <w:szCs w:val="26"/>
        </w:rPr>
        <w:t>ees</w:t>
      </w:r>
      <w:r w:rsidR="00F9672B">
        <w:rPr>
          <w:sz w:val="26"/>
          <w:szCs w:val="26"/>
        </w:rPr>
        <w:t>.</w:t>
      </w:r>
    </w:p>
    <w:p w:rsidR="001E7878" w:rsidP="0072152F" w:rsidRDefault="00F9672B" w14:paraId="7DF28893" w14:textId="38AB28BD">
      <w:pPr>
        <w:pStyle w:val="CoL"/>
        <w:numPr>
          <w:ilvl w:val="0"/>
          <w:numId w:val="28"/>
        </w:numPr>
        <w:ind w:left="0" w:firstLine="180"/>
        <w:rPr>
          <w:sz w:val="26"/>
          <w:szCs w:val="26"/>
        </w:rPr>
      </w:pPr>
      <w:r w:rsidRPr="00B41CD3">
        <w:rPr>
          <w:sz w:val="26"/>
          <w:szCs w:val="26"/>
        </w:rPr>
        <w:t xml:space="preserve">The </w:t>
      </w:r>
      <w:r w:rsidRPr="00B41CD3" w:rsidR="005C7E2D">
        <w:rPr>
          <w:sz w:val="26"/>
          <w:szCs w:val="26"/>
        </w:rPr>
        <w:t xml:space="preserve">Commission should </w:t>
      </w:r>
      <w:r w:rsidRPr="00B41CD3">
        <w:rPr>
          <w:sz w:val="26"/>
          <w:szCs w:val="26"/>
        </w:rPr>
        <w:t xml:space="preserve">prohibit </w:t>
      </w:r>
      <w:r w:rsidR="00401AF6">
        <w:rPr>
          <w:sz w:val="26"/>
          <w:szCs w:val="26"/>
        </w:rPr>
        <w:t xml:space="preserve">telephone corporations providing </w:t>
      </w:r>
      <w:r w:rsidRPr="00B41CD3" w:rsidR="005C7E2D">
        <w:rPr>
          <w:sz w:val="26"/>
          <w:szCs w:val="26"/>
        </w:rPr>
        <w:t xml:space="preserve">intrastate IPCS </w:t>
      </w:r>
      <w:r w:rsidRPr="00B41CD3">
        <w:rPr>
          <w:sz w:val="26"/>
          <w:szCs w:val="26"/>
        </w:rPr>
        <w:t>from imposing any IPCS ancillary service</w:t>
      </w:r>
      <w:r>
        <w:rPr>
          <w:sz w:val="26"/>
          <w:szCs w:val="26"/>
        </w:rPr>
        <w:t xml:space="preserve"> </w:t>
      </w:r>
      <w:r w:rsidR="00D23BC9">
        <w:rPr>
          <w:sz w:val="26"/>
          <w:szCs w:val="26"/>
        </w:rPr>
        <w:t>fees or</w:t>
      </w:r>
      <w:r w:rsidRPr="00B41CD3">
        <w:rPr>
          <w:sz w:val="26"/>
          <w:szCs w:val="26"/>
        </w:rPr>
        <w:t xml:space="preserve"> charges </w:t>
      </w:r>
      <w:r w:rsidRPr="00B41CD3" w:rsidR="00C51155">
        <w:rPr>
          <w:sz w:val="26"/>
          <w:szCs w:val="26"/>
        </w:rPr>
        <w:t xml:space="preserve">greater </w:t>
      </w:r>
      <w:r w:rsidR="00D23BC9">
        <w:rPr>
          <w:sz w:val="26"/>
          <w:szCs w:val="26"/>
        </w:rPr>
        <w:t xml:space="preserve">than </w:t>
      </w:r>
      <w:r w:rsidRPr="00B41CD3" w:rsidR="00C51155">
        <w:rPr>
          <w:sz w:val="26"/>
          <w:szCs w:val="26"/>
        </w:rPr>
        <w:t xml:space="preserve">or </w:t>
      </w:r>
      <w:r w:rsidRPr="00B41CD3">
        <w:rPr>
          <w:sz w:val="26"/>
          <w:szCs w:val="26"/>
        </w:rPr>
        <w:t xml:space="preserve">other than those specified </w:t>
      </w:r>
      <w:r w:rsidRPr="00B41CD3" w:rsidR="005C7E2D">
        <w:rPr>
          <w:sz w:val="26"/>
          <w:szCs w:val="26"/>
        </w:rPr>
        <w:t>here</w:t>
      </w:r>
      <w:r w:rsidR="00252FB2">
        <w:rPr>
          <w:sz w:val="26"/>
          <w:szCs w:val="26"/>
        </w:rPr>
        <w:t xml:space="preserve">, except for </w:t>
      </w:r>
      <w:r w:rsidR="00B43C2C">
        <w:rPr>
          <w:sz w:val="26"/>
          <w:szCs w:val="26"/>
        </w:rPr>
        <w:t>single-call</w:t>
      </w:r>
      <w:r w:rsidR="00252FB2">
        <w:rPr>
          <w:sz w:val="26"/>
          <w:szCs w:val="26"/>
        </w:rPr>
        <w:t xml:space="preserve"> fees imposed on interstate calls</w:t>
      </w:r>
      <w:r w:rsidRPr="00B41CD3" w:rsidR="00C51155">
        <w:rPr>
          <w:sz w:val="26"/>
          <w:szCs w:val="26"/>
        </w:rPr>
        <w:t>.</w:t>
      </w:r>
    </w:p>
    <w:p w:rsidRPr="00F03213" w:rsidR="00923446" w:rsidP="0072152F" w:rsidRDefault="00923446" w14:paraId="4D43B1FD" w14:textId="1D5BCDD8">
      <w:pPr>
        <w:pStyle w:val="CoL"/>
        <w:numPr>
          <w:ilvl w:val="0"/>
          <w:numId w:val="28"/>
        </w:numPr>
        <w:ind w:left="0" w:firstLine="180"/>
        <w:rPr>
          <w:sz w:val="26"/>
          <w:szCs w:val="26"/>
        </w:rPr>
      </w:pPr>
      <w:r>
        <w:rPr>
          <w:sz w:val="26"/>
          <w:szCs w:val="26"/>
        </w:rPr>
        <w:lastRenderedPageBreak/>
        <w:t xml:space="preserve">The Commission should require </w:t>
      </w:r>
      <w:r w:rsidR="009C6BEC">
        <w:rPr>
          <w:sz w:val="26"/>
          <w:szCs w:val="26"/>
        </w:rPr>
        <w:t xml:space="preserve">telephone corporations </w:t>
      </w:r>
      <w:r w:rsidR="00D259A3">
        <w:rPr>
          <w:sz w:val="26"/>
          <w:szCs w:val="26"/>
        </w:rPr>
        <w:t xml:space="preserve">providing intrastate IPCS to implement </w:t>
      </w:r>
      <w:r>
        <w:rPr>
          <w:sz w:val="26"/>
          <w:szCs w:val="26"/>
        </w:rPr>
        <w:t xml:space="preserve">the rate caps and </w:t>
      </w:r>
      <w:r w:rsidR="00D259A3">
        <w:rPr>
          <w:sz w:val="26"/>
          <w:szCs w:val="26"/>
        </w:rPr>
        <w:t xml:space="preserve">ancillary </w:t>
      </w:r>
      <w:r>
        <w:rPr>
          <w:sz w:val="26"/>
          <w:szCs w:val="26"/>
        </w:rPr>
        <w:t xml:space="preserve">fee requirements adopted here no later than 45 days from issuance of this decision. </w:t>
      </w:r>
      <w:r w:rsidRPr="00F03213">
        <w:rPr>
          <w:sz w:val="26"/>
          <w:szCs w:val="26"/>
        </w:rPr>
        <w:t xml:space="preserve"> </w:t>
      </w:r>
    </w:p>
    <w:p w:rsidRPr="00B41CD3" w:rsidR="00276F75" w:rsidP="0072152F" w:rsidRDefault="0075533F" w14:paraId="5C8A0A61" w14:textId="7A4C2A4D">
      <w:pPr>
        <w:pStyle w:val="CoL"/>
        <w:numPr>
          <w:ilvl w:val="0"/>
          <w:numId w:val="28"/>
        </w:numPr>
        <w:ind w:left="0" w:firstLine="180"/>
        <w:rPr>
          <w:sz w:val="26"/>
          <w:szCs w:val="26"/>
        </w:rPr>
      </w:pPr>
      <w:r>
        <w:rPr>
          <w:sz w:val="26"/>
          <w:szCs w:val="26"/>
        </w:rPr>
        <w:t>The Commission should require</w:t>
      </w:r>
      <w:r w:rsidRPr="00B41CD3">
        <w:rPr>
          <w:sz w:val="26"/>
          <w:szCs w:val="26"/>
        </w:rPr>
        <w:t xml:space="preserve"> </w:t>
      </w:r>
      <w:r w:rsidR="00D85588">
        <w:rPr>
          <w:sz w:val="26"/>
          <w:szCs w:val="26"/>
        </w:rPr>
        <w:t xml:space="preserve">each </w:t>
      </w:r>
      <w:r>
        <w:rPr>
          <w:sz w:val="26"/>
          <w:szCs w:val="26"/>
        </w:rPr>
        <w:t xml:space="preserve">telephone corporation providing </w:t>
      </w:r>
      <w:r w:rsidRPr="00B41CD3">
        <w:rPr>
          <w:sz w:val="26"/>
          <w:szCs w:val="26"/>
        </w:rPr>
        <w:t xml:space="preserve">intrastate IPCS </w:t>
      </w:r>
      <w:r>
        <w:rPr>
          <w:sz w:val="26"/>
          <w:szCs w:val="26"/>
        </w:rPr>
        <w:t xml:space="preserve">to </w:t>
      </w:r>
      <w:r w:rsidRPr="00B41CD3" w:rsidR="00276F75">
        <w:rPr>
          <w:sz w:val="26"/>
          <w:szCs w:val="26"/>
        </w:rPr>
        <w:t xml:space="preserve">submit </w:t>
      </w:r>
      <w:r w:rsidR="00D85588">
        <w:rPr>
          <w:sz w:val="26"/>
          <w:szCs w:val="26"/>
        </w:rPr>
        <w:t xml:space="preserve">via email to </w:t>
      </w:r>
      <w:r w:rsidR="00DA6D89">
        <w:rPr>
          <w:sz w:val="26"/>
          <w:szCs w:val="26"/>
        </w:rPr>
        <w:t xml:space="preserve">the Director of the Communications Division </w:t>
      </w:r>
      <w:r w:rsidR="00D85588">
        <w:rPr>
          <w:sz w:val="26"/>
          <w:szCs w:val="26"/>
        </w:rPr>
        <w:t>(</w:t>
      </w:r>
      <w:hyperlink w:history="1" r:id="rId14">
        <w:r w:rsidRPr="0072152F" w:rsidR="008B1E1A">
          <w:t>cddirector@cpuc.ca.gov</w:t>
        </w:r>
      </w:hyperlink>
      <w:r w:rsidR="00D85588">
        <w:t xml:space="preserve">) </w:t>
      </w:r>
      <w:r w:rsidRPr="00B41CD3" w:rsidR="00D85588">
        <w:rPr>
          <w:sz w:val="26"/>
          <w:szCs w:val="26"/>
        </w:rPr>
        <w:t>within 45 days of Commission issuance of this decision a Notice of Compliance</w:t>
      </w:r>
      <w:r w:rsidR="00D85588">
        <w:rPr>
          <w:sz w:val="26"/>
          <w:szCs w:val="26"/>
        </w:rPr>
        <w:t xml:space="preserve"> </w:t>
      </w:r>
      <w:r w:rsidRPr="00B41CD3" w:rsidR="00276F75">
        <w:rPr>
          <w:sz w:val="26"/>
          <w:szCs w:val="26"/>
        </w:rPr>
        <w:t xml:space="preserve">confirming implementation of the interim rate cap of $0.07 per minute and the ancillary fee requirements adopted </w:t>
      </w:r>
      <w:r w:rsidRPr="40AD9B3F" w:rsidR="00276F75">
        <w:rPr>
          <w:sz w:val="26"/>
          <w:szCs w:val="26"/>
        </w:rPr>
        <w:t>here</w:t>
      </w:r>
      <w:r w:rsidRPr="00B41CD3" w:rsidR="00276F75">
        <w:rPr>
          <w:sz w:val="26"/>
          <w:szCs w:val="26"/>
        </w:rPr>
        <w:t xml:space="preserve"> across all of their intrastate IPCS contracts, accounts, and facilities in California, and including the following information:</w:t>
      </w:r>
    </w:p>
    <w:p w:rsidRPr="00B41CD3" w:rsidR="00276F75" w:rsidP="00245152" w:rsidRDefault="00276F75" w14:paraId="36BD1E1B" w14:textId="4121A60A">
      <w:pPr>
        <w:pStyle w:val="CoL"/>
        <w:numPr>
          <w:ilvl w:val="0"/>
          <w:numId w:val="33"/>
        </w:numPr>
        <w:spacing w:after="120" w:line="240" w:lineRule="auto"/>
        <w:ind w:left="1440" w:right="1440"/>
        <w:rPr>
          <w:sz w:val="26"/>
          <w:szCs w:val="26"/>
        </w:rPr>
      </w:pPr>
      <w:r w:rsidRPr="00B41CD3">
        <w:rPr>
          <w:sz w:val="26"/>
          <w:szCs w:val="26"/>
        </w:rPr>
        <w:t xml:space="preserve">Attestation that the interim ancillary service fee requirements adopted </w:t>
      </w:r>
      <w:r w:rsidRPr="40AD9B3F">
        <w:rPr>
          <w:sz w:val="26"/>
          <w:szCs w:val="26"/>
        </w:rPr>
        <w:t>here</w:t>
      </w:r>
      <w:r w:rsidRPr="00B41CD3">
        <w:rPr>
          <w:sz w:val="26"/>
          <w:szCs w:val="26"/>
        </w:rPr>
        <w:t xml:space="preserve"> have been implemented at any and all facilities served by the carrier in California.</w:t>
      </w:r>
    </w:p>
    <w:p w:rsidRPr="00B41CD3" w:rsidR="00276F75" w:rsidP="00245152" w:rsidRDefault="00276F75" w14:paraId="1038C236" w14:textId="42EB951D">
      <w:pPr>
        <w:pStyle w:val="CoL"/>
        <w:numPr>
          <w:ilvl w:val="0"/>
          <w:numId w:val="33"/>
        </w:numPr>
        <w:spacing w:after="120" w:line="240" w:lineRule="auto"/>
        <w:ind w:left="1440" w:right="1440"/>
        <w:rPr>
          <w:sz w:val="26"/>
          <w:szCs w:val="26"/>
        </w:rPr>
      </w:pPr>
      <w:r w:rsidRPr="00B41CD3">
        <w:rPr>
          <w:sz w:val="26"/>
          <w:szCs w:val="26"/>
        </w:rPr>
        <w:t xml:space="preserve">Copies of or links to carrier webpages where the interim ancillary service fee requirements adopted </w:t>
      </w:r>
      <w:r w:rsidRPr="40AD9B3F">
        <w:rPr>
          <w:sz w:val="26"/>
          <w:szCs w:val="26"/>
        </w:rPr>
        <w:t>here</w:t>
      </w:r>
      <w:r w:rsidRPr="00B41CD3">
        <w:rPr>
          <w:sz w:val="26"/>
          <w:szCs w:val="26"/>
        </w:rPr>
        <w:t xml:space="preserve"> are presented for facilities located in California.</w:t>
      </w:r>
    </w:p>
    <w:p w:rsidRPr="00B41CD3" w:rsidR="00276F75" w:rsidP="00245152" w:rsidRDefault="00276F75" w14:paraId="6C7F4145" w14:textId="62C45E50">
      <w:pPr>
        <w:pStyle w:val="CoL"/>
        <w:numPr>
          <w:ilvl w:val="0"/>
          <w:numId w:val="33"/>
        </w:numPr>
        <w:spacing w:after="120" w:line="240" w:lineRule="auto"/>
        <w:ind w:left="1440" w:right="1440"/>
        <w:rPr>
          <w:sz w:val="26"/>
          <w:szCs w:val="26"/>
        </w:rPr>
      </w:pPr>
      <w:r w:rsidRPr="00B41CD3">
        <w:rPr>
          <w:sz w:val="26"/>
          <w:szCs w:val="26"/>
        </w:rPr>
        <w:t xml:space="preserve">Copies of notices provided to facilities of the interim ancillary service fee requirements adopted </w:t>
      </w:r>
      <w:r w:rsidRPr="40AD9B3F">
        <w:rPr>
          <w:sz w:val="26"/>
          <w:szCs w:val="26"/>
        </w:rPr>
        <w:t>here</w:t>
      </w:r>
      <w:r w:rsidRPr="00B41CD3">
        <w:rPr>
          <w:sz w:val="26"/>
          <w:szCs w:val="26"/>
        </w:rPr>
        <w:t>.</w:t>
      </w:r>
    </w:p>
    <w:p w:rsidRPr="00B41CD3" w:rsidR="00276F75" w:rsidP="00245152" w:rsidRDefault="00276F75" w14:paraId="249BBF6E" w14:textId="226308AB">
      <w:pPr>
        <w:pStyle w:val="CoL"/>
        <w:numPr>
          <w:ilvl w:val="0"/>
          <w:numId w:val="33"/>
        </w:numPr>
        <w:spacing w:after="120" w:line="240" w:lineRule="auto"/>
        <w:ind w:left="1440" w:right="1440"/>
        <w:rPr>
          <w:sz w:val="26"/>
          <w:szCs w:val="26"/>
        </w:rPr>
      </w:pPr>
      <w:r w:rsidRPr="00B41CD3">
        <w:rPr>
          <w:sz w:val="26"/>
          <w:szCs w:val="26"/>
        </w:rPr>
        <w:t xml:space="preserve">Copies of notices to incarcerated people of the interim ancillary service fee requirements adopted </w:t>
      </w:r>
      <w:r w:rsidRPr="40AD9B3F">
        <w:rPr>
          <w:sz w:val="26"/>
          <w:szCs w:val="26"/>
        </w:rPr>
        <w:t>here</w:t>
      </w:r>
      <w:r w:rsidRPr="00B41CD3">
        <w:rPr>
          <w:sz w:val="26"/>
          <w:szCs w:val="26"/>
        </w:rPr>
        <w:t>.</w:t>
      </w:r>
    </w:p>
    <w:p w:rsidR="00FC0B48" w:rsidP="00FC4D86" w:rsidRDefault="00CC53AC" w14:paraId="62D98BEB" w14:textId="22D361B5">
      <w:pPr>
        <w:pStyle w:val="CoL"/>
        <w:numPr>
          <w:ilvl w:val="0"/>
          <w:numId w:val="28"/>
        </w:numPr>
        <w:ind w:left="0" w:firstLine="180"/>
        <w:rPr>
          <w:sz w:val="26"/>
          <w:szCs w:val="26"/>
        </w:rPr>
      </w:pPr>
      <w:r>
        <w:rPr>
          <w:sz w:val="26"/>
          <w:szCs w:val="26"/>
        </w:rPr>
        <w:t xml:space="preserve">The Commission should direct </w:t>
      </w:r>
      <w:bookmarkStart w:name="_Hlk75512305" w:id="80"/>
      <w:r>
        <w:rPr>
          <w:sz w:val="26"/>
          <w:szCs w:val="26"/>
        </w:rPr>
        <w:t xml:space="preserve">all </w:t>
      </w:r>
      <w:r w:rsidR="00CE401C">
        <w:rPr>
          <w:sz w:val="26"/>
          <w:szCs w:val="26"/>
        </w:rPr>
        <w:t>telephone corporations providing</w:t>
      </w:r>
      <w:r w:rsidR="001C461C">
        <w:rPr>
          <w:sz w:val="26"/>
          <w:szCs w:val="26"/>
        </w:rPr>
        <w:t xml:space="preserve"> </w:t>
      </w:r>
      <w:r w:rsidR="00700180">
        <w:rPr>
          <w:sz w:val="26"/>
          <w:szCs w:val="26"/>
        </w:rPr>
        <w:t xml:space="preserve">intrastate </w:t>
      </w:r>
      <w:r>
        <w:rPr>
          <w:sz w:val="26"/>
          <w:szCs w:val="26"/>
        </w:rPr>
        <w:t>IPCS</w:t>
      </w:r>
      <w:r w:rsidR="009249B0">
        <w:rPr>
          <w:sz w:val="26"/>
          <w:szCs w:val="26"/>
        </w:rPr>
        <w:t xml:space="preserve"> </w:t>
      </w:r>
      <w:r>
        <w:rPr>
          <w:sz w:val="26"/>
          <w:szCs w:val="26"/>
        </w:rPr>
        <w:t xml:space="preserve">to fully disclose </w:t>
      </w:r>
      <w:r w:rsidR="00970A2F">
        <w:rPr>
          <w:sz w:val="26"/>
          <w:szCs w:val="26"/>
        </w:rPr>
        <w:t>the</w:t>
      </w:r>
      <w:r w:rsidR="001C461C">
        <w:rPr>
          <w:sz w:val="26"/>
          <w:szCs w:val="26"/>
        </w:rPr>
        <w:t xml:space="preserve"> r</w:t>
      </w:r>
      <w:r>
        <w:rPr>
          <w:sz w:val="26"/>
          <w:szCs w:val="26"/>
        </w:rPr>
        <w:t>ate</w:t>
      </w:r>
      <w:r w:rsidR="001C461C">
        <w:rPr>
          <w:sz w:val="26"/>
          <w:szCs w:val="26"/>
        </w:rPr>
        <w:t xml:space="preserve"> caps and ancillary fee requirements </w:t>
      </w:r>
      <w:r w:rsidR="00970A2F">
        <w:rPr>
          <w:sz w:val="26"/>
          <w:szCs w:val="26"/>
        </w:rPr>
        <w:t xml:space="preserve">adopted here </w:t>
      </w:r>
      <w:r>
        <w:rPr>
          <w:sz w:val="26"/>
          <w:szCs w:val="26"/>
        </w:rPr>
        <w:t>on their websites, bills, and in marketing material by no later than 45 days from Commission issuance of this decision</w:t>
      </w:r>
      <w:r w:rsidR="005A1362">
        <w:rPr>
          <w:sz w:val="26"/>
          <w:szCs w:val="26"/>
        </w:rPr>
        <w:t xml:space="preserve">, and to </w:t>
      </w:r>
      <w:r w:rsidRPr="002B665B" w:rsidR="005A1362">
        <w:rPr>
          <w:sz w:val="26"/>
          <w:szCs w:val="26"/>
        </w:rPr>
        <w:t xml:space="preserve">maintain information on </w:t>
      </w:r>
      <w:r w:rsidR="005A1362">
        <w:rPr>
          <w:sz w:val="26"/>
          <w:szCs w:val="26"/>
        </w:rPr>
        <w:t>the adopted rate</w:t>
      </w:r>
      <w:r w:rsidRPr="002B665B" w:rsidR="005A1362">
        <w:rPr>
          <w:sz w:val="26"/>
          <w:szCs w:val="26"/>
        </w:rPr>
        <w:t xml:space="preserve"> </w:t>
      </w:r>
      <w:r w:rsidR="005A1362">
        <w:rPr>
          <w:sz w:val="26"/>
          <w:szCs w:val="26"/>
        </w:rPr>
        <w:t xml:space="preserve">clearly and prominently </w:t>
      </w:r>
      <w:r w:rsidRPr="002B665B" w:rsidR="005A1362">
        <w:rPr>
          <w:sz w:val="26"/>
          <w:szCs w:val="26"/>
        </w:rPr>
        <w:t>on their websites</w:t>
      </w:r>
      <w:r w:rsidR="005A1362">
        <w:rPr>
          <w:sz w:val="26"/>
          <w:szCs w:val="26"/>
        </w:rPr>
        <w:t>.</w:t>
      </w:r>
      <w:bookmarkEnd w:id="80"/>
      <w:r w:rsidR="006D2486">
        <w:rPr>
          <w:sz w:val="26"/>
          <w:szCs w:val="26"/>
        </w:rPr>
        <w:t xml:space="preserve"> </w:t>
      </w:r>
      <w:r w:rsidRPr="006D2486" w:rsidR="006D2486">
        <w:rPr>
          <w:sz w:val="26"/>
          <w:szCs w:val="26"/>
        </w:rPr>
        <w:t xml:space="preserve">The </w:t>
      </w:r>
      <w:r w:rsidR="006D2486">
        <w:rPr>
          <w:sz w:val="26"/>
          <w:szCs w:val="26"/>
        </w:rPr>
        <w:t xml:space="preserve">Commission should require </w:t>
      </w:r>
      <w:r w:rsidR="00D7092D">
        <w:rPr>
          <w:sz w:val="26"/>
          <w:szCs w:val="26"/>
        </w:rPr>
        <w:t xml:space="preserve">that </w:t>
      </w:r>
      <w:r w:rsidR="00EC714C">
        <w:rPr>
          <w:sz w:val="26"/>
          <w:szCs w:val="26"/>
        </w:rPr>
        <w:t xml:space="preserve">such notices and </w:t>
      </w:r>
      <w:r w:rsidR="00D7092D">
        <w:rPr>
          <w:sz w:val="26"/>
          <w:szCs w:val="26"/>
        </w:rPr>
        <w:t xml:space="preserve">disclosures </w:t>
      </w:r>
      <w:r w:rsidR="00EC714C">
        <w:rPr>
          <w:sz w:val="26"/>
          <w:szCs w:val="26"/>
        </w:rPr>
        <w:t>o</w:t>
      </w:r>
      <w:r w:rsidR="00D7092D">
        <w:rPr>
          <w:sz w:val="26"/>
          <w:szCs w:val="26"/>
        </w:rPr>
        <w:t xml:space="preserve">f </w:t>
      </w:r>
      <w:r w:rsidRPr="006D2486" w:rsidR="006D2486">
        <w:rPr>
          <w:sz w:val="26"/>
          <w:szCs w:val="26"/>
        </w:rPr>
        <w:t>fee schedules and service</w:t>
      </w:r>
      <w:r w:rsidR="00EC714C">
        <w:rPr>
          <w:sz w:val="26"/>
          <w:szCs w:val="26"/>
        </w:rPr>
        <w:t xml:space="preserve">s </w:t>
      </w:r>
      <w:r w:rsidR="00D7092D">
        <w:rPr>
          <w:sz w:val="26"/>
          <w:szCs w:val="26"/>
        </w:rPr>
        <w:t xml:space="preserve">are provided </w:t>
      </w:r>
      <w:r w:rsidRPr="006D2486" w:rsidR="006D2486">
        <w:rPr>
          <w:sz w:val="26"/>
          <w:szCs w:val="26"/>
        </w:rPr>
        <w:t>in English, Spanish and any other languages prevalent in incarceration facilities</w:t>
      </w:r>
      <w:r w:rsidR="00E8541C">
        <w:rPr>
          <w:sz w:val="26"/>
          <w:szCs w:val="26"/>
        </w:rPr>
        <w:t xml:space="preserve">, and should require that the notices </w:t>
      </w:r>
      <w:r w:rsidRPr="73BF4038" w:rsidR="00E8541C">
        <w:rPr>
          <w:rFonts w:eastAsiaTheme="majorEastAsia" w:cstheme="majorBidi"/>
          <w:sz w:val="26"/>
          <w:szCs w:val="26"/>
        </w:rPr>
        <w:t xml:space="preserve">inform the incarcerated of methods </w:t>
      </w:r>
      <w:r w:rsidRPr="73BF4038" w:rsidR="00E8541C">
        <w:rPr>
          <w:rFonts w:eastAsiaTheme="majorEastAsia" w:cstheme="majorBidi"/>
          <w:sz w:val="26"/>
          <w:szCs w:val="26"/>
        </w:rPr>
        <w:lastRenderedPageBreak/>
        <w:t>to lodge service quality complaints with the Commission</w:t>
      </w:r>
      <w:r w:rsidR="0091520D">
        <w:rPr>
          <w:rFonts w:eastAsiaTheme="majorEastAsia" w:cstheme="majorBidi"/>
          <w:sz w:val="26"/>
          <w:szCs w:val="26"/>
        </w:rPr>
        <w:t xml:space="preserve"> as discussed in </w:t>
      </w:r>
      <w:r w:rsidR="00463D16">
        <w:rPr>
          <w:rFonts w:eastAsiaTheme="majorEastAsia" w:cstheme="majorBidi"/>
          <w:sz w:val="26"/>
          <w:szCs w:val="26"/>
        </w:rPr>
        <w:t xml:space="preserve">section 11 of </w:t>
      </w:r>
      <w:r w:rsidR="0091520D">
        <w:rPr>
          <w:rFonts w:eastAsiaTheme="majorEastAsia" w:cstheme="majorBidi"/>
          <w:sz w:val="26"/>
          <w:szCs w:val="26"/>
        </w:rPr>
        <w:t>this decision</w:t>
      </w:r>
      <w:r w:rsidRPr="006D2486" w:rsidR="006D2486">
        <w:rPr>
          <w:sz w:val="26"/>
          <w:szCs w:val="26"/>
        </w:rPr>
        <w:t xml:space="preserve">.  </w:t>
      </w:r>
    </w:p>
    <w:p w:rsidR="009B5049" w:rsidP="00FC4D86" w:rsidRDefault="009B5049" w14:paraId="27C0E9D6" w14:textId="2D2EF8C5">
      <w:pPr>
        <w:pStyle w:val="CoL"/>
        <w:numPr>
          <w:ilvl w:val="0"/>
          <w:numId w:val="28"/>
        </w:numPr>
        <w:ind w:left="0" w:firstLine="180"/>
        <w:rPr>
          <w:sz w:val="26"/>
          <w:szCs w:val="26"/>
        </w:rPr>
      </w:pPr>
      <w:r>
        <w:rPr>
          <w:sz w:val="26"/>
          <w:szCs w:val="26"/>
        </w:rPr>
        <w:t xml:space="preserve">The Commission should require all telephone corporations providing intrastate IPCS to submit </w:t>
      </w:r>
      <w:r w:rsidRPr="0029395F">
        <w:rPr>
          <w:sz w:val="26"/>
          <w:szCs w:val="26"/>
        </w:rPr>
        <w:t xml:space="preserve">an Interim Rate </w:t>
      </w:r>
      <w:r>
        <w:rPr>
          <w:sz w:val="26"/>
          <w:szCs w:val="26"/>
        </w:rPr>
        <w:t>C</w:t>
      </w:r>
      <w:r w:rsidRPr="0029395F">
        <w:rPr>
          <w:sz w:val="26"/>
          <w:szCs w:val="26"/>
        </w:rPr>
        <w:t xml:space="preserve">ompliance </w:t>
      </w:r>
      <w:r>
        <w:rPr>
          <w:sz w:val="26"/>
          <w:szCs w:val="26"/>
        </w:rPr>
        <w:t>R</w:t>
      </w:r>
      <w:r w:rsidRPr="0029395F">
        <w:rPr>
          <w:sz w:val="26"/>
          <w:szCs w:val="26"/>
        </w:rPr>
        <w:t xml:space="preserve">eport </w:t>
      </w:r>
      <w:r>
        <w:rPr>
          <w:sz w:val="26"/>
          <w:szCs w:val="26"/>
        </w:rPr>
        <w:t xml:space="preserve">to the Commission’s </w:t>
      </w:r>
      <w:r w:rsidRPr="0029395F">
        <w:rPr>
          <w:sz w:val="26"/>
          <w:szCs w:val="26"/>
        </w:rPr>
        <w:t xml:space="preserve">Director of the Communications Division </w:t>
      </w:r>
      <w:r w:rsidR="0088676E">
        <w:rPr>
          <w:sz w:val="26"/>
          <w:szCs w:val="26"/>
        </w:rPr>
        <w:t>at cddirector@cpuc.ca.gov</w:t>
      </w:r>
      <w:r w:rsidRPr="0029395F">
        <w:rPr>
          <w:sz w:val="26"/>
          <w:szCs w:val="26"/>
        </w:rPr>
        <w:t xml:space="preserve"> </w:t>
      </w:r>
      <w:r>
        <w:rPr>
          <w:sz w:val="26"/>
          <w:szCs w:val="26"/>
        </w:rPr>
        <w:t xml:space="preserve">no later than </w:t>
      </w:r>
      <w:r w:rsidRPr="0029395F">
        <w:rPr>
          <w:sz w:val="26"/>
          <w:szCs w:val="26"/>
        </w:rPr>
        <w:t xml:space="preserve">45 days </w:t>
      </w:r>
      <w:r>
        <w:rPr>
          <w:sz w:val="26"/>
          <w:szCs w:val="26"/>
        </w:rPr>
        <w:t>from Commission issuance of this d</w:t>
      </w:r>
      <w:r w:rsidRPr="0029395F">
        <w:rPr>
          <w:sz w:val="26"/>
          <w:szCs w:val="26"/>
        </w:rPr>
        <w:t>ecision</w:t>
      </w:r>
      <w:r>
        <w:rPr>
          <w:sz w:val="26"/>
          <w:szCs w:val="26"/>
        </w:rPr>
        <w:t xml:space="preserve">, and </w:t>
      </w:r>
      <w:r w:rsidRPr="0029395F">
        <w:rPr>
          <w:sz w:val="26"/>
          <w:szCs w:val="26"/>
        </w:rPr>
        <w:t>on a quarterly basis thereafter whil</w:t>
      </w:r>
      <w:r>
        <w:rPr>
          <w:sz w:val="26"/>
          <w:szCs w:val="26"/>
        </w:rPr>
        <w:t>e the i</w:t>
      </w:r>
      <w:r w:rsidRPr="0029395F">
        <w:rPr>
          <w:sz w:val="26"/>
          <w:szCs w:val="26"/>
        </w:rPr>
        <w:t xml:space="preserve">nterim </w:t>
      </w:r>
      <w:r>
        <w:rPr>
          <w:sz w:val="26"/>
          <w:szCs w:val="26"/>
        </w:rPr>
        <w:t>r</w:t>
      </w:r>
      <w:r w:rsidRPr="0029395F">
        <w:rPr>
          <w:sz w:val="26"/>
          <w:szCs w:val="26"/>
        </w:rPr>
        <w:t xml:space="preserve">ates </w:t>
      </w:r>
      <w:r>
        <w:rPr>
          <w:sz w:val="26"/>
          <w:szCs w:val="26"/>
        </w:rPr>
        <w:t xml:space="preserve">adopted here </w:t>
      </w:r>
      <w:r w:rsidRPr="0029395F">
        <w:rPr>
          <w:sz w:val="26"/>
          <w:szCs w:val="26"/>
        </w:rPr>
        <w:t>are in effect</w:t>
      </w:r>
      <w:r w:rsidR="00D85588">
        <w:rPr>
          <w:sz w:val="26"/>
          <w:szCs w:val="26"/>
        </w:rPr>
        <w:t xml:space="preserve">, and should require that </w:t>
      </w:r>
      <w:r>
        <w:rPr>
          <w:sz w:val="26"/>
          <w:szCs w:val="26"/>
        </w:rPr>
        <w:t xml:space="preserve">report </w:t>
      </w:r>
      <w:r w:rsidRPr="0029395F">
        <w:rPr>
          <w:sz w:val="26"/>
          <w:szCs w:val="26"/>
        </w:rPr>
        <w:t xml:space="preserve">include a revenue breakdown of billed interstate and intrastate minutes of use, and a revenue breakdown of billed </w:t>
      </w:r>
      <w:r>
        <w:rPr>
          <w:sz w:val="26"/>
          <w:szCs w:val="26"/>
        </w:rPr>
        <w:t>a</w:t>
      </w:r>
      <w:r w:rsidRPr="0029395F">
        <w:rPr>
          <w:sz w:val="26"/>
          <w:szCs w:val="26"/>
        </w:rPr>
        <w:t xml:space="preserve">ncillary interstate and intrastate </w:t>
      </w:r>
      <w:r>
        <w:rPr>
          <w:sz w:val="26"/>
          <w:szCs w:val="26"/>
        </w:rPr>
        <w:t xml:space="preserve">fees </w:t>
      </w:r>
      <w:r w:rsidRPr="0029395F">
        <w:rPr>
          <w:sz w:val="26"/>
          <w:szCs w:val="26"/>
        </w:rPr>
        <w:t xml:space="preserve">over a period of thirty days. </w:t>
      </w:r>
    </w:p>
    <w:p w:rsidR="009B5049" w:rsidP="00FC4D86" w:rsidRDefault="009B5049" w14:paraId="456C30F7" w14:textId="314ED53B">
      <w:pPr>
        <w:pStyle w:val="CoL"/>
        <w:numPr>
          <w:ilvl w:val="0"/>
          <w:numId w:val="28"/>
        </w:numPr>
        <w:ind w:left="0" w:firstLine="180"/>
        <w:rPr>
          <w:sz w:val="26"/>
          <w:szCs w:val="26"/>
        </w:rPr>
      </w:pPr>
      <w:r w:rsidRPr="00472730">
        <w:rPr>
          <w:sz w:val="26"/>
          <w:szCs w:val="26"/>
        </w:rPr>
        <w:t>The Commission should require all IPCS providers</w:t>
      </w:r>
      <w:r w:rsidR="009249B0">
        <w:rPr>
          <w:sz w:val="26"/>
          <w:szCs w:val="26"/>
        </w:rPr>
        <w:t xml:space="preserve"> </w:t>
      </w:r>
      <w:r w:rsidRPr="00472730">
        <w:rPr>
          <w:sz w:val="26"/>
          <w:szCs w:val="26"/>
        </w:rPr>
        <w:t xml:space="preserve">to provide a Plan for Notification to all current and prospective customers and account holder, their draft notices of the adopted rates, terms and conditions, refund policies and customer service contacts for websites, bill inserts, and marketing materials to the Commission </w:t>
      </w:r>
      <w:r w:rsidR="00D85588">
        <w:rPr>
          <w:sz w:val="26"/>
          <w:szCs w:val="26"/>
        </w:rPr>
        <w:t xml:space="preserve">Communications Director </w:t>
      </w:r>
      <w:r w:rsidRPr="00472730">
        <w:rPr>
          <w:sz w:val="26"/>
          <w:szCs w:val="26"/>
        </w:rPr>
        <w:t>for review no later than 30 days from Commission issuance of this decision</w:t>
      </w:r>
      <w:r w:rsidR="00E32515">
        <w:rPr>
          <w:sz w:val="26"/>
          <w:szCs w:val="26"/>
        </w:rPr>
        <w:t>.  T</w:t>
      </w:r>
      <w:r w:rsidR="00197DD9">
        <w:rPr>
          <w:sz w:val="26"/>
          <w:szCs w:val="26"/>
        </w:rPr>
        <w:t>hese should include d</w:t>
      </w:r>
      <w:r w:rsidRPr="00B47B4A" w:rsidR="00197DD9">
        <w:rPr>
          <w:sz w:val="26"/>
          <w:szCs w:val="26"/>
        </w:rPr>
        <w:t>isclosures of fee schedules and service-related information in English, Spanish and other languages prevalent in incarceration facilities</w:t>
      </w:r>
      <w:r w:rsidR="00E32515">
        <w:rPr>
          <w:sz w:val="26"/>
          <w:szCs w:val="26"/>
        </w:rPr>
        <w:t xml:space="preserve">, and should </w:t>
      </w:r>
      <w:r w:rsidRPr="00E32515" w:rsidR="00E32515">
        <w:rPr>
          <w:sz w:val="26"/>
          <w:szCs w:val="26"/>
        </w:rPr>
        <w:t>inform the incarcerated of methods to lodge service quality complaints with the Commission</w:t>
      </w:r>
      <w:r w:rsidR="00E32515">
        <w:rPr>
          <w:sz w:val="26"/>
          <w:szCs w:val="26"/>
        </w:rPr>
        <w:t xml:space="preserve"> as discussed in </w:t>
      </w:r>
      <w:r w:rsidR="00463D16">
        <w:rPr>
          <w:sz w:val="26"/>
          <w:szCs w:val="26"/>
        </w:rPr>
        <w:t xml:space="preserve">section 11 of </w:t>
      </w:r>
      <w:r w:rsidR="00E32515">
        <w:rPr>
          <w:sz w:val="26"/>
          <w:szCs w:val="26"/>
        </w:rPr>
        <w:t>this decision.</w:t>
      </w:r>
    </w:p>
    <w:p w:rsidRPr="00D946AA" w:rsidR="00FC0B48" w:rsidP="00FC4D86" w:rsidRDefault="00FC0B48" w14:paraId="4A0883FA" w14:textId="038F23DE">
      <w:pPr>
        <w:pStyle w:val="CoL"/>
        <w:numPr>
          <w:ilvl w:val="0"/>
          <w:numId w:val="28"/>
        </w:numPr>
        <w:ind w:left="0" w:firstLine="180"/>
        <w:rPr>
          <w:sz w:val="26"/>
          <w:szCs w:val="26"/>
        </w:rPr>
      </w:pPr>
      <w:r>
        <w:rPr>
          <w:sz w:val="26"/>
          <w:szCs w:val="26"/>
        </w:rPr>
        <w:t xml:space="preserve">The Commission should </w:t>
      </w:r>
      <w:r w:rsidR="00B02069">
        <w:rPr>
          <w:sz w:val="26"/>
          <w:szCs w:val="26"/>
        </w:rPr>
        <w:t xml:space="preserve">affirm the authority of </w:t>
      </w:r>
      <w:r w:rsidR="00B81E66">
        <w:rPr>
          <w:sz w:val="26"/>
          <w:szCs w:val="26"/>
        </w:rPr>
        <w:t xml:space="preserve">the Commission’s </w:t>
      </w:r>
      <w:r w:rsidRPr="00FC0B48">
        <w:rPr>
          <w:sz w:val="26"/>
          <w:szCs w:val="26"/>
        </w:rPr>
        <w:t xml:space="preserve">Communications Division to assess fines </w:t>
      </w:r>
      <w:r w:rsidR="00E70BFE">
        <w:rPr>
          <w:sz w:val="26"/>
          <w:szCs w:val="26"/>
        </w:rPr>
        <w:t xml:space="preserve">for lack of </w:t>
      </w:r>
      <w:r w:rsidRPr="00E208BE" w:rsidR="00E70BFE">
        <w:rPr>
          <w:sz w:val="26"/>
          <w:szCs w:val="26"/>
        </w:rPr>
        <w:t xml:space="preserve">compliance </w:t>
      </w:r>
      <w:r w:rsidR="00E70BFE">
        <w:rPr>
          <w:sz w:val="26"/>
          <w:szCs w:val="26"/>
        </w:rPr>
        <w:t xml:space="preserve">with this </w:t>
      </w:r>
      <w:r w:rsidRPr="00E208BE" w:rsidR="00E70BFE">
        <w:rPr>
          <w:sz w:val="26"/>
          <w:szCs w:val="26"/>
        </w:rPr>
        <w:t>decision</w:t>
      </w:r>
      <w:r w:rsidR="00E70BFE">
        <w:rPr>
          <w:sz w:val="26"/>
          <w:szCs w:val="26"/>
        </w:rPr>
        <w:t xml:space="preserve"> </w:t>
      </w:r>
      <w:r w:rsidRPr="00FC0B48">
        <w:rPr>
          <w:sz w:val="26"/>
          <w:szCs w:val="26"/>
        </w:rPr>
        <w:t>pursuant to Resolution T-17601 and Public Utilities Code Sections 2107 and 2108</w:t>
      </w:r>
      <w:r w:rsidR="00DD70B5">
        <w:rPr>
          <w:sz w:val="26"/>
          <w:szCs w:val="26"/>
        </w:rPr>
        <w:t xml:space="preserve">, </w:t>
      </w:r>
      <w:r w:rsidR="00B02069">
        <w:rPr>
          <w:sz w:val="26"/>
          <w:szCs w:val="26"/>
        </w:rPr>
        <w:t>referring, i</w:t>
      </w:r>
      <w:r w:rsidRPr="00FC0B48">
        <w:rPr>
          <w:sz w:val="26"/>
          <w:szCs w:val="26"/>
        </w:rPr>
        <w:t>n the case of</w:t>
      </w:r>
      <w:r w:rsidR="00E70BFE">
        <w:rPr>
          <w:sz w:val="26"/>
          <w:szCs w:val="26"/>
        </w:rPr>
        <w:t xml:space="preserve"> violations of</w:t>
      </w:r>
      <w:r w:rsidRPr="00FC0B48">
        <w:rPr>
          <w:sz w:val="26"/>
          <w:szCs w:val="26"/>
        </w:rPr>
        <w:t xml:space="preserve"> this decision’s requirement for submittal of </w:t>
      </w:r>
      <w:r w:rsidR="00705A9D">
        <w:rPr>
          <w:sz w:val="26"/>
          <w:szCs w:val="26"/>
        </w:rPr>
        <w:t xml:space="preserve">draft and final </w:t>
      </w:r>
      <w:r w:rsidRPr="00FC0B48">
        <w:rPr>
          <w:sz w:val="26"/>
          <w:szCs w:val="26"/>
        </w:rPr>
        <w:t>Notices of Compliance</w:t>
      </w:r>
      <w:r w:rsidR="00705A9D">
        <w:rPr>
          <w:sz w:val="26"/>
          <w:szCs w:val="26"/>
        </w:rPr>
        <w:t xml:space="preserve"> and related materials, </w:t>
      </w:r>
      <w:r w:rsidRPr="00FC0B48">
        <w:rPr>
          <w:sz w:val="26"/>
          <w:szCs w:val="26"/>
        </w:rPr>
        <w:t>to Resolution T-17601 for guidance</w:t>
      </w:r>
      <w:r w:rsidR="00B02069">
        <w:rPr>
          <w:sz w:val="26"/>
          <w:szCs w:val="26"/>
        </w:rPr>
        <w:t xml:space="preserve"> and, in </w:t>
      </w:r>
      <w:r w:rsidRPr="00FC0B48">
        <w:rPr>
          <w:sz w:val="26"/>
          <w:szCs w:val="26"/>
        </w:rPr>
        <w:t xml:space="preserve">the case of </w:t>
      </w:r>
      <w:r w:rsidR="00705A9D">
        <w:rPr>
          <w:sz w:val="26"/>
          <w:szCs w:val="26"/>
        </w:rPr>
        <w:t xml:space="preserve">violations of </w:t>
      </w:r>
      <w:r w:rsidRPr="00FC0B48">
        <w:rPr>
          <w:sz w:val="26"/>
          <w:szCs w:val="26"/>
        </w:rPr>
        <w:t xml:space="preserve">this decision’s </w:t>
      </w:r>
      <w:r w:rsidRPr="00FC0B48">
        <w:rPr>
          <w:sz w:val="26"/>
          <w:szCs w:val="26"/>
        </w:rPr>
        <w:lastRenderedPageBreak/>
        <w:t xml:space="preserve">rate and ancillary fee requirements, </w:t>
      </w:r>
      <w:r w:rsidR="00D946AA">
        <w:rPr>
          <w:sz w:val="26"/>
          <w:szCs w:val="26"/>
        </w:rPr>
        <w:t xml:space="preserve">should direct </w:t>
      </w:r>
      <w:r w:rsidRPr="00FC0B48">
        <w:rPr>
          <w:sz w:val="26"/>
          <w:szCs w:val="26"/>
        </w:rPr>
        <w:t xml:space="preserve">Staff </w:t>
      </w:r>
      <w:r w:rsidR="00D946AA">
        <w:rPr>
          <w:sz w:val="26"/>
          <w:szCs w:val="26"/>
        </w:rPr>
        <w:t xml:space="preserve">to </w:t>
      </w:r>
      <w:r w:rsidRPr="00FC0B48">
        <w:rPr>
          <w:sz w:val="26"/>
          <w:szCs w:val="26"/>
        </w:rPr>
        <w:t>develop a resolution proposing fines pursuant to Public Utilities Code Sections 2107 and 2108.</w:t>
      </w:r>
    </w:p>
    <w:p w:rsidR="005668D3" w:rsidP="00FC4D86" w:rsidRDefault="007E7FD5" w14:paraId="3DFDE194" w14:textId="5177981B">
      <w:pPr>
        <w:pStyle w:val="CoL"/>
        <w:numPr>
          <w:ilvl w:val="0"/>
          <w:numId w:val="28"/>
        </w:numPr>
        <w:ind w:left="0" w:firstLine="180"/>
        <w:rPr>
          <w:sz w:val="26"/>
          <w:szCs w:val="26"/>
        </w:rPr>
      </w:pPr>
      <w:r>
        <w:rPr>
          <w:sz w:val="26"/>
          <w:szCs w:val="26"/>
        </w:rPr>
        <w:t xml:space="preserve">The Commission should remove </w:t>
      </w:r>
      <w:r w:rsidR="00E94353">
        <w:rPr>
          <w:sz w:val="26"/>
          <w:szCs w:val="26"/>
        </w:rPr>
        <w:t xml:space="preserve">from the service list to R.20-10-002 </w:t>
      </w:r>
      <w:r w:rsidR="00457879">
        <w:rPr>
          <w:sz w:val="26"/>
          <w:szCs w:val="26"/>
        </w:rPr>
        <w:t>tele</w:t>
      </w:r>
      <w:r w:rsidR="00430C7F">
        <w:rPr>
          <w:sz w:val="26"/>
          <w:szCs w:val="26"/>
        </w:rPr>
        <w:t xml:space="preserve">phone corporations </w:t>
      </w:r>
      <w:r w:rsidR="00457879">
        <w:rPr>
          <w:sz w:val="26"/>
          <w:szCs w:val="26"/>
        </w:rPr>
        <w:t>that do not provide IPCS</w:t>
      </w:r>
      <w:r w:rsidR="00460FF1">
        <w:rPr>
          <w:sz w:val="26"/>
          <w:szCs w:val="26"/>
        </w:rPr>
        <w:t xml:space="preserve"> and parties that have not filed substantive pleadings</w:t>
      </w:r>
      <w:r w:rsidR="002162A8">
        <w:rPr>
          <w:sz w:val="26"/>
          <w:szCs w:val="26"/>
        </w:rPr>
        <w:t xml:space="preserve">, </w:t>
      </w:r>
      <w:r w:rsidR="005668D3">
        <w:rPr>
          <w:sz w:val="26"/>
          <w:szCs w:val="26"/>
        </w:rPr>
        <w:t xml:space="preserve">should retain as parties those entities listed in </w:t>
      </w:r>
      <w:r w:rsidR="00FC4D86">
        <w:rPr>
          <w:sz w:val="26"/>
          <w:szCs w:val="26"/>
        </w:rPr>
        <w:t>S</w:t>
      </w:r>
      <w:r w:rsidR="005668D3">
        <w:rPr>
          <w:sz w:val="26"/>
          <w:szCs w:val="26"/>
        </w:rPr>
        <w:t>ection 9</w:t>
      </w:r>
      <w:r w:rsidR="002162A8">
        <w:rPr>
          <w:sz w:val="26"/>
          <w:szCs w:val="26"/>
        </w:rPr>
        <w:t>.2</w:t>
      </w:r>
      <w:r w:rsidR="005668D3">
        <w:rPr>
          <w:sz w:val="26"/>
          <w:szCs w:val="26"/>
        </w:rPr>
        <w:t xml:space="preserve"> of this decision</w:t>
      </w:r>
      <w:r w:rsidR="002162A8">
        <w:rPr>
          <w:sz w:val="26"/>
          <w:szCs w:val="26"/>
        </w:rPr>
        <w:t>, and should transfer from “party” to “information only” status those entities listed in section 9.1 of this decision.</w:t>
      </w:r>
    </w:p>
    <w:p w:rsidRPr="00575C3C" w:rsidR="00E9370B" w:rsidP="00FC4D86" w:rsidRDefault="00E9370B" w14:paraId="741328A9" w14:textId="61CD55D0">
      <w:pPr>
        <w:pStyle w:val="CoL"/>
        <w:numPr>
          <w:ilvl w:val="0"/>
          <w:numId w:val="28"/>
        </w:numPr>
        <w:ind w:left="0" w:firstLine="180"/>
        <w:rPr>
          <w:sz w:val="26"/>
          <w:szCs w:val="26"/>
        </w:rPr>
      </w:pPr>
      <w:r>
        <w:rPr>
          <w:sz w:val="26"/>
          <w:szCs w:val="26"/>
        </w:rPr>
        <w:t>P</w:t>
      </w:r>
      <w:r w:rsidRPr="00E9370B">
        <w:rPr>
          <w:sz w:val="26"/>
          <w:szCs w:val="26"/>
        </w:rPr>
        <w:t xml:space="preserve">rovision of cost information in response to </w:t>
      </w:r>
      <w:r w:rsidR="0091520D">
        <w:rPr>
          <w:sz w:val="26"/>
          <w:szCs w:val="26"/>
        </w:rPr>
        <w:t xml:space="preserve">discovery </w:t>
      </w:r>
      <w:r w:rsidRPr="00E9370B">
        <w:rPr>
          <w:sz w:val="26"/>
          <w:szCs w:val="26"/>
        </w:rPr>
        <w:t>data requests does not constitute provision of cost information in the record of this proceeding.</w:t>
      </w:r>
    </w:p>
    <w:p w:rsidR="00BB0243" w:rsidP="00CA3AC1" w:rsidRDefault="005939A5" w14:paraId="2493F384" w14:textId="77777777">
      <w:pPr>
        <w:pStyle w:val="Mainex"/>
        <w:spacing w:before="240"/>
      </w:pPr>
      <w:bookmarkStart w:name="_Toc80089429" w:id="81"/>
      <w:r>
        <w:t>O</w:t>
      </w:r>
      <w:r w:rsidR="00722850">
        <w:t>RDER</w:t>
      </w:r>
      <w:bookmarkEnd w:id="81"/>
    </w:p>
    <w:p w:rsidRPr="000941E9" w:rsidR="00BB0243" w:rsidP="000941E9" w:rsidRDefault="00BB0243" w14:paraId="5AF1CB32" w14:textId="324992F6">
      <w:pPr>
        <w:keepNext/>
        <w:spacing w:after="120"/>
        <w:rPr>
          <w:rFonts w:ascii="Book Antiqua" w:hAnsi="Book Antiqua"/>
          <w:sz w:val="26"/>
          <w:szCs w:val="26"/>
        </w:rPr>
      </w:pPr>
      <w:r w:rsidRPr="004215CC">
        <w:rPr>
          <w:b/>
          <w:sz w:val="26"/>
          <w:szCs w:val="26"/>
        </w:rPr>
        <w:t>IT IS ORDERED</w:t>
      </w:r>
      <w:r w:rsidRPr="004215CC">
        <w:rPr>
          <w:sz w:val="26"/>
          <w:szCs w:val="26"/>
        </w:rPr>
        <w:t xml:space="preserve"> </w:t>
      </w:r>
      <w:r w:rsidRPr="000941E9">
        <w:rPr>
          <w:rFonts w:ascii="Book Antiqua" w:hAnsi="Book Antiqua"/>
          <w:sz w:val="26"/>
          <w:szCs w:val="26"/>
        </w:rPr>
        <w:t>that:</w:t>
      </w:r>
    </w:p>
    <w:p w:rsidRPr="000941E9" w:rsidR="005B29F4" w:rsidP="000941E9" w:rsidRDefault="004215CC" w14:paraId="2FF1AD31" w14:textId="63A9FFEE">
      <w:pPr>
        <w:pStyle w:val="OP"/>
        <w:numPr>
          <w:ilvl w:val="6"/>
          <w:numId w:val="1"/>
        </w:numPr>
        <w:tabs>
          <w:tab w:val="clear" w:pos="1080"/>
        </w:tabs>
        <w:ind w:left="0" w:firstLine="360"/>
        <w:rPr>
          <w:sz w:val="26"/>
          <w:szCs w:val="26"/>
        </w:rPr>
      </w:pPr>
      <w:r w:rsidRPr="000941E9">
        <w:rPr>
          <w:sz w:val="26"/>
          <w:szCs w:val="26"/>
        </w:rPr>
        <w:t xml:space="preserve">This decision applies to </w:t>
      </w:r>
      <w:r w:rsidRPr="000941E9" w:rsidR="0006216A">
        <w:rPr>
          <w:sz w:val="26"/>
          <w:szCs w:val="26"/>
        </w:rPr>
        <w:t xml:space="preserve">intrastate </w:t>
      </w:r>
      <w:r w:rsidRPr="000941E9" w:rsidR="00CC07C3">
        <w:rPr>
          <w:sz w:val="26"/>
          <w:szCs w:val="26"/>
        </w:rPr>
        <w:t xml:space="preserve">incarcerated person’s </w:t>
      </w:r>
      <w:r w:rsidRPr="000941E9" w:rsidR="0006216A">
        <w:rPr>
          <w:sz w:val="26"/>
          <w:szCs w:val="26"/>
        </w:rPr>
        <w:t xml:space="preserve">voice </w:t>
      </w:r>
      <w:r w:rsidRPr="000941E9">
        <w:rPr>
          <w:sz w:val="26"/>
          <w:szCs w:val="26"/>
        </w:rPr>
        <w:t>calling services</w:t>
      </w:r>
      <w:r w:rsidRPr="000941E9" w:rsidR="00AE76F2">
        <w:rPr>
          <w:sz w:val="26"/>
          <w:szCs w:val="26"/>
        </w:rPr>
        <w:t xml:space="preserve"> </w:t>
      </w:r>
      <w:r w:rsidRPr="000941E9" w:rsidR="00CC07C3">
        <w:rPr>
          <w:sz w:val="26"/>
          <w:szCs w:val="26"/>
        </w:rPr>
        <w:t>provided to any local, state, or federal correctional or detention facility type operated in California housing adults and/or juveniles, including but not limited to city and county jails, federal and state prisons, correctional facilities, juvenile detention facilities, holding centers, camps, psychiatric hospitals, immigration detention centers, military jails and tribal jails</w:t>
      </w:r>
      <w:r w:rsidRPr="000941E9" w:rsidR="00AE76F2">
        <w:rPr>
          <w:sz w:val="26"/>
          <w:szCs w:val="26"/>
        </w:rPr>
        <w:t xml:space="preserve">, </w:t>
      </w:r>
      <w:r w:rsidR="00D85588">
        <w:rPr>
          <w:sz w:val="26"/>
          <w:szCs w:val="26"/>
        </w:rPr>
        <w:t xml:space="preserve">and </w:t>
      </w:r>
      <w:r w:rsidRPr="000941E9" w:rsidR="00CC07C3">
        <w:rPr>
          <w:sz w:val="26"/>
          <w:szCs w:val="26"/>
        </w:rPr>
        <w:t xml:space="preserve">including but not limited to </w:t>
      </w:r>
      <w:r w:rsidR="00D85588">
        <w:rPr>
          <w:sz w:val="26"/>
          <w:szCs w:val="26"/>
        </w:rPr>
        <w:t xml:space="preserve">voice and </w:t>
      </w:r>
      <w:r w:rsidRPr="000941E9">
        <w:rPr>
          <w:sz w:val="26"/>
          <w:szCs w:val="26"/>
        </w:rPr>
        <w:t>Voice Over Internet Protocol (</w:t>
      </w:r>
      <w:r w:rsidRPr="000941E9" w:rsidR="00CC07C3">
        <w:rPr>
          <w:sz w:val="26"/>
          <w:szCs w:val="26"/>
        </w:rPr>
        <w:t>VoIP</w:t>
      </w:r>
      <w:r w:rsidRPr="000941E9">
        <w:rPr>
          <w:sz w:val="26"/>
          <w:szCs w:val="26"/>
        </w:rPr>
        <w:t>)</w:t>
      </w:r>
      <w:r w:rsidRPr="000941E9" w:rsidR="00CC07C3">
        <w:rPr>
          <w:sz w:val="26"/>
          <w:szCs w:val="26"/>
        </w:rPr>
        <w:t xml:space="preserve"> calling, </w:t>
      </w:r>
      <w:r w:rsidRPr="000941E9" w:rsidR="0006216A">
        <w:rPr>
          <w:sz w:val="26"/>
          <w:szCs w:val="26"/>
        </w:rPr>
        <w:t xml:space="preserve">and </w:t>
      </w:r>
      <w:r w:rsidRPr="000941E9" w:rsidR="00CC07C3">
        <w:rPr>
          <w:sz w:val="26"/>
          <w:szCs w:val="26"/>
        </w:rPr>
        <w:t>voice and VoIP voice communications services serving people with</w:t>
      </w:r>
      <w:r w:rsidRPr="000941E9">
        <w:rPr>
          <w:sz w:val="26"/>
          <w:szCs w:val="26"/>
        </w:rPr>
        <w:t xml:space="preserve"> disabilities</w:t>
      </w:r>
      <w:r w:rsidRPr="000941E9" w:rsidR="0006216A">
        <w:rPr>
          <w:sz w:val="26"/>
          <w:szCs w:val="26"/>
        </w:rPr>
        <w:t>.</w:t>
      </w:r>
    </w:p>
    <w:p w:rsidRPr="004215CC" w:rsidR="00EC3339" w:rsidP="000941E9" w:rsidRDefault="007F2C39" w14:paraId="4B2E07EE" w14:textId="2116F4E3">
      <w:pPr>
        <w:pStyle w:val="OP"/>
        <w:numPr>
          <w:ilvl w:val="6"/>
          <w:numId w:val="1"/>
        </w:numPr>
        <w:tabs>
          <w:tab w:val="clear" w:pos="1080"/>
        </w:tabs>
        <w:ind w:left="0" w:firstLine="360"/>
        <w:rPr>
          <w:sz w:val="26"/>
          <w:szCs w:val="26"/>
        </w:rPr>
      </w:pPr>
      <w:r>
        <w:rPr>
          <w:sz w:val="26"/>
          <w:szCs w:val="26"/>
        </w:rPr>
        <w:t>I</w:t>
      </w:r>
      <w:r w:rsidRPr="004215CC" w:rsidR="00EC3339">
        <w:rPr>
          <w:sz w:val="26"/>
          <w:szCs w:val="26"/>
        </w:rPr>
        <w:t xml:space="preserve">nterim caps on intrastate rates for incarcerated persons calling services </w:t>
      </w:r>
      <w:r w:rsidRPr="004215CC" w:rsidR="000B1F91">
        <w:rPr>
          <w:sz w:val="26"/>
          <w:szCs w:val="26"/>
        </w:rPr>
        <w:t xml:space="preserve">in California </w:t>
      </w:r>
      <w:r w:rsidRPr="004215CC" w:rsidR="00EC3339">
        <w:rPr>
          <w:sz w:val="26"/>
          <w:szCs w:val="26"/>
        </w:rPr>
        <w:t>of seven cents ($0.07) per minute for debit, prepaid</w:t>
      </w:r>
      <w:r>
        <w:rPr>
          <w:sz w:val="26"/>
          <w:szCs w:val="26"/>
        </w:rPr>
        <w:t>,</w:t>
      </w:r>
      <w:r w:rsidRPr="004215CC" w:rsidR="00EC3339">
        <w:rPr>
          <w:sz w:val="26"/>
          <w:szCs w:val="26"/>
        </w:rPr>
        <w:t xml:space="preserve"> and collect calls</w:t>
      </w:r>
      <w:r w:rsidR="00E71FAF">
        <w:rPr>
          <w:sz w:val="26"/>
          <w:szCs w:val="26"/>
        </w:rPr>
        <w:t xml:space="preserve"> are adopted</w:t>
      </w:r>
      <w:r w:rsidRPr="004215CC" w:rsidR="00EC3339">
        <w:rPr>
          <w:sz w:val="26"/>
          <w:szCs w:val="26"/>
        </w:rPr>
        <w:t>.</w:t>
      </w:r>
    </w:p>
    <w:p w:rsidR="00781989" w:rsidP="000941E9" w:rsidRDefault="001A0F14" w14:paraId="63BCACEA" w14:textId="02EEDCAC">
      <w:pPr>
        <w:pStyle w:val="OP"/>
        <w:numPr>
          <w:ilvl w:val="6"/>
          <w:numId w:val="1"/>
        </w:numPr>
        <w:tabs>
          <w:tab w:val="clear" w:pos="1080"/>
        </w:tabs>
        <w:ind w:left="0" w:firstLine="360"/>
        <w:rPr>
          <w:sz w:val="26"/>
          <w:szCs w:val="26"/>
        </w:rPr>
      </w:pPr>
      <w:r>
        <w:rPr>
          <w:sz w:val="26"/>
          <w:szCs w:val="26"/>
        </w:rPr>
        <w:t>The f</w:t>
      </w:r>
      <w:r w:rsidR="00781989">
        <w:rPr>
          <w:sz w:val="26"/>
          <w:szCs w:val="26"/>
        </w:rPr>
        <w:t xml:space="preserve">ollowing requirements for all ancillary service fees associated with the provision of intrastate </w:t>
      </w:r>
      <w:r w:rsidR="009636B5">
        <w:rPr>
          <w:sz w:val="26"/>
          <w:szCs w:val="26"/>
        </w:rPr>
        <w:t xml:space="preserve">and jurisdictionally mixed </w:t>
      </w:r>
      <w:r w:rsidR="00781989">
        <w:rPr>
          <w:sz w:val="26"/>
          <w:szCs w:val="26"/>
        </w:rPr>
        <w:t>incarcerated person’s calling services</w:t>
      </w:r>
      <w:r>
        <w:rPr>
          <w:sz w:val="26"/>
          <w:szCs w:val="26"/>
        </w:rPr>
        <w:t xml:space="preserve"> </w:t>
      </w:r>
      <w:r w:rsidR="009636B5">
        <w:rPr>
          <w:sz w:val="26"/>
          <w:szCs w:val="26"/>
        </w:rPr>
        <w:t xml:space="preserve">in California </w:t>
      </w:r>
      <w:r>
        <w:rPr>
          <w:sz w:val="26"/>
          <w:szCs w:val="26"/>
        </w:rPr>
        <w:t>are adopted</w:t>
      </w:r>
      <w:r w:rsidR="00781989">
        <w:rPr>
          <w:sz w:val="26"/>
          <w:szCs w:val="26"/>
        </w:rPr>
        <w:t xml:space="preserve">: </w:t>
      </w:r>
      <w:r w:rsidR="000941E9">
        <w:rPr>
          <w:sz w:val="26"/>
          <w:szCs w:val="26"/>
        </w:rPr>
        <w:t xml:space="preserve"> </w:t>
      </w:r>
      <w:r w:rsidR="00AA506F">
        <w:rPr>
          <w:sz w:val="26"/>
          <w:szCs w:val="26"/>
        </w:rPr>
        <w:t xml:space="preserve">(a) </w:t>
      </w:r>
      <w:r w:rsidR="0076071B">
        <w:rPr>
          <w:sz w:val="26"/>
          <w:szCs w:val="26"/>
        </w:rPr>
        <w:t xml:space="preserve">imposition of </w:t>
      </w:r>
      <w:r w:rsidR="00781989">
        <w:rPr>
          <w:sz w:val="26"/>
          <w:szCs w:val="26"/>
        </w:rPr>
        <w:t xml:space="preserve">any </w:t>
      </w:r>
      <w:r w:rsidR="00B43C2C">
        <w:rPr>
          <w:sz w:val="26"/>
          <w:szCs w:val="26"/>
        </w:rPr>
        <w:t>single-call</w:t>
      </w:r>
      <w:r w:rsidRPr="004215CC" w:rsidR="00781989">
        <w:rPr>
          <w:sz w:val="26"/>
          <w:szCs w:val="26"/>
        </w:rPr>
        <w:t>, paper bill, live agent, and</w:t>
      </w:r>
      <w:r>
        <w:rPr>
          <w:sz w:val="26"/>
          <w:szCs w:val="26"/>
        </w:rPr>
        <w:t>/</w:t>
      </w:r>
      <w:r w:rsidR="00AA506F">
        <w:rPr>
          <w:sz w:val="26"/>
          <w:szCs w:val="26"/>
        </w:rPr>
        <w:t>or</w:t>
      </w:r>
      <w:r w:rsidRPr="004215CC" w:rsidR="00781989">
        <w:rPr>
          <w:sz w:val="26"/>
          <w:szCs w:val="26"/>
        </w:rPr>
        <w:t xml:space="preserve"> automated payment fees</w:t>
      </w:r>
      <w:r w:rsidR="00C8467E">
        <w:rPr>
          <w:sz w:val="26"/>
          <w:szCs w:val="26"/>
        </w:rPr>
        <w:t xml:space="preserve"> is prohibited</w:t>
      </w:r>
      <w:r w:rsidR="00781989">
        <w:rPr>
          <w:sz w:val="26"/>
          <w:szCs w:val="26"/>
        </w:rPr>
        <w:t xml:space="preserve">; </w:t>
      </w:r>
      <w:r w:rsidR="00AA506F">
        <w:rPr>
          <w:sz w:val="26"/>
          <w:szCs w:val="26"/>
        </w:rPr>
        <w:t xml:space="preserve">(b) </w:t>
      </w:r>
      <w:r w:rsidR="00781989">
        <w:rPr>
          <w:sz w:val="26"/>
          <w:szCs w:val="26"/>
        </w:rPr>
        <w:t xml:space="preserve">collection of </w:t>
      </w:r>
      <w:r w:rsidR="00781989">
        <w:rPr>
          <w:sz w:val="26"/>
          <w:szCs w:val="26"/>
        </w:rPr>
        <w:lastRenderedPageBreak/>
        <w:t xml:space="preserve">third-party financial transaction fees </w:t>
      </w:r>
      <w:r w:rsidR="009636B5">
        <w:rPr>
          <w:sz w:val="26"/>
          <w:szCs w:val="26"/>
        </w:rPr>
        <w:t>is</w:t>
      </w:r>
      <w:r w:rsidR="00AA506F">
        <w:rPr>
          <w:sz w:val="26"/>
          <w:szCs w:val="26"/>
        </w:rPr>
        <w:t xml:space="preserve"> limited </w:t>
      </w:r>
      <w:r w:rsidR="00781989">
        <w:rPr>
          <w:sz w:val="26"/>
          <w:szCs w:val="26"/>
        </w:rPr>
        <w:t>to</w:t>
      </w:r>
      <w:r w:rsidR="00316247">
        <w:rPr>
          <w:sz w:val="26"/>
          <w:szCs w:val="26"/>
        </w:rPr>
        <w:t xml:space="preserve"> the</w:t>
      </w:r>
      <w:r w:rsidR="00781989">
        <w:rPr>
          <w:sz w:val="26"/>
          <w:szCs w:val="26"/>
        </w:rPr>
        <w:t xml:space="preserve"> </w:t>
      </w:r>
      <w:r w:rsidRPr="004215CC" w:rsidR="00781989">
        <w:rPr>
          <w:sz w:val="26"/>
          <w:szCs w:val="26"/>
        </w:rPr>
        <w:t xml:space="preserve">pass through </w:t>
      </w:r>
      <w:r w:rsidR="00781989">
        <w:rPr>
          <w:sz w:val="26"/>
          <w:szCs w:val="26"/>
        </w:rPr>
        <w:t xml:space="preserve">of the exact fee </w:t>
      </w:r>
      <w:r w:rsidRPr="004215CC" w:rsidR="00781989">
        <w:rPr>
          <w:sz w:val="26"/>
          <w:szCs w:val="26"/>
        </w:rPr>
        <w:t xml:space="preserve">only, with no mark up, </w:t>
      </w:r>
      <w:r w:rsidR="00DE5C29">
        <w:rPr>
          <w:sz w:val="26"/>
          <w:szCs w:val="26"/>
        </w:rPr>
        <w:t>and excluding any credit card charges</w:t>
      </w:r>
      <w:r w:rsidRPr="004215CC" w:rsidR="00781989">
        <w:rPr>
          <w:sz w:val="26"/>
          <w:szCs w:val="26"/>
        </w:rPr>
        <w:t xml:space="preserve">, up to a cap of $6.95 per </w:t>
      </w:r>
      <w:r w:rsidRPr="40AD9B3F" w:rsidR="2DD0A096">
        <w:rPr>
          <w:sz w:val="26"/>
          <w:szCs w:val="26"/>
        </w:rPr>
        <w:t>transaction</w:t>
      </w:r>
      <w:r w:rsidR="00781989">
        <w:rPr>
          <w:sz w:val="26"/>
          <w:szCs w:val="26"/>
        </w:rPr>
        <w:t xml:space="preserve">; </w:t>
      </w:r>
      <w:r w:rsidR="00316247">
        <w:rPr>
          <w:sz w:val="26"/>
          <w:szCs w:val="26"/>
        </w:rPr>
        <w:t xml:space="preserve">(c) </w:t>
      </w:r>
      <w:r w:rsidR="00781989">
        <w:rPr>
          <w:sz w:val="26"/>
          <w:szCs w:val="26"/>
        </w:rPr>
        <w:t xml:space="preserve">collection of </w:t>
      </w:r>
      <w:r w:rsidRPr="004215CC" w:rsidR="00781989">
        <w:rPr>
          <w:sz w:val="26"/>
          <w:szCs w:val="26"/>
        </w:rPr>
        <w:t>government</w:t>
      </w:r>
      <w:r w:rsidR="00D85588">
        <w:rPr>
          <w:sz w:val="26"/>
          <w:szCs w:val="26"/>
        </w:rPr>
        <w:t>-mandated</w:t>
      </w:r>
      <w:r w:rsidRPr="004215CC" w:rsidR="00781989">
        <w:rPr>
          <w:sz w:val="26"/>
          <w:szCs w:val="26"/>
        </w:rPr>
        <w:t xml:space="preserve"> taxes and fees</w:t>
      </w:r>
      <w:r w:rsidR="00316247">
        <w:rPr>
          <w:sz w:val="26"/>
          <w:szCs w:val="26"/>
        </w:rPr>
        <w:t xml:space="preserve"> </w:t>
      </w:r>
      <w:r w:rsidR="009636B5">
        <w:rPr>
          <w:sz w:val="26"/>
          <w:szCs w:val="26"/>
        </w:rPr>
        <w:t>is</w:t>
      </w:r>
      <w:r w:rsidR="00316247">
        <w:rPr>
          <w:sz w:val="26"/>
          <w:szCs w:val="26"/>
        </w:rPr>
        <w:t xml:space="preserve"> limited to the</w:t>
      </w:r>
      <w:r w:rsidR="00781989">
        <w:rPr>
          <w:sz w:val="26"/>
          <w:szCs w:val="26"/>
        </w:rPr>
        <w:t xml:space="preserve"> </w:t>
      </w:r>
      <w:r w:rsidRPr="004215CC" w:rsidR="00781989">
        <w:rPr>
          <w:sz w:val="26"/>
          <w:szCs w:val="26"/>
        </w:rPr>
        <w:t xml:space="preserve">pass through </w:t>
      </w:r>
      <w:r w:rsidR="00781989">
        <w:rPr>
          <w:sz w:val="26"/>
          <w:szCs w:val="26"/>
        </w:rPr>
        <w:t xml:space="preserve">of the exact fee </w:t>
      </w:r>
      <w:r w:rsidRPr="004215CC" w:rsidR="00781989">
        <w:rPr>
          <w:sz w:val="26"/>
          <w:szCs w:val="26"/>
        </w:rPr>
        <w:t>only, with no mark up</w:t>
      </w:r>
      <w:r w:rsidR="00781989">
        <w:rPr>
          <w:sz w:val="26"/>
          <w:szCs w:val="26"/>
        </w:rPr>
        <w:t xml:space="preserve">; and, </w:t>
      </w:r>
      <w:r w:rsidR="00C8467E">
        <w:rPr>
          <w:sz w:val="26"/>
          <w:szCs w:val="26"/>
        </w:rPr>
        <w:t xml:space="preserve">(c) </w:t>
      </w:r>
      <w:r w:rsidRPr="004215CC" w:rsidR="00781989">
        <w:rPr>
          <w:sz w:val="26"/>
          <w:szCs w:val="26"/>
        </w:rPr>
        <w:t xml:space="preserve">imposition of any other type of </w:t>
      </w:r>
      <w:r w:rsidR="00906D83">
        <w:rPr>
          <w:sz w:val="26"/>
          <w:szCs w:val="26"/>
        </w:rPr>
        <w:t xml:space="preserve">ancillary service </w:t>
      </w:r>
      <w:r w:rsidR="003F7AE3">
        <w:rPr>
          <w:sz w:val="26"/>
          <w:szCs w:val="26"/>
        </w:rPr>
        <w:t xml:space="preserve">fee or </w:t>
      </w:r>
      <w:r w:rsidR="002F22BA">
        <w:rPr>
          <w:sz w:val="26"/>
          <w:szCs w:val="26"/>
        </w:rPr>
        <w:t xml:space="preserve">service </w:t>
      </w:r>
      <w:r w:rsidR="003F7AE3">
        <w:rPr>
          <w:sz w:val="26"/>
          <w:szCs w:val="26"/>
        </w:rPr>
        <w:t>charge</w:t>
      </w:r>
      <w:r w:rsidR="002F22BA">
        <w:rPr>
          <w:sz w:val="26"/>
          <w:szCs w:val="26"/>
        </w:rPr>
        <w:t xml:space="preserve"> not explicitly approved here</w:t>
      </w:r>
      <w:r w:rsidR="00C8467E">
        <w:rPr>
          <w:sz w:val="26"/>
          <w:szCs w:val="26"/>
        </w:rPr>
        <w:t xml:space="preserve"> is prohibited</w:t>
      </w:r>
      <w:r w:rsidRPr="004215CC" w:rsidR="00781989">
        <w:rPr>
          <w:sz w:val="26"/>
          <w:szCs w:val="26"/>
        </w:rPr>
        <w:t>.</w:t>
      </w:r>
    </w:p>
    <w:p w:rsidR="00BC02AE" w:rsidP="000941E9" w:rsidRDefault="001801EE" w14:paraId="45CB297B" w14:textId="115C0A5F">
      <w:pPr>
        <w:pStyle w:val="OP"/>
        <w:numPr>
          <w:ilvl w:val="6"/>
          <w:numId w:val="1"/>
        </w:numPr>
        <w:tabs>
          <w:tab w:val="clear" w:pos="1080"/>
        </w:tabs>
        <w:ind w:left="0" w:firstLine="360"/>
        <w:rPr>
          <w:sz w:val="26"/>
          <w:szCs w:val="26"/>
        </w:rPr>
      </w:pPr>
      <w:r>
        <w:rPr>
          <w:sz w:val="26"/>
          <w:szCs w:val="26"/>
        </w:rPr>
        <w:t>No later than 45 days from Commission issuance of this decision, a</w:t>
      </w:r>
      <w:r w:rsidR="00BC02AE">
        <w:rPr>
          <w:sz w:val="26"/>
          <w:szCs w:val="26"/>
        </w:rPr>
        <w:t xml:space="preserve">ll telephone corporations providing </w:t>
      </w:r>
      <w:r w:rsidRPr="004215CC" w:rsidR="00BC02AE">
        <w:rPr>
          <w:sz w:val="26"/>
          <w:szCs w:val="26"/>
        </w:rPr>
        <w:t>intrastate incarcerated person’s calling service</w:t>
      </w:r>
      <w:r w:rsidR="00BC02AE">
        <w:rPr>
          <w:sz w:val="26"/>
          <w:szCs w:val="26"/>
        </w:rPr>
        <w:t>s</w:t>
      </w:r>
      <w:r w:rsidRPr="004215CC" w:rsidR="00BC02AE">
        <w:rPr>
          <w:sz w:val="26"/>
          <w:szCs w:val="26"/>
        </w:rPr>
        <w:t xml:space="preserve"> (IPCS) as defined in this decision </w:t>
      </w:r>
      <w:r w:rsidR="00BC02AE">
        <w:rPr>
          <w:sz w:val="26"/>
          <w:szCs w:val="26"/>
        </w:rPr>
        <w:t>are:</w:t>
      </w:r>
    </w:p>
    <w:p w:rsidR="00BC02AE" w:rsidP="000941E9" w:rsidRDefault="00BC02AE" w14:paraId="070FD087" w14:textId="70D6167F">
      <w:pPr>
        <w:pStyle w:val="OP"/>
        <w:numPr>
          <w:ilvl w:val="7"/>
          <w:numId w:val="1"/>
        </w:numPr>
        <w:spacing w:after="120" w:line="240" w:lineRule="auto"/>
        <w:ind w:right="1440"/>
        <w:rPr>
          <w:sz w:val="26"/>
          <w:szCs w:val="26"/>
        </w:rPr>
      </w:pPr>
      <w:r>
        <w:rPr>
          <w:sz w:val="26"/>
          <w:szCs w:val="26"/>
        </w:rPr>
        <w:t>Directed to implement</w:t>
      </w:r>
      <w:r w:rsidRPr="004215CC">
        <w:rPr>
          <w:sz w:val="26"/>
          <w:szCs w:val="26"/>
        </w:rPr>
        <w:t xml:space="preserve"> interim caps on intrastate rates for all IPCS calls of seven cents ($0.07) per minute for debit, prepaid</w:t>
      </w:r>
      <w:r>
        <w:rPr>
          <w:sz w:val="26"/>
          <w:szCs w:val="26"/>
        </w:rPr>
        <w:t xml:space="preserve">, </w:t>
      </w:r>
      <w:r w:rsidRPr="004215CC">
        <w:rPr>
          <w:sz w:val="26"/>
          <w:szCs w:val="26"/>
        </w:rPr>
        <w:t>and collect calls</w:t>
      </w:r>
      <w:r>
        <w:rPr>
          <w:sz w:val="26"/>
          <w:szCs w:val="26"/>
        </w:rPr>
        <w:t xml:space="preserve"> no later than 45 days from Commission issuance of this decision and to apply the rate cap to </w:t>
      </w:r>
      <w:r w:rsidRPr="007B0905">
        <w:rPr>
          <w:sz w:val="26"/>
          <w:szCs w:val="26"/>
        </w:rPr>
        <w:t>any existing account balances as of the date of implementation, as well as any new account balances or new accounts opened after that date</w:t>
      </w:r>
      <w:r>
        <w:rPr>
          <w:sz w:val="26"/>
          <w:szCs w:val="26"/>
        </w:rPr>
        <w:t>;</w:t>
      </w:r>
    </w:p>
    <w:p w:rsidR="001801EE" w:rsidP="000941E9" w:rsidRDefault="001801EE" w14:paraId="3C48C407" w14:textId="6029F88D">
      <w:pPr>
        <w:pStyle w:val="OP"/>
        <w:numPr>
          <w:ilvl w:val="7"/>
          <w:numId w:val="1"/>
        </w:numPr>
        <w:spacing w:after="120" w:line="240" w:lineRule="auto"/>
        <w:ind w:right="1440"/>
        <w:rPr>
          <w:sz w:val="26"/>
          <w:szCs w:val="26"/>
        </w:rPr>
      </w:pPr>
      <w:r>
        <w:rPr>
          <w:sz w:val="26"/>
          <w:szCs w:val="26"/>
        </w:rPr>
        <w:t>P</w:t>
      </w:r>
      <w:r w:rsidR="00592F85">
        <w:rPr>
          <w:sz w:val="26"/>
          <w:szCs w:val="26"/>
        </w:rPr>
        <w:t xml:space="preserve">rohibited from implementing any </w:t>
      </w:r>
      <w:r w:rsidR="00B43C2C">
        <w:rPr>
          <w:sz w:val="26"/>
          <w:szCs w:val="26"/>
        </w:rPr>
        <w:t>single-call</w:t>
      </w:r>
      <w:r w:rsidRPr="004215CC" w:rsidR="00AF0386">
        <w:rPr>
          <w:sz w:val="26"/>
          <w:szCs w:val="26"/>
        </w:rPr>
        <w:t xml:space="preserve">, paper bill, live agent, and automated payment fees </w:t>
      </w:r>
      <w:r w:rsidRPr="004215CC" w:rsidR="00E02711">
        <w:rPr>
          <w:sz w:val="26"/>
          <w:szCs w:val="26"/>
        </w:rPr>
        <w:t xml:space="preserve">in association with the provision of intrastate </w:t>
      </w:r>
      <w:r w:rsidR="00240826">
        <w:rPr>
          <w:sz w:val="26"/>
          <w:szCs w:val="26"/>
        </w:rPr>
        <w:t xml:space="preserve">and/or jurisdictionally mixed </w:t>
      </w:r>
      <w:r w:rsidR="00592F85">
        <w:rPr>
          <w:sz w:val="26"/>
          <w:szCs w:val="26"/>
        </w:rPr>
        <w:t>IPCS</w:t>
      </w:r>
      <w:r w:rsidR="00BD41CD">
        <w:rPr>
          <w:sz w:val="26"/>
          <w:szCs w:val="26"/>
        </w:rPr>
        <w:t xml:space="preserve">; </w:t>
      </w:r>
    </w:p>
    <w:p w:rsidR="001801EE" w:rsidP="000941E9" w:rsidRDefault="001801EE" w14:paraId="57EBC8DE" w14:textId="75F5A656">
      <w:pPr>
        <w:pStyle w:val="OP"/>
        <w:numPr>
          <w:ilvl w:val="7"/>
          <w:numId w:val="1"/>
        </w:numPr>
        <w:spacing w:after="120" w:line="240" w:lineRule="auto"/>
        <w:ind w:right="1440"/>
        <w:rPr>
          <w:sz w:val="26"/>
          <w:szCs w:val="26"/>
        </w:rPr>
      </w:pPr>
      <w:r>
        <w:rPr>
          <w:sz w:val="26"/>
          <w:szCs w:val="26"/>
        </w:rPr>
        <w:t>L</w:t>
      </w:r>
      <w:r w:rsidR="00957C7E">
        <w:rPr>
          <w:sz w:val="26"/>
          <w:szCs w:val="26"/>
        </w:rPr>
        <w:t>imit</w:t>
      </w:r>
      <w:r w:rsidR="008E4F12">
        <w:rPr>
          <w:sz w:val="26"/>
          <w:szCs w:val="26"/>
        </w:rPr>
        <w:t>ed in the</w:t>
      </w:r>
      <w:r w:rsidR="00957C7E">
        <w:rPr>
          <w:sz w:val="26"/>
          <w:szCs w:val="26"/>
        </w:rPr>
        <w:t xml:space="preserve"> collection of third-party financial transaction fees </w:t>
      </w:r>
      <w:r w:rsidR="00DC4A28">
        <w:rPr>
          <w:sz w:val="26"/>
          <w:szCs w:val="26"/>
        </w:rPr>
        <w:t>to</w:t>
      </w:r>
      <w:r w:rsidR="00240826">
        <w:rPr>
          <w:sz w:val="26"/>
          <w:szCs w:val="26"/>
        </w:rPr>
        <w:t xml:space="preserve"> the</w:t>
      </w:r>
      <w:r w:rsidR="00DC4A28">
        <w:rPr>
          <w:sz w:val="26"/>
          <w:szCs w:val="26"/>
        </w:rPr>
        <w:t xml:space="preserve"> </w:t>
      </w:r>
      <w:r w:rsidRPr="004215CC" w:rsidR="00AF0386">
        <w:rPr>
          <w:sz w:val="26"/>
          <w:szCs w:val="26"/>
        </w:rPr>
        <w:t xml:space="preserve">pass through </w:t>
      </w:r>
      <w:r w:rsidR="00DC4A28">
        <w:rPr>
          <w:sz w:val="26"/>
          <w:szCs w:val="26"/>
        </w:rPr>
        <w:t xml:space="preserve">of the exact fee </w:t>
      </w:r>
      <w:r w:rsidRPr="004215CC" w:rsidR="00AF0386">
        <w:rPr>
          <w:sz w:val="26"/>
          <w:szCs w:val="26"/>
        </w:rPr>
        <w:t>only, with no mark up</w:t>
      </w:r>
      <w:r w:rsidR="0050441E">
        <w:rPr>
          <w:sz w:val="26"/>
          <w:szCs w:val="26"/>
        </w:rPr>
        <w:t>,</w:t>
      </w:r>
      <w:r w:rsidR="009C6DBB">
        <w:rPr>
          <w:sz w:val="26"/>
          <w:szCs w:val="26"/>
        </w:rPr>
        <w:t xml:space="preserve"> and excluding any credit card charges</w:t>
      </w:r>
      <w:r w:rsidRPr="004215CC" w:rsidR="00AF0386">
        <w:rPr>
          <w:sz w:val="26"/>
          <w:szCs w:val="26"/>
        </w:rPr>
        <w:t xml:space="preserve">, </w:t>
      </w:r>
      <w:r w:rsidRPr="004215CC" w:rsidR="00AC2BB7">
        <w:rPr>
          <w:sz w:val="26"/>
          <w:szCs w:val="26"/>
        </w:rPr>
        <w:t xml:space="preserve">up to a cap of $6.95 per </w:t>
      </w:r>
      <w:r w:rsidRPr="40AD9B3F" w:rsidR="4947F69D">
        <w:rPr>
          <w:sz w:val="26"/>
          <w:szCs w:val="26"/>
        </w:rPr>
        <w:t>transaction</w:t>
      </w:r>
      <w:r w:rsidR="00674134">
        <w:rPr>
          <w:sz w:val="26"/>
          <w:szCs w:val="26"/>
        </w:rPr>
        <w:t xml:space="preserve">; </w:t>
      </w:r>
    </w:p>
    <w:p w:rsidR="001801EE" w:rsidP="000941E9" w:rsidRDefault="001801EE" w14:paraId="102A6835" w14:textId="27022759">
      <w:pPr>
        <w:pStyle w:val="OP"/>
        <w:numPr>
          <w:ilvl w:val="7"/>
          <w:numId w:val="1"/>
        </w:numPr>
        <w:spacing w:after="120" w:line="240" w:lineRule="auto"/>
        <w:ind w:right="1440"/>
        <w:rPr>
          <w:sz w:val="26"/>
          <w:szCs w:val="26"/>
        </w:rPr>
      </w:pPr>
      <w:r>
        <w:rPr>
          <w:sz w:val="26"/>
          <w:szCs w:val="26"/>
        </w:rPr>
        <w:t>L</w:t>
      </w:r>
      <w:r w:rsidR="00674134">
        <w:rPr>
          <w:sz w:val="26"/>
          <w:szCs w:val="26"/>
        </w:rPr>
        <w:t>imit</w:t>
      </w:r>
      <w:r w:rsidR="008E4F12">
        <w:rPr>
          <w:sz w:val="26"/>
          <w:szCs w:val="26"/>
        </w:rPr>
        <w:t>ed in the</w:t>
      </w:r>
      <w:r w:rsidR="00674134">
        <w:rPr>
          <w:sz w:val="26"/>
          <w:szCs w:val="26"/>
        </w:rPr>
        <w:t xml:space="preserve"> collection of </w:t>
      </w:r>
      <w:r w:rsidRPr="004215CC" w:rsidR="00AF0386">
        <w:rPr>
          <w:sz w:val="26"/>
          <w:szCs w:val="26"/>
        </w:rPr>
        <w:t>government</w:t>
      </w:r>
      <w:r w:rsidR="00D85588">
        <w:rPr>
          <w:sz w:val="26"/>
          <w:szCs w:val="26"/>
        </w:rPr>
        <w:t>-mandated</w:t>
      </w:r>
      <w:r w:rsidRPr="004215CC" w:rsidR="00AF0386">
        <w:rPr>
          <w:sz w:val="26"/>
          <w:szCs w:val="26"/>
        </w:rPr>
        <w:t xml:space="preserve"> taxes and fees</w:t>
      </w:r>
      <w:r w:rsidR="00674134">
        <w:rPr>
          <w:sz w:val="26"/>
          <w:szCs w:val="26"/>
        </w:rPr>
        <w:t xml:space="preserve"> to </w:t>
      </w:r>
      <w:r w:rsidR="00240826">
        <w:rPr>
          <w:sz w:val="26"/>
          <w:szCs w:val="26"/>
        </w:rPr>
        <w:t>the</w:t>
      </w:r>
      <w:r w:rsidR="00674134">
        <w:rPr>
          <w:sz w:val="26"/>
          <w:szCs w:val="26"/>
        </w:rPr>
        <w:t xml:space="preserve"> </w:t>
      </w:r>
      <w:r w:rsidRPr="004215CC" w:rsidR="00674134">
        <w:rPr>
          <w:sz w:val="26"/>
          <w:szCs w:val="26"/>
        </w:rPr>
        <w:t xml:space="preserve">pass through </w:t>
      </w:r>
      <w:r w:rsidR="00674134">
        <w:rPr>
          <w:sz w:val="26"/>
          <w:szCs w:val="26"/>
        </w:rPr>
        <w:t xml:space="preserve">of the exact fee </w:t>
      </w:r>
      <w:r w:rsidRPr="004215CC" w:rsidR="00674134">
        <w:rPr>
          <w:sz w:val="26"/>
          <w:szCs w:val="26"/>
        </w:rPr>
        <w:t>only, with no mark up</w:t>
      </w:r>
      <w:r w:rsidR="00674134">
        <w:rPr>
          <w:sz w:val="26"/>
          <w:szCs w:val="26"/>
        </w:rPr>
        <w:t xml:space="preserve">; </w:t>
      </w:r>
    </w:p>
    <w:p w:rsidRPr="004215CC" w:rsidR="00AF0386" w:rsidP="000941E9" w:rsidRDefault="001801EE" w14:paraId="4CF1E94A" w14:textId="019660E3">
      <w:pPr>
        <w:pStyle w:val="OP"/>
        <w:numPr>
          <w:ilvl w:val="7"/>
          <w:numId w:val="1"/>
        </w:numPr>
        <w:spacing w:after="120" w:line="240" w:lineRule="auto"/>
        <w:ind w:right="1440"/>
        <w:rPr>
          <w:sz w:val="26"/>
          <w:szCs w:val="26"/>
        </w:rPr>
      </w:pPr>
      <w:r>
        <w:rPr>
          <w:sz w:val="26"/>
          <w:szCs w:val="26"/>
        </w:rPr>
        <w:t>P</w:t>
      </w:r>
      <w:r w:rsidRPr="004215CC" w:rsidR="00AF0386">
        <w:rPr>
          <w:sz w:val="26"/>
          <w:szCs w:val="26"/>
        </w:rPr>
        <w:t>rohibit</w:t>
      </w:r>
      <w:r w:rsidR="008E4F12">
        <w:rPr>
          <w:sz w:val="26"/>
          <w:szCs w:val="26"/>
        </w:rPr>
        <w:t>ed from imposing</w:t>
      </w:r>
      <w:r w:rsidRPr="004215CC" w:rsidR="00AF0386">
        <w:rPr>
          <w:sz w:val="26"/>
          <w:szCs w:val="26"/>
        </w:rPr>
        <w:t xml:space="preserve"> any other type of </w:t>
      </w:r>
      <w:r w:rsidR="00903C36">
        <w:rPr>
          <w:sz w:val="26"/>
          <w:szCs w:val="26"/>
        </w:rPr>
        <w:t>ancillary fee</w:t>
      </w:r>
      <w:r w:rsidR="00BC602D">
        <w:rPr>
          <w:sz w:val="26"/>
          <w:szCs w:val="26"/>
        </w:rPr>
        <w:t xml:space="preserve"> or service charge not explicitly approved here</w:t>
      </w:r>
      <w:r>
        <w:rPr>
          <w:sz w:val="26"/>
          <w:szCs w:val="26"/>
        </w:rPr>
        <w:t>;</w:t>
      </w:r>
    </w:p>
    <w:p w:rsidRPr="004215CC" w:rsidR="00AF0386" w:rsidP="000941E9" w:rsidRDefault="001801EE" w14:paraId="6369A05E" w14:textId="1F6D96E0">
      <w:pPr>
        <w:pStyle w:val="OP"/>
        <w:numPr>
          <w:ilvl w:val="7"/>
          <w:numId w:val="1"/>
        </w:numPr>
        <w:spacing w:after="120" w:line="240" w:lineRule="auto"/>
        <w:ind w:right="1440"/>
        <w:rPr>
          <w:sz w:val="26"/>
          <w:szCs w:val="26"/>
        </w:rPr>
      </w:pPr>
      <w:r>
        <w:rPr>
          <w:sz w:val="26"/>
          <w:szCs w:val="26"/>
        </w:rPr>
        <w:t>D</w:t>
      </w:r>
      <w:r w:rsidR="00871E6D">
        <w:rPr>
          <w:sz w:val="26"/>
          <w:szCs w:val="26"/>
        </w:rPr>
        <w:t xml:space="preserve">irected </w:t>
      </w:r>
      <w:r w:rsidRPr="004215CC" w:rsidR="00AF0386">
        <w:rPr>
          <w:sz w:val="26"/>
          <w:szCs w:val="26"/>
        </w:rPr>
        <w:t xml:space="preserve">to each </w:t>
      </w:r>
      <w:r w:rsidR="002C04D5">
        <w:rPr>
          <w:sz w:val="26"/>
          <w:szCs w:val="26"/>
        </w:rPr>
        <w:t>email</w:t>
      </w:r>
      <w:r w:rsidRPr="004215CC" w:rsidR="00AF0386">
        <w:rPr>
          <w:sz w:val="26"/>
          <w:szCs w:val="26"/>
        </w:rPr>
        <w:t xml:space="preserve"> a Notice of Compliance </w:t>
      </w:r>
      <w:r w:rsidR="002C04D5">
        <w:rPr>
          <w:sz w:val="26"/>
          <w:szCs w:val="26"/>
        </w:rPr>
        <w:t>to the Director of the Communications Division</w:t>
      </w:r>
      <w:r w:rsidRPr="004215CC" w:rsidR="00AF0386">
        <w:rPr>
          <w:sz w:val="26"/>
          <w:szCs w:val="26"/>
        </w:rPr>
        <w:t xml:space="preserve"> </w:t>
      </w:r>
      <w:r w:rsidR="000A0001">
        <w:rPr>
          <w:sz w:val="26"/>
          <w:szCs w:val="26"/>
        </w:rPr>
        <w:t>at cddirector@cpuc.ca.gov</w:t>
      </w:r>
      <w:r w:rsidRPr="004215CC" w:rsidR="00AF0386">
        <w:rPr>
          <w:sz w:val="26"/>
          <w:szCs w:val="26"/>
        </w:rPr>
        <w:t xml:space="preserve"> confirming implementation of the </w:t>
      </w:r>
      <w:r w:rsidRPr="004215CC" w:rsidR="00AF0386">
        <w:rPr>
          <w:sz w:val="26"/>
          <w:szCs w:val="26"/>
        </w:rPr>
        <w:lastRenderedPageBreak/>
        <w:t>interim</w:t>
      </w:r>
      <w:r w:rsidRPr="004215CC" w:rsidR="00E02711">
        <w:rPr>
          <w:sz w:val="26"/>
          <w:szCs w:val="26"/>
        </w:rPr>
        <w:t xml:space="preserve"> rate cap of $0.07 per minute and the </w:t>
      </w:r>
      <w:r w:rsidRPr="004215CC" w:rsidR="00AF0386">
        <w:rPr>
          <w:sz w:val="26"/>
          <w:szCs w:val="26"/>
        </w:rPr>
        <w:t xml:space="preserve">ancillary fee requirements adopted </w:t>
      </w:r>
      <w:r w:rsidRPr="004215CC" w:rsidR="00E02711">
        <w:rPr>
          <w:sz w:val="26"/>
          <w:szCs w:val="26"/>
        </w:rPr>
        <w:t xml:space="preserve">here </w:t>
      </w:r>
      <w:r w:rsidRPr="004215CC" w:rsidR="00AF0386">
        <w:rPr>
          <w:sz w:val="26"/>
          <w:szCs w:val="26"/>
        </w:rPr>
        <w:t>across all of their IPCS contracts, accounts, and facilities in California and including the following information:</w:t>
      </w:r>
    </w:p>
    <w:p w:rsidRPr="00AF0386" w:rsidR="00AF0386" w:rsidP="00966C42" w:rsidRDefault="00AF0386" w14:paraId="663A10E2" w14:textId="45312126">
      <w:pPr>
        <w:pStyle w:val="OP"/>
        <w:keepNext/>
        <w:keepLines/>
        <w:numPr>
          <w:ilvl w:val="0"/>
          <w:numId w:val="46"/>
        </w:numPr>
        <w:spacing w:after="120" w:line="240" w:lineRule="auto"/>
        <w:ind w:left="1440" w:right="1440"/>
        <w:rPr>
          <w:sz w:val="26"/>
          <w:szCs w:val="26"/>
        </w:rPr>
      </w:pPr>
      <w:r w:rsidRPr="00AF0386">
        <w:rPr>
          <w:sz w:val="26"/>
          <w:szCs w:val="26"/>
        </w:rPr>
        <w:t>Attestation that the interim ancillary service fee requirements adopted here have been implemented at any and all facilities served by the carrier in California</w:t>
      </w:r>
      <w:r w:rsidR="00D85588">
        <w:rPr>
          <w:sz w:val="26"/>
          <w:szCs w:val="26"/>
        </w:rPr>
        <w:t>;</w:t>
      </w:r>
    </w:p>
    <w:p w:rsidRPr="00AF0386" w:rsidR="00AF0386" w:rsidP="00966C42" w:rsidRDefault="00AF0386" w14:paraId="5CA6AD07" w14:textId="08D1862D">
      <w:pPr>
        <w:pStyle w:val="OP"/>
        <w:numPr>
          <w:ilvl w:val="0"/>
          <w:numId w:val="46"/>
        </w:numPr>
        <w:spacing w:after="120" w:line="240" w:lineRule="auto"/>
        <w:ind w:left="1440" w:right="1440"/>
        <w:rPr>
          <w:sz w:val="26"/>
          <w:szCs w:val="26"/>
        </w:rPr>
      </w:pPr>
      <w:r w:rsidRPr="00AF0386">
        <w:rPr>
          <w:sz w:val="26"/>
          <w:szCs w:val="26"/>
        </w:rPr>
        <w:t>Copies of or links to carrier webpages where the interim ancillary service fee requirements adopted here are presented for facilities located in California</w:t>
      </w:r>
      <w:r w:rsidR="00D85588">
        <w:rPr>
          <w:sz w:val="26"/>
          <w:szCs w:val="26"/>
        </w:rPr>
        <w:t>;</w:t>
      </w:r>
    </w:p>
    <w:p w:rsidRPr="00AF0386" w:rsidR="00AF0386" w:rsidP="00966C42" w:rsidRDefault="00AF0386" w14:paraId="0148DA36" w14:textId="691517E1">
      <w:pPr>
        <w:pStyle w:val="OP"/>
        <w:numPr>
          <w:ilvl w:val="0"/>
          <w:numId w:val="46"/>
        </w:numPr>
        <w:spacing w:after="120" w:line="240" w:lineRule="auto"/>
        <w:ind w:left="1440" w:right="1440"/>
        <w:rPr>
          <w:sz w:val="26"/>
          <w:szCs w:val="26"/>
        </w:rPr>
      </w:pPr>
      <w:r w:rsidRPr="00AF0386">
        <w:rPr>
          <w:sz w:val="26"/>
          <w:szCs w:val="26"/>
        </w:rPr>
        <w:t>Copies of notices provided to facilities of the interim ancillary service fee requirements adopted here</w:t>
      </w:r>
      <w:r w:rsidR="00D85588">
        <w:rPr>
          <w:sz w:val="26"/>
          <w:szCs w:val="26"/>
        </w:rPr>
        <w:t>;</w:t>
      </w:r>
    </w:p>
    <w:p w:rsidRPr="009B2988" w:rsidR="00AF0386" w:rsidP="00966C42" w:rsidRDefault="00AF0386" w14:paraId="62E7F5F9" w14:textId="69420108">
      <w:pPr>
        <w:pStyle w:val="OP"/>
        <w:numPr>
          <w:ilvl w:val="0"/>
          <w:numId w:val="46"/>
        </w:numPr>
        <w:spacing w:after="120" w:line="240" w:lineRule="auto"/>
        <w:ind w:left="1440" w:right="1440"/>
        <w:rPr>
          <w:sz w:val="26"/>
          <w:szCs w:val="26"/>
        </w:rPr>
      </w:pPr>
      <w:r w:rsidRPr="00AF0386">
        <w:rPr>
          <w:sz w:val="26"/>
          <w:szCs w:val="26"/>
        </w:rPr>
        <w:t>Copies of notices to incarcerated people of the interim</w:t>
      </w:r>
      <w:r w:rsidR="00A628E0">
        <w:rPr>
          <w:sz w:val="26"/>
          <w:szCs w:val="26"/>
        </w:rPr>
        <w:t xml:space="preserve"> </w:t>
      </w:r>
      <w:r w:rsidRPr="009B2988">
        <w:rPr>
          <w:sz w:val="26"/>
          <w:szCs w:val="26"/>
        </w:rPr>
        <w:t>ancillary service fee requirements adopted here</w:t>
      </w:r>
      <w:r w:rsidR="00D85588">
        <w:rPr>
          <w:sz w:val="26"/>
          <w:szCs w:val="26"/>
        </w:rPr>
        <w:t>;</w:t>
      </w:r>
    </w:p>
    <w:p w:rsidR="00E22C3F" w:rsidP="002622F6" w:rsidRDefault="00FB20B4" w14:paraId="262C824C" w14:textId="7EA161E4">
      <w:pPr>
        <w:pStyle w:val="OP"/>
        <w:numPr>
          <w:ilvl w:val="7"/>
          <w:numId w:val="1"/>
        </w:numPr>
        <w:spacing w:after="120" w:line="240" w:lineRule="auto"/>
        <w:ind w:right="1440"/>
        <w:rPr>
          <w:sz w:val="26"/>
          <w:szCs w:val="26"/>
        </w:rPr>
      </w:pPr>
      <w:r>
        <w:rPr>
          <w:sz w:val="26"/>
          <w:szCs w:val="26"/>
        </w:rPr>
        <w:t>D</w:t>
      </w:r>
      <w:r w:rsidR="00A628E0">
        <w:rPr>
          <w:sz w:val="26"/>
          <w:szCs w:val="26"/>
        </w:rPr>
        <w:t xml:space="preserve">irected </w:t>
      </w:r>
      <w:r w:rsidRPr="00472730" w:rsidR="009B2988">
        <w:rPr>
          <w:sz w:val="26"/>
          <w:szCs w:val="26"/>
        </w:rPr>
        <w:t>to</w:t>
      </w:r>
      <w:r w:rsidR="00551CE4">
        <w:rPr>
          <w:sz w:val="26"/>
          <w:szCs w:val="26"/>
        </w:rPr>
        <w:t xml:space="preserve"> </w:t>
      </w:r>
      <w:r w:rsidRPr="00551CE4" w:rsidR="00551CE4">
        <w:rPr>
          <w:sz w:val="26"/>
          <w:szCs w:val="26"/>
        </w:rPr>
        <w:t>fully disclose the rate caps and ancillary fee requirements adopted here on their websites, bills, and marketing material</w:t>
      </w:r>
      <w:r w:rsidR="0057666C">
        <w:rPr>
          <w:sz w:val="26"/>
          <w:szCs w:val="26"/>
        </w:rPr>
        <w:t xml:space="preserve"> </w:t>
      </w:r>
      <w:r w:rsidR="00A9209E">
        <w:rPr>
          <w:sz w:val="26"/>
          <w:szCs w:val="26"/>
        </w:rPr>
        <w:t xml:space="preserve">in English, Spanish and any other language prevalent in the incarceration facilities, </w:t>
      </w:r>
      <w:r w:rsidR="0057666C">
        <w:rPr>
          <w:sz w:val="26"/>
          <w:szCs w:val="26"/>
        </w:rPr>
        <w:t xml:space="preserve">including </w:t>
      </w:r>
      <w:r w:rsidRPr="00C747D7" w:rsidR="00C747D7">
        <w:rPr>
          <w:sz w:val="26"/>
          <w:szCs w:val="26"/>
        </w:rPr>
        <w:t>inform</w:t>
      </w:r>
      <w:r w:rsidR="0057666C">
        <w:rPr>
          <w:sz w:val="26"/>
          <w:szCs w:val="26"/>
        </w:rPr>
        <w:t>ing</w:t>
      </w:r>
      <w:r w:rsidRPr="00C747D7" w:rsidR="00C747D7">
        <w:rPr>
          <w:sz w:val="26"/>
          <w:szCs w:val="26"/>
        </w:rPr>
        <w:t xml:space="preserve"> the incarcerated of methods to lodge service quality complaints with the Commission</w:t>
      </w:r>
      <w:r w:rsidR="00FC19A1">
        <w:rPr>
          <w:sz w:val="26"/>
          <w:szCs w:val="26"/>
        </w:rPr>
        <w:t xml:space="preserve">, </w:t>
      </w:r>
      <w:r w:rsidR="00E22C3F">
        <w:rPr>
          <w:sz w:val="26"/>
          <w:szCs w:val="26"/>
        </w:rPr>
        <w:t xml:space="preserve">and to </w:t>
      </w:r>
      <w:r w:rsidRPr="002B665B" w:rsidR="00E22C3F">
        <w:rPr>
          <w:sz w:val="26"/>
          <w:szCs w:val="26"/>
        </w:rPr>
        <w:t xml:space="preserve">maintain information on </w:t>
      </w:r>
      <w:r w:rsidR="00E22C3F">
        <w:rPr>
          <w:sz w:val="26"/>
          <w:szCs w:val="26"/>
        </w:rPr>
        <w:t>the adopted rate</w:t>
      </w:r>
      <w:r w:rsidRPr="002B665B" w:rsidR="00E22C3F">
        <w:rPr>
          <w:sz w:val="26"/>
          <w:szCs w:val="26"/>
        </w:rPr>
        <w:t xml:space="preserve"> </w:t>
      </w:r>
      <w:r w:rsidR="00936A5F">
        <w:rPr>
          <w:sz w:val="26"/>
          <w:szCs w:val="26"/>
        </w:rPr>
        <w:t xml:space="preserve">and ancillary fee requirements </w:t>
      </w:r>
      <w:r w:rsidR="00E22C3F">
        <w:rPr>
          <w:sz w:val="26"/>
          <w:szCs w:val="26"/>
        </w:rPr>
        <w:t xml:space="preserve">clearly and prominently </w:t>
      </w:r>
      <w:r w:rsidRPr="002B665B" w:rsidR="00E22C3F">
        <w:rPr>
          <w:sz w:val="26"/>
          <w:szCs w:val="26"/>
        </w:rPr>
        <w:t>on their websites</w:t>
      </w:r>
      <w:r w:rsidR="00D85588">
        <w:rPr>
          <w:sz w:val="26"/>
          <w:szCs w:val="26"/>
        </w:rPr>
        <w:t>;</w:t>
      </w:r>
      <w:r w:rsidR="00B43C2C">
        <w:rPr>
          <w:sz w:val="26"/>
          <w:szCs w:val="26"/>
        </w:rPr>
        <w:t xml:space="preserve"> and,</w:t>
      </w:r>
    </w:p>
    <w:p w:rsidR="00C17C76" w:rsidP="002622F6" w:rsidRDefault="0015158D" w14:paraId="4F20AA83" w14:textId="2966758F">
      <w:pPr>
        <w:pStyle w:val="OP"/>
        <w:numPr>
          <w:ilvl w:val="7"/>
          <w:numId w:val="1"/>
        </w:numPr>
        <w:spacing w:after="120" w:line="240" w:lineRule="auto"/>
        <w:ind w:right="1440"/>
        <w:rPr>
          <w:sz w:val="26"/>
          <w:szCs w:val="26"/>
        </w:rPr>
      </w:pPr>
      <w:r>
        <w:rPr>
          <w:sz w:val="26"/>
          <w:szCs w:val="26"/>
        </w:rPr>
        <w:t>Directed to each e</w:t>
      </w:r>
      <w:r w:rsidR="002C04D5">
        <w:rPr>
          <w:sz w:val="26"/>
          <w:szCs w:val="26"/>
        </w:rPr>
        <w:t xml:space="preserve">mail </w:t>
      </w:r>
      <w:r w:rsidRPr="00C17C76" w:rsidR="00C17C76">
        <w:rPr>
          <w:sz w:val="26"/>
          <w:szCs w:val="26"/>
        </w:rPr>
        <w:t xml:space="preserve">an Interim Rate Compliance Report </w:t>
      </w:r>
      <w:r w:rsidR="00B07DE7">
        <w:rPr>
          <w:sz w:val="26"/>
          <w:szCs w:val="26"/>
        </w:rPr>
        <w:t xml:space="preserve">(Report) </w:t>
      </w:r>
      <w:r w:rsidRPr="00C17C76" w:rsidR="00C17C76">
        <w:rPr>
          <w:sz w:val="26"/>
          <w:szCs w:val="26"/>
        </w:rPr>
        <w:t xml:space="preserve">to the Director of the Communications Division </w:t>
      </w:r>
      <w:r w:rsidR="003046D5">
        <w:rPr>
          <w:sz w:val="26"/>
          <w:szCs w:val="26"/>
        </w:rPr>
        <w:t>at cddirector@cpuc.ca.gov</w:t>
      </w:r>
      <w:r w:rsidR="00B43C2C">
        <w:rPr>
          <w:sz w:val="26"/>
          <w:szCs w:val="26"/>
        </w:rPr>
        <w:t>,</w:t>
      </w:r>
      <w:r w:rsidRPr="00C17C76" w:rsidR="00C17C76">
        <w:rPr>
          <w:sz w:val="26"/>
          <w:szCs w:val="26"/>
        </w:rPr>
        <w:t xml:space="preserve"> and on a quarterly basis thereafter while the interim rates adopted here are in effect</w:t>
      </w:r>
      <w:r w:rsidR="00C17C76">
        <w:rPr>
          <w:sz w:val="26"/>
          <w:szCs w:val="26"/>
        </w:rPr>
        <w:t>, an</w:t>
      </w:r>
      <w:r w:rsidR="00C64F0A">
        <w:rPr>
          <w:sz w:val="26"/>
          <w:szCs w:val="26"/>
        </w:rPr>
        <w:t>d</w:t>
      </w:r>
      <w:r w:rsidR="00C17C76">
        <w:rPr>
          <w:sz w:val="26"/>
          <w:szCs w:val="26"/>
        </w:rPr>
        <w:t xml:space="preserve"> </w:t>
      </w:r>
      <w:r w:rsidRPr="00C17C76" w:rsidR="00C17C76">
        <w:rPr>
          <w:sz w:val="26"/>
          <w:szCs w:val="26"/>
        </w:rPr>
        <w:t xml:space="preserve">include </w:t>
      </w:r>
      <w:r w:rsidR="00B07DE7">
        <w:rPr>
          <w:sz w:val="26"/>
          <w:szCs w:val="26"/>
        </w:rPr>
        <w:t xml:space="preserve">in the Report </w:t>
      </w:r>
      <w:r w:rsidRPr="00C17C76" w:rsidR="00C17C76">
        <w:rPr>
          <w:sz w:val="26"/>
          <w:szCs w:val="26"/>
        </w:rPr>
        <w:t>a revenue breakdown of billed interstate and intrastate minutes of use, and a revenue breakdown of billed ancillary interstate and intrastate fees over a period of thirty days.</w:t>
      </w:r>
    </w:p>
    <w:p w:rsidR="00570D50" w:rsidP="002622F6" w:rsidRDefault="00E22C3F" w14:paraId="090D1881" w14:textId="6D93F940">
      <w:pPr>
        <w:pStyle w:val="OP"/>
        <w:numPr>
          <w:ilvl w:val="6"/>
          <w:numId w:val="1"/>
        </w:numPr>
        <w:tabs>
          <w:tab w:val="clear" w:pos="1080"/>
        </w:tabs>
        <w:ind w:left="0" w:firstLine="360"/>
        <w:rPr>
          <w:sz w:val="26"/>
          <w:szCs w:val="26"/>
        </w:rPr>
      </w:pPr>
      <w:r>
        <w:rPr>
          <w:sz w:val="26"/>
          <w:szCs w:val="26"/>
        </w:rPr>
        <w:t>A</w:t>
      </w:r>
      <w:r w:rsidRPr="004215CC">
        <w:rPr>
          <w:sz w:val="26"/>
          <w:szCs w:val="26"/>
        </w:rPr>
        <w:t>ll</w:t>
      </w:r>
      <w:r>
        <w:rPr>
          <w:sz w:val="26"/>
          <w:szCs w:val="26"/>
        </w:rPr>
        <w:t xml:space="preserve"> telephone corporations providing</w:t>
      </w:r>
      <w:r w:rsidRPr="004215CC">
        <w:rPr>
          <w:sz w:val="26"/>
          <w:szCs w:val="26"/>
        </w:rPr>
        <w:t xml:space="preserve"> intrastate incarcerated person’s calling service</w:t>
      </w:r>
      <w:r>
        <w:rPr>
          <w:sz w:val="26"/>
          <w:szCs w:val="26"/>
        </w:rPr>
        <w:t>s</w:t>
      </w:r>
      <w:r w:rsidRPr="004215CC">
        <w:rPr>
          <w:sz w:val="26"/>
          <w:szCs w:val="26"/>
        </w:rPr>
        <w:t xml:space="preserve"> as defined in this decision</w:t>
      </w:r>
      <w:r w:rsidR="0028238B">
        <w:rPr>
          <w:sz w:val="26"/>
          <w:szCs w:val="26"/>
        </w:rPr>
        <w:t xml:space="preserve"> </w:t>
      </w:r>
      <w:r>
        <w:rPr>
          <w:sz w:val="26"/>
          <w:szCs w:val="26"/>
        </w:rPr>
        <w:t xml:space="preserve">are directed </w:t>
      </w:r>
      <w:r w:rsidRPr="00E208BE">
        <w:rPr>
          <w:sz w:val="26"/>
          <w:szCs w:val="26"/>
        </w:rPr>
        <w:t>to</w:t>
      </w:r>
      <w:r>
        <w:rPr>
          <w:sz w:val="26"/>
          <w:szCs w:val="26"/>
        </w:rPr>
        <w:t xml:space="preserve"> </w:t>
      </w:r>
      <w:r w:rsidR="005D2D6C">
        <w:rPr>
          <w:sz w:val="26"/>
          <w:szCs w:val="26"/>
        </w:rPr>
        <w:t>email to the Director of the Communications Division</w:t>
      </w:r>
      <w:r w:rsidR="003E529E">
        <w:rPr>
          <w:sz w:val="26"/>
          <w:szCs w:val="26"/>
        </w:rPr>
        <w:t xml:space="preserve"> at cddirector@cpuc.ca.gov</w:t>
      </w:r>
      <w:r w:rsidRPr="00472730" w:rsidR="009B2988">
        <w:rPr>
          <w:sz w:val="26"/>
          <w:szCs w:val="26"/>
        </w:rPr>
        <w:t xml:space="preserve"> a Plan for Notification to all current and prospective customers and account holders, draft notices </w:t>
      </w:r>
      <w:r w:rsidR="00651D2A">
        <w:rPr>
          <w:sz w:val="26"/>
          <w:szCs w:val="26"/>
        </w:rPr>
        <w:lastRenderedPageBreak/>
        <w:t xml:space="preserve">describing the </w:t>
      </w:r>
      <w:r w:rsidRPr="00472730" w:rsidR="009B2988">
        <w:rPr>
          <w:sz w:val="26"/>
          <w:szCs w:val="26"/>
        </w:rPr>
        <w:t xml:space="preserve">adopted </w:t>
      </w:r>
      <w:r w:rsidR="00331299">
        <w:rPr>
          <w:sz w:val="26"/>
          <w:szCs w:val="26"/>
        </w:rPr>
        <w:t xml:space="preserve">rates </w:t>
      </w:r>
      <w:r w:rsidR="0049264A">
        <w:rPr>
          <w:sz w:val="26"/>
          <w:szCs w:val="26"/>
        </w:rPr>
        <w:t xml:space="preserve">and </w:t>
      </w:r>
      <w:r w:rsidRPr="00472730" w:rsidR="009B2988">
        <w:rPr>
          <w:sz w:val="26"/>
          <w:szCs w:val="26"/>
        </w:rPr>
        <w:t>ancillary fee requirements, terms and conditions, refund policies and customer service contacts for websites, bill inserts, and marketing materials for review no later than 30 days from Commission issuance of this decisio</w:t>
      </w:r>
      <w:r w:rsidR="00804553">
        <w:rPr>
          <w:sz w:val="26"/>
          <w:szCs w:val="26"/>
        </w:rPr>
        <w:t xml:space="preserve">n, </w:t>
      </w:r>
      <w:r w:rsidR="00575CDB">
        <w:rPr>
          <w:sz w:val="26"/>
          <w:szCs w:val="26"/>
        </w:rPr>
        <w:t xml:space="preserve">including </w:t>
      </w:r>
      <w:r w:rsidRPr="00804553" w:rsidR="00804553">
        <w:rPr>
          <w:sz w:val="26"/>
          <w:szCs w:val="26"/>
        </w:rPr>
        <w:t>fee schedules and service-related information in English, Spanish and other languages prevalent in incarceration facilities</w:t>
      </w:r>
      <w:r w:rsidR="00580A50">
        <w:rPr>
          <w:sz w:val="26"/>
          <w:szCs w:val="26"/>
        </w:rPr>
        <w:t xml:space="preserve"> that include </w:t>
      </w:r>
      <w:r w:rsidRPr="73BF4038" w:rsidR="00176C3D">
        <w:rPr>
          <w:rFonts w:eastAsiaTheme="majorEastAsia" w:cstheme="majorBidi"/>
          <w:sz w:val="26"/>
          <w:szCs w:val="26"/>
        </w:rPr>
        <w:t>inform</w:t>
      </w:r>
      <w:r w:rsidR="00580A50">
        <w:rPr>
          <w:rFonts w:eastAsiaTheme="majorEastAsia" w:cstheme="majorBidi"/>
          <w:sz w:val="26"/>
          <w:szCs w:val="26"/>
        </w:rPr>
        <w:t>ing</w:t>
      </w:r>
      <w:r w:rsidRPr="73BF4038" w:rsidR="00176C3D">
        <w:rPr>
          <w:rFonts w:eastAsiaTheme="majorEastAsia" w:cstheme="majorBidi"/>
          <w:sz w:val="26"/>
          <w:szCs w:val="26"/>
        </w:rPr>
        <w:t xml:space="preserve"> the incarcerated of methods to lodge service quality complaints </w:t>
      </w:r>
      <w:r w:rsidR="00176C3D">
        <w:rPr>
          <w:rFonts w:eastAsiaTheme="majorEastAsia" w:cstheme="majorBidi"/>
          <w:sz w:val="26"/>
          <w:szCs w:val="26"/>
        </w:rPr>
        <w:t>as discussed in section 11</w:t>
      </w:r>
      <w:r w:rsidR="000063E7">
        <w:rPr>
          <w:rFonts w:eastAsiaTheme="majorEastAsia" w:cstheme="majorBidi"/>
          <w:sz w:val="26"/>
          <w:szCs w:val="26"/>
        </w:rPr>
        <w:t xml:space="preserve"> of this decision</w:t>
      </w:r>
      <w:r w:rsidRPr="00804553" w:rsidR="00804553">
        <w:rPr>
          <w:sz w:val="26"/>
          <w:szCs w:val="26"/>
        </w:rPr>
        <w:t xml:space="preserve">.  </w:t>
      </w:r>
    </w:p>
    <w:p w:rsidRPr="00472730" w:rsidR="009B2988" w:rsidP="002622F6" w:rsidRDefault="00A3659D" w14:paraId="53322ABB" w14:textId="23F2B8AD">
      <w:pPr>
        <w:pStyle w:val="OP"/>
        <w:numPr>
          <w:ilvl w:val="6"/>
          <w:numId w:val="1"/>
        </w:numPr>
        <w:tabs>
          <w:tab w:val="clear" w:pos="1080"/>
        </w:tabs>
        <w:ind w:left="0" w:firstLine="360"/>
        <w:rPr>
          <w:sz w:val="26"/>
          <w:szCs w:val="26"/>
        </w:rPr>
      </w:pPr>
      <w:r>
        <w:rPr>
          <w:sz w:val="26"/>
          <w:szCs w:val="26"/>
        </w:rPr>
        <w:t xml:space="preserve">Telephone corporations providing </w:t>
      </w:r>
      <w:r w:rsidR="0015158D">
        <w:rPr>
          <w:sz w:val="26"/>
          <w:szCs w:val="26"/>
        </w:rPr>
        <w:t>intrastate incarcerated person’s calling services (</w:t>
      </w:r>
      <w:r>
        <w:rPr>
          <w:sz w:val="26"/>
          <w:szCs w:val="26"/>
        </w:rPr>
        <w:t>IPCS</w:t>
      </w:r>
      <w:r w:rsidR="0015158D">
        <w:rPr>
          <w:sz w:val="26"/>
          <w:szCs w:val="26"/>
        </w:rPr>
        <w:t>)</w:t>
      </w:r>
      <w:r>
        <w:rPr>
          <w:sz w:val="26"/>
          <w:szCs w:val="26"/>
        </w:rPr>
        <w:t xml:space="preserve"> </w:t>
      </w:r>
      <w:r w:rsidRPr="009B2988" w:rsidR="009B2988">
        <w:rPr>
          <w:sz w:val="26"/>
          <w:szCs w:val="26"/>
        </w:rPr>
        <w:t xml:space="preserve">not explicitly identified in this decision must </w:t>
      </w:r>
      <w:r w:rsidR="00A42FA6">
        <w:rPr>
          <w:sz w:val="26"/>
          <w:szCs w:val="26"/>
        </w:rPr>
        <w:t>email</w:t>
      </w:r>
      <w:r w:rsidRPr="009B2988" w:rsidR="009B2988">
        <w:rPr>
          <w:sz w:val="26"/>
          <w:szCs w:val="26"/>
        </w:rPr>
        <w:t xml:space="preserve"> </w:t>
      </w:r>
      <w:r w:rsidR="00A42FA6">
        <w:rPr>
          <w:sz w:val="26"/>
          <w:szCs w:val="26"/>
        </w:rPr>
        <w:t>to the Director of the Communications Division</w:t>
      </w:r>
      <w:r w:rsidRPr="00472730" w:rsidR="00A42FA6">
        <w:rPr>
          <w:sz w:val="26"/>
          <w:szCs w:val="26"/>
        </w:rPr>
        <w:t xml:space="preserve"> </w:t>
      </w:r>
      <w:r w:rsidR="0010733D">
        <w:rPr>
          <w:sz w:val="26"/>
          <w:szCs w:val="26"/>
        </w:rPr>
        <w:t>at cddirector@cpuc.ca.gov</w:t>
      </w:r>
      <w:r w:rsidRPr="00472730" w:rsidR="00A42FA6">
        <w:rPr>
          <w:sz w:val="26"/>
          <w:szCs w:val="26"/>
        </w:rPr>
        <w:t xml:space="preserve"> </w:t>
      </w:r>
      <w:r w:rsidRPr="009B2988" w:rsidR="009B2988">
        <w:rPr>
          <w:sz w:val="26"/>
          <w:szCs w:val="26"/>
        </w:rPr>
        <w:t xml:space="preserve">a Notice of Compliance </w:t>
      </w:r>
      <w:r w:rsidR="00893E6F">
        <w:rPr>
          <w:sz w:val="26"/>
          <w:szCs w:val="26"/>
        </w:rPr>
        <w:t xml:space="preserve">with this decision </w:t>
      </w:r>
      <w:r w:rsidRPr="009B2988" w:rsidR="009B2988">
        <w:rPr>
          <w:sz w:val="26"/>
          <w:szCs w:val="26"/>
        </w:rPr>
        <w:t xml:space="preserve">to the Commission no later than 45 days after executing a contract to provide IPCS in California, </w:t>
      </w:r>
      <w:r w:rsidR="005A1362">
        <w:rPr>
          <w:sz w:val="26"/>
          <w:szCs w:val="26"/>
        </w:rPr>
        <w:t xml:space="preserve">must </w:t>
      </w:r>
      <w:r w:rsidRPr="002B665B" w:rsidR="005A1362">
        <w:rPr>
          <w:sz w:val="26"/>
          <w:szCs w:val="26"/>
        </w:rPr>
        <w:t xml:space="preserve">maintain information on </w:t>
      </w:r>
      <w:r w:rsidR="005A1362">
        <w:rPr>
          <w:sz w:val="26"/>
          <w:szCs w:val="26"/>
        </w:rPr>
        <w:t>the adopted rate</w:t>
      </w:r>
      <w:r w:rsidR="003639AE">
        <w:rPr>
          <w:sz w:val="26"/>
          <w:szCs w:val="26"/>
        </w:rPr>
        <w:t xml:space="preserve"> and ancillary fee requirements</w:t>
      </w:r>
      <w:r w:rsidRPr="002B665B" w:rsidR="005A1362">
        <w:rPr>
          <w:sz w:val="26"/>
          <w:szCs w:val="26"/>
        </w:rPr>
        <w:t xml:space="preserve"> </w:t>
      </w:r>
      <w:r w:rsidR="005A1362">
        <w:rPr>
          <w:sz w:val="26"/>
          <w:szCs w:val="26"/>
        </w:rPr>
        <w:t xml:space="preserve">clearly and prominently </w:t>
      </w:r>
      <w:r w:rsidRPr="002B665B" w:rsidR="005A1362">
        <w:rPr>
          <w:sz w:val="26"/>
          <w:szCs w:val="26"/>
        </w:rPr>
        <w:t>on their websites</w:t>
      </w:r>
      <w:r w:rsidR="002A2F70">
        <w:rPr>
          <w:sz w:val="26"/>
          <w:szCs w:val="26"/>
        </w:rPr>
        <w:t xml:space="preserve"> in English, Spanish and other languages prevalent in the incarceration facility</w:t>
      </w:r>
      <w:r w:rsidR="004B5698">
        <w:rPr>
          <w:sz w:val="26"/>
          <w:szCs w:val="26"/>
        </w:rPr>
        <w:t xml:space="preserve">, including </w:t>
      </w:r>
      <w:r w:rsidRPr="00580A50" w:rsidR="00580A50">
        <w:rPr>
          <w:sz w:val="26"/>
          <w:szCs w:val="26"/>
        </w:rPr>
        <w:t>inform</w:t>
      </w:r>
      <w:r w:rsidR="004B5698">
        <w:rPr>
          <w:sz w:val="26"/>
          <w:szCs w:val="26"/>
        </w:rPr>
        <w:t>ing</w:t>
      </w:r>
      <w:r w:rsidRPr="00580A50" w:rsidR="00580A50">
        <w:rPr>
          <w:sz w:val="26"/>
          <w:szCs w:val="26"/>
        </w:rPr>
        <w:t xml:space="preserve"> the incarcerated of methods to lodge service quality complaints with the Commission as discussed in section 11 of this decision</w:t>
      </w:r>
      <w:r w:rsidR="005A1362">
        <w:rPr>
          <w:sz w:val="26"/>
          <w:szCs w:val="26"/>
        </w:rPr>
        <w:t xml:space="preserve">, </w:t>
      </w:r>
      <w:r w:rsidRPr="009B2988" w:rsidR="009B2988">
        <w:rPr>
          <w:sz w:val="26"/>
          <w:szCs w:val="26"/>
        </w:rPr>
        <w:t xml:space="preserve">and must </w:t>
      </w:r>
      <w:r w:rsidR="009130FB">
        <w:rPr>
          <w:sz w:val="26"/>
          <w:szCs w:val="26"/>
        </w:rPr>
        <w:t>email to the Director of the Communications Division</w:t>
      </w:r>
      <w:r w:rsidRPr="009B2988" w:rsidR="009B2988">
        <w:rPr>
          <w:sz w:val="26"/>
          <w:szCs w:val="26"/>
        </w:rPr>
        <w:t xml:space="preserve"> </w:t>
      </w:r>
      <w:r w:rsidR="0010733D">
        <w:rPr>
          <w:sz w:val="26"/>
          <w:szCs w:val="26"/>
        </w:rPr>
        <w:t>at cddirector</w:t>
      </w:r>
      <w:r w:rsidR="00053C29">
        <w:rPr>
          <w:sz w:val="26"/>
          <w:szCs w:val="26"/>
        </w:rPr>
        <w:t>@cpuc.ca.gov</w:t>
      </w:r>
      <w:r w:rsidRPr="009B2988" w:rsidR="009B2988">
        <w:rPr>
          <w:sz w:val="26"/>
          <w:szCs w:val="26"/>
        </w:rPr>
        <w:t xml:space="preserve"> draft notices of the adopted rates, </w:t>
      </w:r>
      <w:r w:rsidR="00651D2A">
        <w:rPr>
          <w:sz w:val="26"/>
          <w:szCs w:val="26"/>
        </w:rPr>
        <w:t xml:space="preserve">ancillary fee requirements, </w:t>
      </w:r>
      <w:r w:rsidRPr="009B2988" w:rsidR="009B2988">
        <w:rPr>
          <w:sz w:val="26"/>
          <w:szCs w:val="26"/>
        </w:rPr>
        <w:t xml:space="preserve">terms and conditions, refund policies and customer service contacts for websites, bill inserts, and marketing materials for review no later than 30 days after executing a contract to provide IPCS in California. </w:t>
      </w:r>
    </w:p>
    <w:p w:rsidRPr="00472730" w:rsidR="00F304E6" w:rsidP="002622F6" w:rsidRDefault="005C156C" w14:paraId="468BF65B" w14:textId="27003F65">
      <w:pPr>
        <w:pStyle w:val="OP"/>
        <w:numPr>
          <w:ilvl w:val="6"/>
          <w:numId w:val="1"/>
        </w:numPr>
        <w:tabs>
          <w:tab w:val="clear" w:pos="1080"/>
        </w:tabs>
        <w:ind w:left="0" w:firstLine="360"/>
        <w:rPr>
          <w:sz w:val="26"/>
          <w:szCs w:val="26"/>
        </w:rPr>
      </w:pPr>
      <w:bookmarkStart w:name="_Hlk75430380" w:id="82"/>
      <w:r>
        <w:rPr>
          <w:sz w:val="26"/>
          <w:szCs w:val="26"/>
        </w:rPr>
        <w:t>We authorize the California Public Utilities Commission’s</w:t>
      </w:r>
      <w:r w:rsidRPr="005C156C">
        <w:rPr>
          <w:sz w:val="26"/>
          <w:szCs w:val="26"/>
        </w:rPr>
        <w:t xml:space="preserve"> Communications Division to assess fines pursuant to Resolution T-17601 and Public Utilities Code Sections 2107 and 2108 for </w:t>
      </w:r>
      <w:r w:rsidR="00651D2A">
        <w:rPr>
          <w:sz w:val="26"/>
          <w:szCs w:val="26"/>
        </w:rPr>
        <w:t xml:space="preserve">lack of </w:t>
      </w:r>
      <w:r w:rsidRPr="005C156C">
        <w:rPr>
          <w:sz w:val="26"/>
          <w:szCs w:val="26"/>
        </w:rPr>
        <w:t>compliance with this decision</w:t>
      </w:r>
      <w:r w:rsidR="00651D2A">
        <w:rPr>
          <w:sz w:val="26"/>
          <w:szCs w:val="26"/>
        </w:rPr>
        <w:t xml:space="preserve">, referring, </w:t>
      </w:r>
      <w:r w:rsidR="00C27B9A">
        <w:rPr>
          <w:sz w:val="26"/>
          <w:szCs w:val="26"/>
        </w:rPr>
        <w:t xml:space="preserve">for violations of </w:t>
      </w:r>
      <w:r w:rsidRPr="005C156C">
        <w:rPr>
          <w:sz w:val="26"/>
          <w:szCs w:val="26"/>
        </w:rPr>
        <w:t xml:space="preserve">this decision’s requirement for submittal of </w:t>
      </w:r>
      <w:r w:rsidR="00C27B9A">
        <w:rPr>
          <w:sz w:val="26"/>
          <w:szCs w:val="26"/>
        </w:rPr>
        <w:t xml:space="preserve">draft and final </w:t>
      </w:r>
      <w:r w:rsidRPr="005C156C">
        <w:rPr>
          <w:sz w:val="26"/>
          <w:szCs w:val="26"/>
        </w:rPr>
        <w:t>Notices of Compliance</w:t>
      </w:r>
      <w:r w:rsidR="00C27B9A">
        <w:rPr>
          <w:sz w:val="26"/>
          <w:szCs w:val="26"/>
        </w:rPr>
        <w:t xml:space="preserve"> and related materials, </w:t>
      </w:r>
      <w:r w:rsidRPr="005C156C">
        <w:rPr>
          <w:sz w:val="26"/>
          <w:szCs w:val="26"/>
        </w:rPr>
        <w:t xml:space="preserve">to Resolution </w:t>
      </w:r>
      <w:r w:rsidRPr="005C156C">
        <w:rPr>
          <w:sz w:val="26"/>
          <w:szCs w:val="26"/>
        </w:rPr>
        <w:lastRenderedPageBreak/>
        <w:t>T</w:t>
      </w:r>
      <w:r w:rsidR="002622F6">
        <w:rPr>
          <w:sz w:val="26"/>
          <w:szCs w:val="26"/>
        </w:rPr>
        <w:noBreakHyphen/>
      </w:r>
      <w:r w:rsidRPr="005C156C">
        <w:rPr>
          <w:sz w:val="26"/>
          <w:szCs w:val="26"/>
        </w:rPr>
        <w:t>17601</w:t>
      </w:r>
      <w:r w:rsidR="00651D2A">
        <w:rPr>
          <w:sz w:val="26"/>
          <w:szCs w:val="26"/>
        </w:rPr>
        <w:t xml:space="preserve">, and, </w:t>
      </w:r>
      <w:r w:rsidR="004051A4">
        <w:rPr>
          <w:sz w:val="26"/>
          <w:szCs w:val="26"/>
        </w:rPr>
        <w:t xml:space="preserve">for violations of </w:t>
      </w:r>
      <w:r w:rsidRPr="00FC0B48">
        <w:rPr>
          <w:sz w:val="26"/>
          <w:szCs w:val="26"/>
        </w:rPr>
        <w:t>this decision’s rate and ancillary fee requirements, Staff sh</w:t>
      </w:r>
      <w:r w:rsidR="007562C1">
        <w:rPr>
          <w:sz w:val="26"/>
          <w:szCs w:val="26"/>
        </w:rPr>
        <w:t>ould</w:t>
      </w:r>
      <w:r w:rsidRPr="00FC0B48">
        <w:rPr>
          <w:sz w:val="26"/>
          <w:szCs w:val="26"/>
        </w:rPr>
        <w:t xml:space="preserve"> develop a resolution proposing fines as authorized pursuant to </w:t>
      </w:r>
      <w:r w:rsidR="00FC0B48">
        <w:rPr>
          <w:sz w:val="26"/>
          <w:szCs w:val="26"/>
        </w:rPr>
        <w:t xml:space="preserve">Public Utilities Code </w:t>
      </w:r>
      <w:r w:rsidRPr="00FC0B48">
        <w:rPr>
          <w:sz w:val="26"/>
          <w:szCs w:val="26"/>
        </w:rPr>
        <w:t>Sections 2107 and 2108.</w:t>
      </w:r>
    </w:p>
    <w:bookmarkEnd w:id="82"/>
    <w:p w:rsidRPr="00287844" w:rsidR="00287844" w:rsidP="002622F6" w:rsidRDefault="002162A8" w14:paraId="7735F0E0" w14:textId="20E2E1C1">
      <w:pPr>
        <w:pStyle w:val="OP"/>
        <w:numPr>
          <w:ilvl w:val="6"/>
          <w:numId w:val="1"/>
        </w:numPr>
        <w:tabs>
          <w:tab w:val="clear" w:pos="1080"/>
        </w:tabs>
        <w:ind w:left="0" w:firstLine="360"/>
        <w:rPr>
          <w:sz w:val="26"/>
          <w:szCs w:val="26"/>
        </w:rPr>
      </w:pPr>
      <w:r w:rsidRPr="00A22C92">
        <w:rPr>
          <w:sz w:val="26"/>
          <w:szCs w:val="26"/>
        </w:rPr>
        <w:t>T</w:t>
      </w:r>
      <w:r w:rsidR="003832A5">
        <w:rPr>
          <w:sz w:val="26"/>
          <w:szCs w:val="26"/>
        </w:rPr>
        <w:t xml:space="preserve">he </w:t>
      </w:r>
      <w:r w:rsidRPr="00287844" w:rsidR="00287844">
        <w:rPr>
          <w:sz w:val="26"/>
          <w:szCs w:val="26"/>
        </w:rPr>
        <w:t xml:space="preserve">Commission’s Process Office </w:t>
      </w:r>
      <w:r w:rsidR="003832A5">
        <w:rPr>
          <w:sz w:val="26"/>
          <w:szCs w:val="26"/>
        </w:rPr>
        <w:t xml:space="preserve">shall </w:t>
      </w:r>
      <w:r w:rsidRPr="00287844" w:rsidR="00287844">
        <w:rPr>
          <w:sz w:val="26"/>
          <w:szCs w:val="26"/>
        </w:rPr>
        <w:t xml:space="preserve">move the following parties to </w:t>
      </w:r>
      <w:r w:rsidR="009E69D1">
        <w:rPr>
          <w:sz w:val="26"/>
          <w:szCs w:val="26"/>
        </w:rPr>
        <w:t>Rulemaking 20-10-002 to “</w:t>
      </w:r>
      <w:r w:rsidRPr="00287844" w:rsidR="00287844">
        <w:rPr>
          <w:sz w:val="26"/>
          <w:szCs w:val="26"/>
        </w:rPr>
        <w:t>information only</w:t>
      </w:r>
      <w:r w:rsidR="009E69D1">
        <w:rPr>
          <w:sz w:val="26"/>
          <w:szCs w:val="26"/>
        </w:rPr>
        <w:t>”</w:t>
      </w:r>
      <w:r w:rsidRPr="00287844" w:rsidR="00287844">
        <w:rPr>
          <w:sz w:val="26"/>
          <w:szCs w:val="26"/>
        </w:rPr>
        <w:t xml:space="preserve"> status no later than </w:t>
      </w:r>
      <w:r w:rsidR="009E69D1">
        <w:rPr>
          <w:sz w:val="26"/>
          <w:szCs w:val="26"/>
        </w:rPr>
        <w:t xml:space="preserve">15 days from </w:t>
      </w:r>
      <w:r w:rsidRPr="00287844" w:rsidR="00287844">
        <w:rPr>
          <w:sz w:val="26"/>
          <w:szCs w:val="26"/>
        </w:rPr>
        <w:t>Commission issuance of this decision:</w:t>
      </w:r>
    </w:p>
    <w:p w:rsidRPr="00287844" w:rsidR="00287844" w:rsidP="002622F6" w:rsidRDefault="00287844" w14:paraId="6B66B895" w14:textId="77777777">
      <w:pPr>
        <w:pStyle w:val="OP"/>
        <w:numPr>
          <w:ilvl w:val="7"/>
          <w:numId w:val="1"/>
        </w:numPr>
        <w:spacing w:after="120" w:line="240" w:lineRule="auto"/>
        <w:ind w:right="1440"/>
        <w:rPr>
          <w:sz w:val="26"/>
          <w:szCs w:val="26"/>
        </w:rPr>
      </w:pPr>
      <w:r w:rsidRPr="00287844">
        <w:rPr>
          <w:sz w:val="26"/>
          <w:szCs w:val="26"/>
        </w:rPr>
        <w:t xml:space="preserve">Charter </w:t>
      </w:r>
      <w:proofErr w:type="spellStart"/>
      <w:r w:rsidRPr="00287844">
        <w:rPr>
          <w:sz w:val="26"/>
          <w:szCs w:val="26"/>
        </w:rPr>
        <w:t>Fiberlink</w:t>
      </w:r>
      <w:proofErr w:type="spellEnd"/>
      <w:r w:rsidRPr="00287844">
        <w:rPr>
          <w:sz w:val="26"/>
          <w:szCs w:val="26"/>
        </w:rPr>
        <w:t xml:space="preserve"> CA-CCO, LLC, Time Warner Cable Information Services (California), LLC, and Bright House Networks Information Services (California), LLC;</w:t>
      </w:r>
    </w:p>
    <w:p w:rsidRPr="00287844" w:rsidR="00287844" w:rsidP="002622F6" w:rsidRDefault="00287844" w14:paraId="5EC42C08" w14:textId="77777777">
      <w:pPr>
        <w:pStyle w:val="OP"/>
        <w:numPr>
          <w:ilvl w:val="7"/>
          <w:numId w:val="1"/>
        </w:numPr>
        <w:spacing w:after="120" w:line="240" w:lineRule="auto"/>
        <w:ind w:right="1440"/>
        <w:rPr>
          <w:sz w:val="26"/>
          <w:szCs w:val="26"/>
        </w:rPr>
      </w:pPr>
      <w:r w:rsidRPr="00287844">
        <w:rPr>
          <w:sz w:val="26"/>
          <w:szCs w:val="26"/>
        </w:rPr>
        <w:t>Cox California Telecom, LLC;</w:t>
      </w:r>
    </w:p>
    <w:p w:rsidRPr="00287844" w:rsidR="00287844" w:rsidP="002622F6" w:rsidRDefault="00287844" w14:paraId="26DA0B25" w14:textId="2143D318">
      <w:pPr>
        <w:pStyle w:val="OP"/>
        <w:numPr>
          <w:ilvl w:val="7"/>
          <w:numId w:val="1"/>
        </w:numPr>
        <w:spacing w:after="120" w:line="240" w:lineRule="auto"/>
        <w:ind w:right="1440"/>
        <w:rPr>
          <w:sz w:val="26"/>
          <w:szCs w:val="26"/>
        </w:rPr>
      </w:pPr>
      <w:r w:rsidRPr="00287844">
        <w:rPr>
          <w:sz w:val="26"/>
          <w:szCs w:val="26"/>
        </w:rPr>
        <w:t>AT&amp;T Corporation (collectively Pacific Bell Telephone Company d/b/a AT&amp;T California, AT&amp;T Corp., Teleport Communications America, LLC, and SBC Long Distance, LCC d/b/a AT&amp;T Long Distance);</w:t>
      </w:r>
      <w:r w:rsidR="000F40C8">
        <w:rPr>
          <w:sz w:val="26"/>
          <w:szCs w:val="26"/>
        </w:rPr>
        <w:t xml:space="preserve"> and,</w:t>
      </w:r>
    </w:p>
    <w:p w:rsidRPr="00287844" w:rsidR="00287844" w:rsidP="002622F6" w:rsidRDefault="00287844" w14:paraId="15EA54EC" w14:textId="42060960">
      <w:pPr>
        <w:pStyle w:val="OP"/>
        <w:numPr>
          <w:ilvl w:val="7"/>
          <w:numId w:val="1"/>
        </w:numPr>
        <w:spacing w:after="120" w:line="240" w:lineRule="auto"/>
        <w:ind w:right="1440"/>
        <w:rPr>
          <w:sz w:val="26"/>
          <w:szCs w:val="26"/>
        </w:rPr>
      </w:pPr>
      <w:r w:rsidRPr="00287844">
        <w:rPr>
          <w:sz w:val="26"/>
          <w:szCs w:val="26"/>
        </w:rPr>
        <w:t>Comcast Phone of California, LLC</w:t>
      </w:r>
      <w:r w:rsidR="000F40C8">
        <w:rPr>
          <w:sz w:val="26"/>
          <w:szCs w:val="26"/>
        </w:rPr>
        <w:t>.</w:t>
      </w:r>
      <w:r w:rsidRPr="00287844">
        <w:rPr>
          <w:sz w:val="26"/>
          <w:szCs w:val="26"/>
        </w:rPr>
        <w:t xml:space="preserve"> </w:t>
      </w:r>
    </w:p>
    <w:p w:rsidRPr="00A22C92" w:rsidR="002162A8" w:rsidP="006A5986" w:rsidRDefault="00287844" w14:paraId="7878ADEE" w14:textId="25C37D3B">
      <w:pPr>
        <w:pStyle w:val="OP"/>
        <w:numPr>
          <w:ilvl w:val="6"/>
          <w:numId w:val="1"/>
        </w:numPr>
        <w:tabs>
          <w:tab w:val="clear" w:pos="1080"/>
        </w:tabs>
        <w:ind w:left="0" w:firstLine="360"/>
        <w:rPr>
          <w:sz w:val="26"/>
          <w:szCs w:val="26"/>
        </w:rPr>
      </w:pPr>
      <w:r w:rsidRPr="006A5986">
        <w:rPr>
          <w:sz w:val="26"/>
          <w:szCs w:val="26"/>
        </w:rPr>
        <w:t>T</w:t>
      </w:r>
      <w:r w:rsidRPr="006A5986" w:rsidR="002162A8">
        <w:rPr>
          <w:sz w:val="26"/>
          <w:szCs w:val="26"/>
        </w:rPr>
        <w:t>he</w:t>
      </w:r>
      <w:r w:rsidRPr="00A22C92" w:rsidR="002162A8">
        <w:rPr>
          <w:sz w:val="26"/>
          <w:szCs w:val="26"/>
        </w:rPr>
        <w:t xml:space="preserve"> Commission’s Process Office shall remove all parties not indicated below </w:t>
      </w:r>
      <w:r w:rsidR="003832A5">
        <w:rPr>
          <w:sz w:val="26"/>
          <w:szCs w:val="26"/>
        </w:rPr>
        <w:t xml:space="preserve">or in Ordering Paragraph </w:t>
      </w:r>
      <w:r w:rsidR="00B43C2C">
        <w:rPr>
          <w:sz w:val="26"/>
          <w:szCs w:val="26"/>
        </w:rPr>
        <w:t>8</w:t>
      </w:r>
      <w:r w:rsidR="003832A5">
        <w:rPr>
          <w:sz w:val="26"/>
          <w:szCs w:val="26"/>
        </w:rPr>
        <w:t xml:space="preserve"> </w:t>
      </w:r>
      <w:r w:rsidRPr="00A22C92" w:rsidR="002162A8">
        <w:rPr>
          <w:sz w:val="26"/>
          <w:szCs w:val="26"/>
        </w:rPr>
        <w:t>from the R</w:t>
      </w:r>
      <w:r w:rsidR="009E69D1">
        <w:rPr>
          <w:sz w:val="26"/>
          <w:szCs w:val="26"/>
        </w:rPr>
        <w:t xml:space="preserve">ulemaking </w:t>
      </w:r>
      <w:r w:rsidRPr="00A22C92" w:rsidR="002162A8">
        <w:rPr>
          <w:sz w:val="26"/>
          <w:szCs w:val="26"/>
        </w:rPr>
        <w:t>20-10-002 service list no later than 15 days from Commission issuance of this decision:</w:t>
      </w:r>
    </w:p>
    <w:p w:rsidRPr="002162A8" w:rsidR="002162A8" w:rsidP="002622F6" w:rsidRDefault="002162A8" w14:paraId="48B576B3" w14:textId="77777777">
      <w:pPr>
        <w:pStyle w:val="OP"/>
        <w:numPr>
          <w:ilvl w:val="7"/>
          <w:numId w:val="1"/>
        </w:numPr>
        <w:spacing w:after="120" w:line="240" w:lineRule="auto"/>
        <w:ind w:right="1440"/>
        <w:rPr>
          <w:sz w:val="26"/>
          <w:szCs w:val="26"/>
        </w:rPr>
      </w:pPr>
      <w:r w:rsidRPr="002162A8">
        <w:rPr>
          <w:sz w:val="26"/>
          <w:szCs w:val="26"/>
        </w:rPr>
        <w:t>Securus Technologies, LLC;</w:t>
      </w:r>
    </w:p>
    <w:p w:rsidRPr="002162A8" w:rsidR="002162A8" w:rsidP="002622F6" w:rsidRDefault="002162A8" w14:paraId="749798F3" w14:textId="77777777">
      <w:pPr>
        <w:pStyle w:val="OP"/>
        <w:numPr>
          <w:ilvl w:val="7"/>
          <w:numId w:val="1"/>
        </w:numPr>
        <w:spacing w:after="120" w:line="240" w:lineRule="auto"/>
        <w:ind w:right="1440"/>
        <w:rPr>
          <w:sz w:val="26"/>
          <w:szCs w:val="26"/>
        </w:rPr>
      </w:pPr>
      <w:r w:rsidRPr="002162A8">
        <w:rPr>
          <w:sz w:val="26"/>
          <w:szCs w:val="26"/>
        </w:rPr>
        <w:t xml:space="preserve">Global Tel*Link (GTL); Inmate Calling Solutions, LLC; </w:t>
      </w:r>
    </w:p>
    <w:p w:rsidR="002162A8" w:rsidP="002622F6" w:rsidRDefault="002162A8" w14:paraId="76D3A001" w14:textId="635D0CC2">
      <w:pPr>
        <w:pStyle w:val="OP"/>
        <w:numPr>
          <w:ilvl w:val="7"/>
          <w:numId w:val="1"/>
        </w:numPr>
        <w:spacing w:after="120" w:line="240" w:lineRule="auto"/>
        <w:ind w:right="1440"/>
        <w:rPr>
          <w:sz w:val="26"/>
          <w:szCs w:val="26"/>
        </w:rPr>
      </w:pPr>
      <w:r w:rsidRPr="002162A8">
        <w:rPr>
          <w:sz w:val="26"/>
          <w:szCs w:val="26"/>
        </w:rPr>
        <w:t>NCIC Inmate Communications;</w:t>
      </w:r>
    </w:p>
    <w:p w:rsidR="00B43C2C" w:rsidP="002622F6" w:rsidRDefault="00B43C2C" w14:paraId="03BF670A" w14:textId="7A25F20D">
      <w:pPr>
        <w:pStyle w:val="OP"/>
        <w:numPr>
          <w:ilvl w:val="7"/>
          <w:numId w:val="1"/>
        </w:numPr>
        <w:spacing w:after="120" w:line="240" w:lineRule="auto"/>
        <w:ind w:right="1440"/>
        <w:rPr>
          <w:sz w:val="26"/>
          <w:szCs w:val="26"/>
        </w:rPr>
      </w:pPr>
      <w:r>
        <w:rPr>
          <w:sz w:val="26"/>
          <w:szCs w:val="26"/>
        </w:rPr>
        <w:t>Pay Tel Communications, Inc.;</w:t>
      </w:r>
    </w:p>
    <w:p w:rsidR="00B43C2C" w:rsidP="002622F6" w:rsidRDefault="00B43C2C" w14:paraId="1CC3C5D9" w14:textId="36A9DF07">
      <w:pPr>
        <w:pStyle w:val="OP"/>
        <w:numPr>
          <w:ilvl w:val="7"/>
          <w:numId w:val="1"/>
        </w:numPr>
        <w:spacing w:after="120" w:line="240" w:lineRule="auto"/>
        <w:ind w:right="1440"/>
        <w:rPr>
          <w:sz w:val="26"/>
          <w:szCs w:val="26"/>
        </w:rPr>
      </w:pPr>
      <w:r>
        <w:rPr>
          <w:sz w:val="26"/>
          <w:szCs w:val="26"/>
        </w:rPr>
        <w:t>Legacy Inmate Communications, Inc.;</w:t>
      </w:r>
    </w:p>
    <w:p w:rsidR="00B43C2C" w:rsidP="002622F6" w:rsidRDefault="00B43C2C" w14:paraId="2DDDF047" w14:textId="097E7859">
      <w:pPr>
        <w:pStyle w:val="OP"/>
        <w:numPr>
          <w:ilvl w:val="7"/>
          <w:numId w:val="1"/>
        </w:numPr>
        <w:spacing w:after="120" w:line="240" w:lineRule="auto"/>
        <w:ind w:right="1440"/>
        <w:rPr>
          <w:sz w:val="26"/>
          <w:szCs w:val="26"/>
        </w:rPr>
      </w:pPr>
      <w:r>
        <w:rPr>
          <w:sz w:val="26"/>
          <w:szCs w:val="26"/>
        </w:rPr>
        <w:t>Public Communications Services, Inc.;</w:t>
      </w:r>
    </w:p>
    <w:p w:rsidR="00B43C2C" w:rsidP="002622F6" w:rsidRDefault="00B43C2C" w14:paraId="53DBA34E" w14:textId="5CC5A61C">
      <w:pPr>
        <w:pStyle w:val="OP"/>
        <w:numPr>
          <w:ilvl w:val="7"/>
          <w:numId w:val="1"/>
        </w:numPr>
        <w:spacing w:after="120" w:line="240" w:lineRule="auto"/>
        <w:ind w:right="1440"/>
        <w:rPr>
          <w:sz w:val="26"/>
          <w:szCs w:val="26"/>
        </w:rPr>
      </w:pPr>
      <w:proofErr w:type="spellStart"/>
      <w:r>
        <w:rPr>
          <w:sz w:val="26"/>
          <w:szCs w:val="26"/>
        </w:rPr>
        <w:t>Telmate</w:t>
      </w:r>
      <w:proofErr w:type="spellEnd"/>
      <w:r>
        <w:rPr>
          <w:sz w:val="26"/>
          <w:szCs w:val="26"/>
        </w:rPr>
        <w:t>, LLC;</w:t>
      </w:r>
    </w:p>
    <w:p w:rsidRPr="002162A8" w:rsidR="00B43C2C" w:rsidP="002622F6" w:rsidRDefault="00B43C2C" w14:paraId="25827031" w14:textId="198BF48C">
      <w:pPr>
        <w:pStyle w:val="OP"/>
        <w:numPr>
          <w:ilvl w:val="7"/>
          <w:numId w:val="1"/>
        </w:numPr>
        <w:spacing w:after="120" w:line="240" w:lineRule="auto"/>
        <w:ind w:right="1440"/>
        <w:rPr>
          <w:sz w:val="26"/>
          <w:szCs w:val="26"/>
        </w:rPr>
      </w:pPr>
      <w:r>
        <w:rPr>
          <w:sz w:val="26"/>
          <w:szCs w:val="26"/>
        </w:rPr>
        <w:t>Value-Added Communications, Inc.;</w:t>
      </w:r>
    </w:p>
    <w:p w:rsidRPr="002162A8" w:rsidR="002162A8" w:rsidP="002622F6" w:rsidRDefault="002162A8" w14:paraId="2FAE3EC6" w14:textId="77777777">
      <w:pPr>
        <w:pStyle w:val="OP"/>
        <w:numPr>
          <w:ilvl w:val="7"/>
          <w:numId w:val="1"/>
        </w:numPr>
        <w:spacing w:after="120" w:line="240" w:lineRule="auto"/>
        <w:ind w:right="1440"/>
        <w:rPr>
          <w:sz w:val="26"/>
          <w:szCs w:val="26"/>
        </w:rPr>
      </w:pPr>
      <w:r w:rsidRPr="002162A8">
        <w:rPr>
          <w:sz w:val="26"/>
          <w:szCs w:val="26"/>
        </w:rPr>
        <w:t xml:space="preserve">Californians for Jail and Prison Phone Justice Coalition; </w:t>
      </w:r>
    </w:p>
    <w:p w:rsidRPr="002162A8" w:rsidR="002162A8" w:rsidP="002622F6" w:rsidRDefault="002162A8" w14:paraId="4AAB07DF" w14:textId="77777777">
      <w:pPr>
        <w:pStyle w:val="OP"/>
        <w:numPr>
          <w:ilvl w:val="7"/>
          <w:numId w:val="1"/>
        </w:numPr>
        <w:spacing w:after="120" w:line="240" w:lineRule="auto"/>
        <w:ind w:right="1440"/>
        <w:rPr>
          <w:sz w:val="26"/>
          <w:szCs w:val="26"/>
        </w:rPr>
      </w:pPr>
      <w:r w:rsidRPr="002162A8">
        <w:rPr>
          <w:sz w:val="26"/>
          <w:szCs w:val="26"/>
        </w:rPr>
        <w:t xml:space="preserve">Center for Accessible Technologies; </w:t>
      </w:r>
    </w:p>
    <w:p w:rsidRPr="002162A8" w:rsidR="002162A8" w:rsidP="002622F6" w:rsidRDefault="002162A8" w14:paraId="1E59DCF7" w14:textId="77777777">
      <w:pPr>
        <w:pStyle w:val="OP"/>
        <w:numPr>
          <w:ilvl w:val="7"/>
          <w:numId w:val="1"/>
        </w:numPr>
        <w:spacing w:after="120" w:line="240" w:lineRule="auto"/>
        <w:ind w:right="1440"/>
        <w:rPr>
          <w:sz w:val="26"/>
          <w:szCs w:val="26"/>
        </w:rPr>
      </w:pPr>
      <w:r w:rsidRPr="002162A8">
        <w:rPr>
          <w:sz w:val="26"/>
          <w:szCs w:val="26"/>
        </w:rPr>
        <w:t xml:space="preserve">Greenlining Institute; </w:t>
      </w:r>
    </w:p>
    <w:p w:rsidRPr="002162A8" w:rsidR="002162A8" w:rsidP="002622F6" w:rsidRDefault="002162A8" w14:paraId="787EB93B" w14:textId="77777777">
      <w:pPr>
        <w:pStyle w:val="OP"/>
        <w:numPr>
          <w:ilvl w:val="7"/>
          <w:numId w:val="1"/>
        </w:numPr>
        <w:spacing w:after="120" w:line="240" w:lineRule="auto"/>
        <w:ind w:right="1440"/>
        <w:rPr>
          <w:sz w:val="26"/>
          <w:szCs w:val="26"/>
        </w:rPr>
      </w:pPr>
      <w:r w:rsidRPr="002162A8">
        <w:rPr>
          <w:sz w:val="26"/>
          <w:szCs w:val="26"/>
        </w:rPr>
        <w:lastRenderedPageBreak/>
        <w:t>Media Alliance;</w:t>
      </w:r>
    </w:p>
    <w:p w:rsidRPr="002162A8" w:rsidR="002162A8" w:rsidP="002622F6" w:rsidRDefault="002162A8" w14:paraId="309513E8" w14:textId="77777777">
      <w:pPr>
        <w:pStyle w:val="OP"/>
        <w:numPr>
          <w:ilvl w:val="7"/>
          <w:numId w:val="1"/>
        </w:numPr>
        <w:spacing w:after="120" w:line="240" w:lineRule="auto"/>
        <w:ind w:right="1440"/>
        <w:rPr>
          <w:sz w:val="26"/>
          <w:szCs w:val="26"/>
        </w:rPr>
      </w:pPr>
      <w:r w:rsidRPr="002162A8">
        <w:rPr>
          <w:sz w:val="26"/>
          <w:szCs w:val="26"/>
        </w:rPr>
        <w:t>Prison Policy Initiative, Inc.;</w:t>
      </w:r>
    </w:p>
    <w:p w:rsidRPr="002162A8" w:rsidR="002162A8" w:rsidP="002622F6" w:rsidRDefault="002162A8" w14:paraId="62296E57" w14:textId="77777777">
      <w:pPr>
        <w:pStyle w:val="OP"/>
        <w:numPr>
          <w:ilvl w:val="7"/>
          <w:numId w:val="1"/>
        </w:numPr>
        <w:spacing w:after="120" w:line="240" w:lineRule="auto"/>
        <w:ind w:right="1440"/>
        <w:rPr>
          <w:sz w:val="26"/>
          <w:szCs w:val="26"/>
        </w:rPr>
      </w:pPr>
      <w:r w:rsidRPr="002162A8">
        <w:rPr>
          <w:sz w:val="26"/>
          <w:szCs w:val="26"/>
        </w:rPr>
        <w:t>Public Advocates Office;</w:t>
      </w:r>
    </w:p>
    <w:p w:rsidRPr="002162A8" w:rsidR="002162A8" w:rsidP="002622F6" w:rsidRDefault="002162A8" w14:paraId="6A7AEF3F" w14:textId="77777777">
      <w:pPr>
        <w:pStyle w:val="OP"/>
        <w:numPr>
          <w:ilvl w:val="7"/>
          <w:numId w:val="1"/>
        </w:numPr>
        <w:spacing w:after="120" w:line="240" w:lineRule="auto"/>
        <w:ind w:right="1440"/>
        <w:rPr>
          <w:sz w:val="26"/>
          <w:szCs w:val="26"/>
        </w:rPr>
      </w:pPr>
      <w:r w:rsidRPr="002162A8">
        <w:rPr>
          <w:sz w:val="26"/>
          <w:szCs w:val="26"/>
        </w:rPr>
        <w:t>Returning Home Foundation;</w:t>
      </w:r>
    </w:p>
    <w:p w:rsidRPr="002162A8" w:rsidR="002162A8" w:rsidP="002622F6" w:rsidRDefault="002162A8" w14:paraId="09393675" w14:textId="77777777">
      <w:pPr>
        <w:pStyle w:val="OP"/>
        <w:numPr>
          <w:ilvl w:val="7"/>
          <w:numId w:val="1"/>
        </w:numPr>
        <w:spacing w:after="120" w:line="240" w:lineRule="auto"/>
        <w:ind w:right="1440"/>
        <w:rPr>
          <w:sz w:val="26"/>
          <w:szCs w:val="26"/>
        </w:rPr>
      </w:pPr>
      <w:r w:rsidRPr="002162A8">
        <w:rPr>
          <w:sz w:val="26"/>
          <w:szCs w:val="26"/>
        </w:rPr>
        <w:t>Root and Rebound;</w:t>
      </w:r>
    </w:p>
    <w:p w:rsidRPr="002162A8" w:rsidR="002162A8" w:rsidP="002622F6" w:rsidRDefault="002162A8" w14:paraId="72EACF90" w14:textId="77777777">
      <w:pPr>
        <w:pStyle w:val="OP"/>
        <w:numPr>
          <w:ilvl w:val="7"/>
          <w:numId w:val="1"/>
        </w:numPr>
        <w:spacing w:after="120" w:line="240" w:lineRule="auto"/>
        <w:ind w:right="1440"/>
        <w:rPr>
          <w:sz w:val="26"/>
          <w:szCs w:val="26"/>
        </w:rPr>
      </w:pPr>
      <w:r w:rsidRPr="002162A8">
        <w:rPr>
          <w:sz w:val="26"/>
          <w:szCs w:val="26"/>
        </w:rPr>
        <w:t>The Utility Reform Network;</w:t>
      </w:r>
    </w:p>
    <w:p w:rsidRPr="002162A8" w:rsidR="002162A8" w:rsidP="002622F6" w:rsidRDefault="002162A8" w14:paraId="3529B5D5" w14:textId="77777777">
      <w:pPr>
        <w:pStyle w:val="OP"/>
        <w:numPr>
          <w:ilvl w:val="7"/>
          <w:numId w:val="1"/>
        </w:numPr>
        <w:spacing w:after="120" w:line="240" w:lineRule="auto"/>
        <w:ind w:right="1440"/>
        <w:rPr>
          <w:sz w:val="26"/>
          <w:szCs w:val="26"/>
        </w:rPr>
      </w:pPr>
      <w:r w:rsidRPr="002162A8">
        <w:rPr>
          <w:sz w:val="26"/>
          <w:szCs w:val="26"/>
        </w:rPr>
        <w:t>Youth Law Center;</w:t>
      </w:r>
    </w:p>
    <w:p w:rsidRPr="002162A8" w:rsidR="002162A8" w:rsidP="002622F6" w:rsidRDefault="002162A8" w14:paraId="1C318339" w14:textId="77777777">
      <w:pPr>
        <w:pStyle w:val="OP"/>
        <w:numPr>
          <w:ilvl w:val="7"/>
          <w:numId w:val="1"/>
        </w:numPr>
        <w:spacing w:after="120" w:line="240" w:lineRule="auto"/>
        <w:ind w:right="1440"/>
        <w:rPr>
          <w:sz w:val="26"/>
          <w:szCs w:val="26"/>
        </w:rPr>
      </w:pPr>
      <w:r w:rsidRPr="002162A8">
        <w:rPr>
          <w:sz w:val="26"/>
          <w:szCs w:val="26"/>
        </w:rPr>
        <w:t>MCI Communications Services LLC and MCI Metro Access Transmission Services Corp. (Verizon);</w:t>
      </w:r>
    </w:p>
    <w:p w:rsidRPr="002162A8" w:rsidR="002162A8" w:rsidP="002622F6" w:rsidRDefault="002162A8" w14:paraId="3283E931" w14:textId="77777777">
      <w:pPr>
        <w:pStyle w:val="OP"/>
        <w:numPr>
          <w:ilvl w:val="7"/>
          <w:numId w:val="1"/>
        </w:numPr>
        <w:spacing w:after="120" w:line="240" w:lineRule="auto"/>
        <w:ind w:right="1440"/>
        <w:rPr>
          <w:sz w:val="26"/>
          <w:szCs w:val="26"/>
        </w:rPr>
      </w:pPr>
      <w:proofErr w:type="spellStart"/>
      <w:r w:rsidRPr="002162A8">
        <w:rPr>
          <w:sz w:val="26"/>
          <w:szCs w:val="26"/>
        </w:rPr>
        <w:t>Intelletrace</w:t>
      </w:r>
      <w:proofErr w:type="spellEnd"/>
      <w:r w:rsidRPr="002162A8">
        <w:rPr>
          <w:sz w:val="26"/>
          <w:szCs w:val="26"/>
        </w:rPr>
        <w:t>, Inc.;</w:t>
      </w:r>
    </w:p>
    <w:p w:rsidRPr="002162A8" w:rsidR="002162A8" w:rsidP="002622F6" w:rsidRDefault="002162A8" w14:paraId="0995BB38" w14:textId="43B5348E">
      <w:pPr>
        <w:pStyle w:val="OP"/>
        <w:numPr>
          <w:ilvl w:val="7"/>
          <w:numId w:val="1"/>
        </w:numPr>
        <w:spacing w:after="120" w:line="240" w:lineRule="auto"/>
        <w:ind w:right="1440"/>
        <w:rPr>
          <w:sz w:val="26"/>
          <w:szCs w:val="26"/>
        </w:rPr>
      </w:pPr>
      <w:r w:rsidRPr="002162A8">
        <w:rPr>
          <w:sz w:val="26"/>
          <w:szCs w:val="26"/>
        </w:rPr>
        <w:t>Southern California Edison;</w:t>
      </w:r>
    </w:p>
    <w:p w:rsidRPr="002162A8" w:rsidR="002162A8" w:rsidP="002622F6" w:rsidRDefault="002162A8" w14:paraId="503C1295" w14:textId="77777777">
      <w:pPr>
        <w:pStyle w:val="OP"/>
        <w:numPr>
          <w:ilvl w:val="7"/>
          <w:numId w:val="1"/>
        </w:numPr>
        <w:spacing w:after="120" w:line="240" w:lineRule="auto"/>
        <w:ind w:right="1440"/>
        <w:rPr>
          <w:sz w:val="26"/>
          <w:szCs w:val="26"/>
        </w:rPr>
      </w:pPr>
      <w:r w:rsidRPr="002162A8">
        <w:rPr>
          <w:sz w:val="26"/>
          <w:szCs w:val="26"/>
        </w:rPr>
        <w:t xml:space="preserve">Frontier California Inc.; </w:t>
      </w:r>
    </w:p>
    <w:p w:rsidRPr="002162A8" w:rsidR="002162A8" w:rsidP="002622F6" w:rsidRDefault="002162A8" w14:paraId="2BA1C3A9" w14:textId="77777777">
      <w:pPr>
        <w:pStyle w:val="OP"/>
        <w:numPr>
          <w:ilvl w:val="7"/>
          <w:numId w:val="1"/>
        </w:numPr>
        <w:spacing w:after="120" w:line="240" w:lineRule="auto"/>
        <w:ind w:right="1440"/>
        <w:rPr>
          <w:sz w:val="26"/>
          <w:szCs w:val="26"/>
        </w:rPr>
      </w:pPr>
      <w:r w:rsidRPr="002162A8">
        <w:rPr>
          <w:sz w:val="26"/>
          <w:szCs w:val="26"/>
        </w:rPr>
        <w:t>Citizens Telecommunications Company of California Inc.;</w:t>
      </w:r>
    </w:p>
    <w:p w:rsidRPr="002162A8" w:rsidR="002162A8" w:rsidP="002622F6" w:rsidRDefault="002162A8" w14:paraId="77DBE296" w14:textId="77777777">
      <w:pPr>
        <w:pStyle w:val="OP"/>
        <w:numPr>
          <w:ilvl w:val="7"/>
          <w:numId w:val="1"/>
        </w:numPr>
        <w:spacing w:after="120" w:line="240" w:lineRule="auto"/>
        <w:ind w:right="1440"/>
        <w:rPr>
          <w:sz w:val="26"/>
          <w:szCs w:val="26"/>
        </w:rPr>
      </w:pPr>
      <w:r w:rsidRPr="002162A8">
        <w:rPr>
          <w:sz w:val="26"/>
          <w:szCs w:val="26"/>
        </w:rPr>
        <w:t>Frontier Communications of the Southwest Inc.;</w:t>
      </w:r>
    </w:p>
    <w:p w:rsidRPr="002162A8" w:rsidR="002162A8" w:rsidP="002622F6" w:rsidRDefault="002162A8" w14:paraId="49909D89" w14:textId="77777777">
      <w:pPr>
        <w:pStyle w:val="OP"/>
        <w:numPr>
          <w:ilvl w:val="7"/>
          <w:numId w:val="1"/>
        </w:numPr>
        <w:spacing w:after="120" w:line="240" w:lineRule="auto"/>
        <w:ind w:right="1440"/>
        <w:rPr>
          <w:sz w:val="26"/>
          <w:szCs w:val="26"/>
        </w:rPr>
      </w:pPr>
      <w:r w:rsidRPr="002162A8">
        <w:rPr>
          <w:sz w:val="26"/>
          <w:szCs w:val="26"/>
        </w:rPr>
        <w:t>Frontier Communications Online and Long Distance Inc.;</w:t>
      </w:r>
    </w:p>
    <w:p w:rsidRPr="002162A8" w:rsidR="002162A8" w:rsidP="002622F6" w:rsidRDefault="002162A8" w14:paraId="4BF87326" w14:textId="77777777">
      <w:pPr>
        <w:pStyle w:val="OP"/>
        <w:numPr>
          <w:ilvl w:val="7"/>
          <w:numId w:val="1"/>
        </w:numPr>
        <w:spacing w:after="120" w:line="240" w:lineRule="auto"/>
        <w:ind w:right="1440"/>
        <w:rPr>
          <w:sz w:val="26"/>
          <w:szCs w:val="26"/>
        </w:rPr>
      </w:pPr>
      <w:r w:rsidRPr="002162A8">
        <w:rPr>
          <w:sz w:val="26"/>
          <w:szCs w:val="26"/>
        </w:rPr>
        <w:t>Frontier Communications of America, Inc.;</w:t>
      </w:r>
    </w:p>
    <w:p w:rsidRPr="002162A8" w:rsidR="002162A8" w:rsidP="002622F6" w:rsidRDefault="002162A8" w14:paraId="1566659A" w14:textId="77777777">
      <w:pPr>
        <w:pStyle w:val="OP"/>
        <w:numPr>
          <w:ilvl w:val="7"/>
          <w:numId w:val="1"/>
        </w:numPr>
        <w:spacing w:after="120" w:line="240" w:lineRule="auto"/>
        <w:ind w:left="1620" w:hanging="540"/>
        <w:rPr>
          <w:sz w:val="26"/>
          <w:szCs w:val="26"/>
        </w:rPr>
      </w:pPr>
      <w:r w:rsidRPr="002162A8">
        <w:rPr>
          <w:sz w:val="26"/>
          <w:szCs w:val="26"/>
        </w:rPr>
        <w:t>Cal-Ore Telephone Co.;</w:t>
      </w:r>
    </w:p>
    <w:p w:rsidRPr="002162A8" w:rsidR="002162A8" w:rsidP="002622F6" w:rsidRDefault="002162A8" w14:paraId="145494E6" w14:textId="77777777">
      <w:pPr>
        <w:pStyle w:val="OP"/>
        <w:numPr>
          <w:ilvl w:val="7"/>
          <w:numId w:val="1"/>
        </w:numPr>
        <w:spacing w:after="120" w:line="240" w:lineRule="auto"/>
        <w:ind w:left="1620" w:hanging="540"/>
        <w:rPr>
          <w:sz w:val="26"/>
          <w:szCs w:val="26"/>
        </w:rPr>
      </w:pPr>
      <w:proofErr w:type="spellStart"/>
      <w:r w:rsidRPr="002162A8">
        <w:rPr>
          <w:sz w:val="26"/>
          <w:szCs w:val="26"/>
        </w:rPr>
        <w:t>Ducor</w:t>
      </w:r>
      <w:proofErr w:type="spellEnd"/>
      <w:r w:rsidRPr="002162A8">
        <w:rPr>
          <w:sz w:val="26"/>
          <w:szCs w:val="26"/>
        </w:rPr>
        <w:t xml:space="preserve"> Telephone Company;</w:t>
      </w:r>
    </w:p>
    <w:p w:rsidRPr="002162A8" w:rsidR="002162A8" w:rsidP="002622F6" w:rsidRDefault="002162A8" w14:paraId="0BE0E7C4" w14:textId="77777777">
      <w:pPr>
        <w:pStyle w:val="OP"/>
        <w:numPr>
          <w:ilvl w:val="7"/>
          <w:numId w:val="1"/>
        </w:numPr>
        <w:spacing w:after="120" w:line="240" w:lineRule="auto"/>
        <w:ind w:left="1620" w:hanging="540"/>
        <w:rPr>
          <w:sz w:val="26"/>
          <w:szCs w:val="26"/>
        </w:rPr>
      </w:pPr>
      <w:r w:rsidRPr="002162A8">
        <w:rPr>
          <w:sz w:val="26"/>
          <w:szCs w:val="26"/>
        </w:rPr>
        <w:t>Foresthill Telephone Co.;</w:t>
      </w:r>
    </w:p>
    <w:p w:rsidR="002162A8" w:rsidP="002622F6" w:rsidRDefault="002162A8" w14:paraId="4E28041F" w14:textId="2931557C">
      <w:pPr>
        <w:pStyle w:val="OP"/>
        <w:numPr>
          <w:ilvl w:val="7"/>
          <w:numId w:val="1"/>
        </w:numPr>
        <w:spacing w:after="120" w:line="240" w:lineRule="auto"/>
        <w:ind w:left="1620" w:hanging="540"/>
        <w:rPr>
          <w:sz w:val="26"/>
          <w:szCs w:val="26"/>
        </w:rPr>
      </w:pPr>
      <w:r w:rsidRPr="002162A8">
        <w:rPr>
          <w:sz w:val="26"/>
          <w:szCs w:val="26"/>
        </w:rPr>
        <w:t>Kerman Telephone Co.;</w:t>
      </w:r>
    </w:p>
    <w:p w:rsidRPr="002162A8" w:rsidR="00B43C2C" w:rsidP="002622F6" w:rsidRDefault="00B43C2C" w14:paraId="64A9397B" w14:textId="24583E37">
      <w:pPr>
        <w:pStyle w:val="OP"/>
        <w:numPr>
          <w:ilvl w:val="7"/>
          <w:numId w:val="1"/>
        </w:numPr>
        <w:spacing w:after="120" w:line="240" w:lineRule="auto"/>
        <w:ind w:left="1620" w:hanging="540"/>
        <w:rPr>
          <w:sz w:val="26"/>
          <w:szCs w:val="26"/>
        </w:rPr>
      </w:pPr>
      <w:r>
        <w:rPr>
          <w:sz w:val="26"/>
          <w:szCs w:val="26"/>
        </w:rPr>
        <w:t>Pinnacles Telephone Co.;</w:t>
      </w:r>
    </w:p>
    <w:p w:rsidRPr="002162A8" w:rsidR="002162A8" w:rsidP="002622F6" w:rsidRDefault="002162A8" w14:paraId="703302C2" w14:textId="77777777">
      <w:pPr>
        <w:pStyle w:val="OP"/>
        <w:numPr>
          <w:ilvl w:val="7"/>
          <w:numId w:val="1"/>
        </w:numPr>
        <w:spacing w:after="120" w:line="240" w:lineRule="auto"/>
        <w:ind w:left="1620" w:hanging="540"/>
        <w:rPr>
          <w:sz w:val="26"/>
          <w:szCs w:val="26"/>
        </w:rPr>
      </w:pPr>
      <w:r w:rsidRPr="002162A8">
        <w:rPr>
          <w:sz w:val="26"/>
          <w:szCs w:val="26"/>
        </w:rPr>
        <w:t>Sierra Telephone Company, Inc.;</w:t>
      </w:r>
    </w:p>
    <w:p w:rsidRPr="002162A8" w:rsidR="002162A8" w:rsidP="002622F6" w:rsidRDefault="002162A8" w14:paraId="6FFDC316" w14:textId="77777777">
      <w:pPr>
        <w:pStyle w:val="OP"/>
        <w:numPr>
          <w:ilvl w:val="7"/>
          <w:numId w:val="1"/>
        </w:numPr>
        <w:spacing w:after="120" w:line="240" w:lineRule="auto"/>
        <w:ind w:left="1620" w:hanging="540"/>
        <w:rPr>
          <w:sz w:val="26"/>
          <w:szCs w:val="26"/>
        </w:rPr>
      </w:pPr>
      <w:r w:rsidRPr="002162A8">
        <w:rPr>
          <w:sz w:val="26"/>
          <w:szCs w:val="26"/>
        </w:rPr>
        <w:t xml:space="preserve">The Siskiyou Telephone Company; </w:t>
      </w:r>
    </w:p>
    <w:p w:rsidR="002162A8" w:rsidP="002622F6" w:rsidRDefault="002162A8" w14:paraId="75321182" w14:textId="7CA2708D">
      <w:pPr>
        <w:pStyle w:val="OP"/>
        <w:numPr>
          <w:ilvl w:val="7"/>
          <w:numId w:val="1"/>
        </w:numPr>
        <w:spacing w:after="120" w:line="240" w:lineRule="auto"/>
        <w:ind w:left="1620" w:hanging="540"/>
        <w:rPr>
          <w:sz w:val="26"/>
          <w:szCs w:val="26"/>
        </w:rPr>
      </w:pPr>
      <w:r w:rsidRPr="002162A8">
        <w:rPr>
          <w:sz w:val="26"/>
          <w:szCs w:val="26"/>
        </w:rPr>
        <w:t xml:space="preserve">Volcano Telephone Company; </w:t>
      </w:r>
    </w:p>
    <w:p w:rsidRPr="00287844" w:rsidR="000F40C8" w:rsidP="002622F6" w:rsidRDefault="000F40C8" w14:paraId="60BCC7AB" w14:textId="77777777">
      <w:pPr>
        <w:pStyle w:val="OP"/>
        <w:numPr>
          <w:ilvl w:val="7"/>
          <w:numId w:val="1"/>
        </w:numPr>
        <w:spacing w:after="120" w:line="240" w:lineRule="auto"/>
        <w:ind w:left="1620" w:hanging="540"/>
        <w:rPr>
          <w:sz w:val="26"/>
          <w:szCs w:val="26"/>
        </w:rPr>
      </w:pPr>
      <w:r w:rsidRPr="00287844">
        <w:rPr>
          <w:sz w:val="26"/>
          <w:szCs w:val="26"/>
        </w:rPr>
        <w:t>Calaveras Telephone Company;</w:t>
      </w:r>
    </w:p>
    <w:p w:rsidRPr="00287844" w:rsidR="000F40C8" w:rsidP="002622F6" w:rsidRDefault="000F40C8" w14:paraId="4544DDB0" w14:textId="77777777">
      <w:pPr>
        <w:pStyle w:val="OP"/>
        <w:numPr>
          <w:ilvl w:val="7"/>
          <w:numId w:val="1"/>
        </w:numPr>
        <w:spacing w:after="120" w:line="240" w:lineRule="auto"/>
        <w:ind w:left="1620" w:hanging="540"/>
        <w:rPr>
          <w:sz w:val="26"/>
          <w:szCs w:val="26"/>
        </w:rPr>
      </w:pPr>
      <w:r w:rsidRPr="00287844">
        <w:rPr>
          <w:sz w:val="26"/>
          <w:szCs w:val="26"/>
        </w:rPr>
        <w:t>Ponderosa Telephone Co.;</w:t>
      </w:r>
    </w:p>
    <w:p w:rsidRPr="00287844" w:rsidR="000F40C8" w:rsidP="002622F6" w:rsidRDefault="000F40C8" w14:paraId="7DF9785C" w14:textId="77777777">
      <w:pPr>
        <w:pStyle w:val="OP"/>
        <w:numPr>
          <w:ilvl w:val="7"/>
          <w:numId w:val="1"/>
        </w:numPr>
        <w:spacing w:after="120" w:line="240" w:lineRule="auto"/>
        <w:ind w:left="1620" w:hanging="540"/>
        <w:rPr>
          <w:sz w:val="26"/>
          <w:szCs w:val="26"/>
        </w:rPr>
      </w:pPr>
      <w:proofErr w:type="spellStart"/>
      <w:r w:rsidRPr="00287844">
        <w:rPr>
          <w:sz w:val="26"/>
          <w:szCs w:val="26"/>
        </w:rPr>
        <w:t>Winterhaven</w:t>
      </w:r>
      <w:proofErr w:type="spellEnd"/>
      <w:r w:rsidRPr="00287844">
        <w:rPr>
          <w:sz w:val="26"/>
          <w:szCs w:val="26"/>
        </w:rPr>
        <w:t xml:space="preserve"> Telephone Company;</w:t>
      </w:r>
    </w:p>
    <w:p w:rsidRPr="00287844" w:rsidR="000F40C8" w:rsidP="002622F6" w:rsidRDefault="000F40C8" w14:paraId="668B4FF0" w14:textId="7F20E5FB">
      <w:pPr>
        <w:pStyle w:val="OP"/>
        <w:numPr>
          <w:ilvl w:val="7"/>
          <w:numId w:val="1"/>
        </w:numPr>
        <w:spacing w:after="120" w:line="240" w:lineRule="auto"/>
        <w:ind w:left="1620" w:hanging="540"/>
        <w:rPr>
          <w:sz w:val="26"/>
          <w:szCs w:val="26"/>
        </w:rPr>
      </w:pPr>
      <w:r w:rsidRPr="00287844">
        <w:rPr>
          <w:sz w:val="26"/>
          <w:szCs w:val="26"/>
        </w:rPr>
        <w:t xml:space="preserve">Happy Valley Telephone Company; </w:t>
      </w:r>
      <w:r>
        <w:rPr>
          <w:sz w:val="26"/>
          <w:szCs w:val="26"/>
        </w:rPr>
        <w:t>and,</w:t>
      </w:r>
    </w:p>
    <w:p w:rsidRPr="0028238B" w:rsidR="000F40C8" w:rsidP="002622F6" w:rsidRDefault="000F40C8" w14:paraId="7EC4D8C4" w14:textId="2BC14867">
      <w:pPr>
        <w:pStyle w:val="OP"/>
        <w:numPr>
          <w:ilvl w:val="7"/>
          <w:numId w:val="1"/>
        </w:numPr>
        <w:spacing w:after="120" w:line="240" w:lineRule="auto"/>
        <w:ind w:left="1620" w:hanging="540"/>
        <w:rPr>
          <w:sz w:val="26"/>
          <w:szCs w:val="26"/>
        </w:rPr>
      </w:pPr>
      <w:r w:rsidRPr="00287844">
        <w:rPr>
          <w:sz w:val="26"/>
          <w:szCs w:val="26"/>
        </w:rPr>
        <w:t>Hornitos Telephone Company</w:t>
      </w:r>
      <w:r>
        <w:rPr>
          <w:sz w:val="26"/>
          <w:szCs w:val="26"/>
        </w:rPr>
        <w:t>.</w:t>
      </w:r>
    </w:p>
    <w:p w:rsidRPr="004051A4" w:rsidR="00F6397D" w:rsidP="002C68EF" w:rsidRDefault="00E23CBB" w14:paraId="5671D073" w14:textId="271E6E3A">
      <w:pPr>
        <w:pStyle w:val="OP"/>
        <w:numPr>
          <w:ilvl w:val="6"/>
          <w:numId w:val="1"/>
        </w:numPr>
        <w:tabs>
          <w:tab w:val="clear" w:pos="1080"/>
        </w:tabs>
        <w:ind w:left="0" w:firstLine="270"/>
        <w:rPr>
          <w:sz w:val="26"/>
          <w:szCs w:val="26"/>
        </w:rPr>
      </w:pPr>
      <w:r w:rsidRPr="004051A4">
        <w:rPr>
          <w:sz w:val="26"/>
          <w:szCs w:val="26"/>
        </w:rPr>
        <w:lastRenderedPageBreak/>
        <w:t>Rulemaking</w:t>
      </w:r>
      <w:r w:rsidRPr="004051A4" w:rsidR="001D697D">
        <w:rPr>
          <w:sz w:val="26"/>
          <w:szCs w:val="26"/>
        </w:rPr>
        <w:t xml:space="preserve"> 20-10-002 remains open</w:t>
      </w:r>
      <w:r w:rsidRPr="004051A4">
        <w:rPr>
          <w:sz w:val="26"/>
          <w:szCs w:val="26"/>
        </w:rPr>
        <w:t>.</w:t>
      </w:r>
    </w:p>
    <w:p w:rsidRPr="004215CC" w:rsidR="008F0116" w:rsidP="002622F6" w:rsidRDefault="008F0116" w14:paraId="67569F78" w14:textId="77777777">
      <w:pPr>
        <w:spacing w:line="360" w:lineRule="auto"/>
        <w:ind w:left="720"/>
        <w:rPr>
          <w:rFonts w:ascii="Book Antiqua" w:hAnsi="Book Antiqua"/>
          <w:sz w:val="26"/>
          <w:szCs w:val="26"/>
        </w:rPr>
      </w:pPr>
      <w:r w:rsidRPr="004215CC">
        <w:rPr>
          <w:rFonts w:ascii="Book Antiqua" w:hAnsi="Book Antiqua"/>
          <w:sz w:val="26"/>
          <w:szCs w:val="26"/>
        </w:rPr>
        <w:t>This order is effective today.</w:t>
      </w:r>
    </w:p>
    <w:p w:rsidRPr="004215CC" w:rsidR="00426014" w:rsidP="002622F6" w:rsidRDefault="008F0116" w14:paraId="0130BAAE" w14:textId="77777777">
      <w:pPr>
        <w:spacing w:line="360" w:lineRule="auto"/>
        <w:ind w:left="720"/>
        <w:rPr>
          <w:rFonts w:ascii="Book Antiqua" w:hAnsi="Book Antiqua"/>
          <w:sz w:val="26"/>
          <w:szCs w:val="26"/>
        </w:rPr>
        <w:sectPr w:rsidRPr="004215CC" w:rsidR="00426014" w:rsidSect="00D44DB6">
          <w:headerReference w:type="default" r:id="rId15"/>
          <w:footerReference w:type="default" r:id="rId16"/>
          <w:pgSz w:w="12240" w:h="15840"/>
          <w:pgMar w:top="1728" w:right="1440" w:bottom="1440" w:left="1440" w:header="720" w:footer="720" w:gutter="0"/>
          <w:pgNumType w:start="2"/>
          <w:cols w:space="720"/>
          <w:docGrid w:linePitch="360"/>
        </w:sectPr>
      </w:pPr>
      <w:r w:rsidRPr="004215CC">
        <w:rPr>
          <w:rFonts w:ascii="Book Antiqua" w:hAnsi="Book Antiqua"/>
          <w:sz w:val="26"/>
          <w:szCs w:val="26"/>
        </w:rPr>
        <w:t xml:space="preserve">Dated </w:t>
      </w:r>
      <w:r w:rsidRPr="004215CC">
        <w:rPr>
          <w:rFonts w:ascii="Book Antiqua" w:hAnsi="Book Antiqua"/>
          <w:sz w:val="26"/>
          <w:szCs w:val="26"/>
          <w:u w:val="single"/>
        </w:rPr>
        <w:tab/>
      </w:r>
      <w:r w:rsidRPr="004215CC">
        <w:rPr>
          <w:rFonts w:ascii="Book Antiqua" w:hAnsi="Book Antiqua"/>
          <w:sz w:val="26"/>
          <w:szCs w:val="26"/>
          <w:u w:val="single"/>
        </w:rPr>
        <w:tab/>
      </w:r>
      <w:r w:rsidRPr="004215CC">
        <w:rPr>
          <w:rFonts w:ascii="Book Antiqua" w:hAnsi="Book Antiqua"/>
          <w:sz w:val="26"/>
          <w:szCs w:val="26"/>
          <w:u w:val="single"/>
        </w:rPr>
        <w:tab/>
      </w:r>
      <w:r w:rsidRPr="004215CC">
        <w:rPr>
          <w:rFonts w:ascii="Book Antiqua" w:hAnsi="Book Antiqua"/>
          <w:sz w:val="26"/>
          <w:szCs w:val="26"/>
          <w:u w:val="single"/>
        </w:rPr>
        <w:tab/>
      </w:r>
      <w:r w:rsidRPr="004215CC">
        <w:rPr>
          <w:rFonts w:ascii="Book Antiqua" w:hAnsi="Book Antiqua"/>
          <w:sz w:val="26"/>
          <w:szCs w:val="26"/>
          <w:u w:val="single"/>
        </w:rPr>
        <w:tab/>
      </w:r>
      <w:r w:rsidRPr="004215CC">
        <w:rPr>
          <w:rFonts w:ascii="Book Antiqua" w:hAnsi="Book Antiqua"/>
          <w:sz w:val="26"/>
          <w:szCs w:val="26"/>
        </w:rPr>
        <w:t>, at San Francisco, California</w:t>
      </w:r>
      <w:r w:rsidRPr="004215CC" w:rsidR="00FF110C">
        <w:rPr>
          <w:rFonts w:ascii="Book Antiqua" w:hAnsi="Book Antiqua"/>
          <w:sz w:val="26"/>
          <w:szCs w:val="26"/>
        </w:rPr>
        <w:t>.</w:t>
      </w:r>
    </w:p>
    <w:p w:rsidR="00426014" w:rsidP="001D697D" w:rsidRDefault="00426014" w14:paraId="670A370F" w14:textId="6A501486">
      <w:pPr>
        <w:pStyle w:val="Main"/>
      </w:pPr>
      <w:bookmarkStart w:name="_Toc80089430" w:id="83"/>
      <w:r>
        <w:lastRenderedPageBreak/>
        <w:t>Appendix A</w:t>
      </w:r>
      <w:bookmarkEnd w:id="83"/>
    </w:p>
    <w:p w:rsidRPr="00A851F6" w:rsidR="00400A0E" w:rsidP="00400A0E" w:rsidRDefault="00400A0E" w14:paraId="55E10D42" w14:textId="77777777">
      <w:pPr>
        <w:spacing w:before="230" w:line="274" w:lineRule="exact"/>
        <w:ind w:left="2692" w:right="2696"/>
        <w:jc w:val="center"/>
        <w:rPr>
          <w:b/>
        </w:rPr>
      </w:pPr>
      <w:r w:rsidRPr="00A851F6">
        <w:rPr>
          <w:b/>
        </w:rPr>
        <w:t>REVISED STAFF PROPOSAL</w:t>
      </w:r>
    </w:p>
    <w:p w:rsidRPr="00A851F6" w:rsidR="00400A0E" w:rsidP="00400A0E" w:rsidRDefault="00400A0E" w14:paraId="35C68461" w14:textId="77777777">
      <w:pPr>
        <w:spacing w:line="274" w:lineRule="exact"/>
        <w:ind w:left="2700" w:right="2645"/>
        <w:jc w:val="center"/>
        <w:rPr>
          <w:b/>
        </w:rPr>
      </w:pPr>
      <w:r w:rsidRPr="00A851F6">
        <w:rPr>
          <w:b/>
        </w:rPr>
        <w:t>Interim Rate Relief for Inmate Calling Services</w:t>
      </w:r>
    </w:p>
    <w:p w:rsidRPr="00A851F6" w:rsidR="00400A0E" w:rsidP="00400A0E" w:rsidRDefault="00400A0E" w14:paraId="1BD14A31" w14:textId="77777777">
      <w:pPr>
        <w:pStyle w:val="BodyText"/>
        <w:spacing w:line="254" w:lineRule="auto"/>
        <w:ind w:left="0"/>
        <w:rPr>
          <w:b/>
          <w:bCs/>
        </w:rPr>
      </w:pPr>
    </w:p>
    <w:p w:rsidRPr="00A851F6" w:rsidR="00400A0E" w:rsidP="00400A0E" w:rsidRDefault="00400A0E" w14:paraId="4718022E" w14:textId="7F72AE19">
      <w:pPr>
        <w:pStyle w:val="BodyText"/>
        <w:spacing w:line="254" w:lineRule="auto"/>
        <w:ind w:left="0"/>
      </w:pPr>
      <w:r>
        <w:t xml:space="preserve">The </w:t>
      </w:r>
      <w:r w:rsidRPr="00A851F6">
        <w:t>original Staff proposal recommending the California Public Utilities Commission (CPUC) apply the Federal Communications Commission’s (FCC’s) interstate inmate calling service</w:t>
      </w:r>
      <w:r w:rsidR="002C3984">
        <w:rPr>
          <w:rStyle w:val="FootnoteReference"/>
        </w:rPr>
        <w:footnoteReference w:id="283"/>
      </w:r>
      <w:r w:rsidRPr="00A851F6">
        <w:t xml:space="preserve"> (ICS) rates to intrastate communications services utilized by incarcerated persons detained in California</w:t>
      </w:r>
      <w:r w:rsidRPr="00A851F6">
        <w:rPr>
          <w:rStyle w:val="FootnoteReference"/>
        </w:rPr>
        <w:footnoteReference w:id="284"/>
      </w:r>
      <w:r w:rsidRPr="00A851F6">
        <w:t xml:space="preserve"> until the CPUC adopts permanent rates at the conclusion of D.20-10-002 was issued on April 2, 2021.  </w:t>
      </w:r>
    </w:p>
    <w:p w:rsidRPr="00A851F6" w:rsidR="00400A0E" w:rsidP="00400A0E" w:rsidRDefault="00400A0E" w14:paraId="7F188A61" w14:textId="77777777">
      <w:pPr>
        <w:pStyle w:val="BodyText"/>
        <w:spacing w:line="254" w:lineRule="auto"/>
      </w:pPr>
    </w:p>
    <w:p w:rsidRPr="00A851F6" w:rsidR="00400A0E" w:rsidP="00400A0E" w:rsidRDefault="00400A0E" w14:paraId="6B81AC1D" w14:textId="57A801D8">
      <w:pPr>
        <w:pStyle w:val="BodyText"/>
        <w:spacing w:line="254" w:lineRule="auto"/>
        <w:ind w:left="0"/>
      </w:pPr>
      <w:r w:rsidRPr="00A851F6">
        <w:t xml:space="preserve">Since that time, the CPUC has received comments from parties, held two </w:t>
      </w:r>
      <w:r w:rsidR="00973EB5">
        <w:t>P</w:t>
      </w:r>
      <w:r w:rsidRPr="00A851F6">
        <w:t xml:space="preserve">ublic </w:t>
      </w:r>
      <w:r w:rsidR="00973EB5">
        <w:t>P</w:t>
      </w:r>
      <w:r w:rsidRPr="00A851F6">
        <w:t xml:space="preserve">articipation </w:t>
      </w:r>
      <w:r w:rsidR="00973EB5">
        <w:t>H</w:t>
      </w:r>
      <w:r w:rsidRPr="00A851F6">
        <w:t>earings (PPHs) where it received numerous public comments, and the FCC has adopted</w:t>
      </w:r>
      <w:r w:rsidRPr="00A851F6">
        <w:rPr>
          <w:rStyle w:val="FootnoteReference"/>
        </w:rPr>
        <w:footnoteReference w:id="285"/>
      </w:r>
      <w:r w:rsidRPr="00A851F6">
        <w:t xml:space="preserve"> revised per minute rates for prisons and jails.  In response to this input and new interstate service rates Staff has modified its proposal, most notably, to reflect the new FCC adopted per minute rates of $0.14 for prisons and $0.16 for jails.</w:t>
      </w:r>
      <w:r w:rsidRPr="00A851F6">
        <w:rPr>
          <w:rStyle w:val="FootnoteReference"/>
        </w:rPr>
        <w:footnoteReference w:id="286"/>
      </w:r>
      <w:r w:rsidRPr="00A851F6">
        <w:t xml:space="preserve">  Staff also eliminated the </w:t>
      </w:r>
      <w:r w:rsidR="00B43C2C">
        <w:t>single-call</w:t>
      </w:r>
      <w:r w:rsidRPr="00A851F6">
        <w:t xml:space="preserve"> service charge from the list of authorized ancillary service charges.</w:t>
      </w:r>
    </w:p>
    <w:p w:rsidRPr="00A851F6" w:rsidR="00400A0E" w:rsidP="00400A0E" w:rsidRDefault="00400A0E" w14:paraId="68B4BE8E" w14:textId="77777777">
      <w:pPr>
        <w:pStyle w:val="BodyText"/>
        <w:spacing w:line="254" w:lineRule="auto"/>
      </w:pPr>
    </w:p>
    <w:p w:rsidRPr="00A851F6" w:rsidR="00400A0E" w:rsidP="00400A0E" w:rsidRDefault="00400A0E" w14:paraId="78FF4EAF" w14:textId="1D804CDE">
      <w:pPr>
        <w:pStyle w:val="BodyText"/>
        <w:spacing w:line="254" w:lineRule="auto"/>
      </w:pPr>
      <w:r w:rsidRPr="00A851F6">
        <w:t xml:space="preserve">In written comments to the online portal, comments were submitted regarding fees, including the </w:t>
      </w:r>
      <w:r w:rsidR="00B43C2C">
        <w:t>single-call</w:t>
      </w:r>
      <w:r w:rsidRPr="00A851F6">
        <w:t xml:space="preserve"> service fee. Most notable were those ICS customers that provided examples of being charged a connection fee multiple times to complete a single 15-minute phone call.  In more than one instance, commenters indicated being disconnected multiple times during their call and then being charged the </w:t>
      </w:r>
      <w:r w:rsidR="00B43C2C">
        <w:t>single-call</w:t>
      </w:r>
      <w:r w:rsidRPr="00A851F6">
        <w:t xml:space="preserve"> service fee each time they tried to reconnect.  In these examples the </w:t>
      </w:r>
      <w:r w:rsidR="00B43C2C">
        <w:t>single-call</w:t>
      </w:r>
      <w:r w:rsidRPr="00A851F6">
        <w:t xml:space="preserve"> service fee of $3.00 was likely charged at least three times and totaled $9.00 or more.  </w:t>
      </w:r>
    </w:p>
    <w:p w:rsidRPr="00A851F6" w:rsidR="00400A0E" w:rsidP="00400A0E" w:rsidRDefault="00400A0E" w14:paraId="757A8E80" w14:textId="77777777">
      <w:pPr>
        <w:pStyle w:val="BodyText"/>
        <w:spacing w:line="254" w:lineRule="auto"/>
      </w:pPr>
    </w:p>
    <w:p w:rsidRPr="00A851F6" w:rsidR="00400A0E" w:rsidP="00400A0E" w:rsidRDefault="00400A0E" w14:paraId="79B9B94F" w14:textId="5E11A98D">
      <w:pPr>
        <w:pStyle w:val="BodyText"/>
        <w:spacing w:before="1" w:line="259" w:lineRule="auto"/>
        <w:ind w:right="232"/>
      </w:pPr>
      <w:r w:rsidRPr="00A851F6">
        <w:t xml:space="preserve">The FCC also expressed concerns regarding ancillary service charges. Specifically, the FCC found that single-call services were used by providers to inflate charges, and noted evidence suggesting some providers are in revenue sharing agreements with third parties for </w:t>
      </w:r>
      <w:r w:rsidR="00B43C2C">
        <w:t>single-call</w:t>
      </w:r>
      <w:r w:rsidRPr="00A851F6">
        <w:t xml:space="preserve"> service, thus avoiding the FCCs cap on pass-through fees for single-call services.</w:t>
      </w:r>
      <w:r w:rsidRPr="00A851F6">
        <w:rPr>
          <w:rStyle w:val="FootnoteReference"/>
        </w:rPr>
        <w:footnoteReference w:id="287"/>
      </w:r>
      <w:r w:rsidRPr="00A851F6">
        <w:t xml:space="preserve"> </w:t>
      </w:r>
    </w:p>
    <w:p w:rsidRPr="00A851F6" w:rsidR="00400A0E" w:rsidP="00400A0E" w:rsidRDefault="00400A0E" w14:paraId="650712CB" w14:textId="77777777">
      <w:pPr>
        <w:pStyle w:val="BodyText"/>
        <w:spacing w:before="1" w:line="259" w:lineRule="auto"/>
        <w:ind w:right="232"/>
      </w:pPr>
    </w:p>
    <w:p w:rsidRPr="00A851F6" w:rsidR="00400A0E" w:rsidP="00400A0E" w:rsidRDefault="00400A0E" w14:paraId="5B68E2C4" w14:textId="66A27C4F">
      <w:pPr>
        <w:pStyle w:val="BodyText"/>
        <w:spacing w:before="1" w:line="259" w:lineRule="auto"/>
        <w:ind w:right="232"/>
        <w:rPr>
          <w:color w:val="000000" w:themeColor="text1"/>
        </w:rPr>
      </w:pPr>
      <w:r w:rsidRPr="00A851F6">
        <w:t xml:space="preserve">To protect ICS consumers from potential fee abuse, Staff recommends the prohibition of the </w:t>
      </w:r>
      <w:r w:rsidR="00B43C2C">
        <w:t>single-call</w:t>
      </w:r>
      <w:r w:rsidRPr="00A851F6">
        <w:t xml:space="preserve"> service fee as part of its interim relief proposal.  </w:t>
      </w:r>
    </w:p>
    <w:p w:rsidRPr="00A851F6" w:rsidR="00400A0E" w:rsidP="00400A0E" w:rsidRDefault="00400A0E" w14:paraId="61D05E0E" w14:textId="77777777">
      <w:pPr>
        <w:pStyle w:val="BodyText"/>
        <w:spacing w:before="1" w:line="259" w:lineRule="auto"/>
        <w:ind w:right="232"/>
        <w:rPr>
          <w:color w:val="000000" w:themeColor="text1"/>
        </w:rPr>
      </w:pPr>
    </w:p>
    <w:p w:rsidRPr="00A851F6" w:rsidR="00400A0E" w:rsidP="00400A0E" w:rsidRDefault="00400A0E" w14:paraId="11B52BA9" w14:textId="0287C6BC">
      <w:pPr>
        <w:pStyle w:val="BodyText"/>
        <w:spacing w:before="1" w:line="259" w:lineRule="auto"/>
        <w:ind w:right="232"/>
        <w:rPr>
          <w:color w:val="000000" w:themeColor="text1"/>
        </w:rPr>
      </w:pPr>
      <w:r w:rsidRPr="00A851F6">
        <w:rPr>
          <w:color w:val="000000" w:themeColor="text1"/>
        </w:rPr>
        <w:t xml:space="preserve">At the recent PPHs, the CPUC also heard from the public that an incarcerated person or family member is charged multiple ancillary fees such as a transaction fee, a </w:t>
      </w:r>
      <w:r w:rsidR="00B43C2C">
        <w:rPr>
          <w:color w:val="000000" w:themeColor="text1"/>
        </w:rPr>
        <w:t>single-call</w:t>
      </w:r>
      <w:r w:rsidRPr="00A851F6">
        <w:rPr>
          <w:color w:val="000000" w:themeColor="text1"/>
        </w:rPr>
        <w:t xml:space="preserve"> fee, and a live agent fee, etc.  In the end, $20 deposited into an account may only provide the caller with a few minutes of calling because most of their funds have been unreasonably consumed by “ancillary charges.” </w:t>
      </w:r>
    </w:p>
    <w:p w:rsidRPr="00A851F6" w:rsidR="00400A0E" w:rsidP="00400A0E" w:rsidRDefault="00400A0E" w14:paraId="6E58AD6F" w14:textId="77777777">
      <w:pPr>
        <w:pStyle w:val="BodyText"/>
        <w:spacing w:before="1" w:line="259" w:lineRule="auto"/>
        <w:ind w:right="232"/>
        <w:rPr>
          <w:color w:val="000000" w:themeColor="text1"/>
        </w:rPr>
      </w:pPr>
    </w:p>
    <w:p w:rsidRPr="00A851F6" w:rsidR="00400A0E" w:rsidP="00400A0E" w:rsidRDefault="00400A0E" w14:paraId="5B02809F" w14:textId="77777777">
      <w:pPr>
        <w:pStyle w:val="BodyText"/>
        <w:spacing w:before="1" w:line="259" w:lineRule="auto"/>
        <w:ind w:right="232"/>
        <w:rPr>
          <w:color w:val="000000" w:themeColor="text1"/>
        </w:rPr>
      </w:pPr>
      <w:r w:rsidRPr="00A851F6">
        <w:rPr>
          <w:color w:val="000000" w:themeColor="text1"/>
        </w:rPr>
        <w:t>Staff further recommends that the CPUC evaluate the relevance of all ancillary charges for ICS in the next phase of this proceeding by examining competitive telecommunications providers operating in the open market to determine if any of these ICS ancillary charges are levied by competitive telecommunications providers, or whether they are reasonably required for the provision of such services.  There is little reason to believe that the costs of a credit card transaction or speaking with a live agent are higher for an ICS provider or any more reasonable to charge to incarcerated persons than the general public being serviced by other telecommunications corporations operating in the open market in California.</w:t>
      </w:r>
    </w:p>
    <w:p w:rsidRPr="00A851F6" w:rsidR="00400A0E" w:rsidP="00400A0E" w:rsidRDefault="00400A0E" w14:paraId="0A0D3300" w14:textId="77777777">
      <w:pPr>
        <w:pStyle w:val="BodyText"/>
        <w:spacing w:before="1" w:line="259" w:lineRule="auto"/>
        <w:ind w:right="232"/>
      </w:pPr>
    </w:p>
    <w:p w:rsidRPr="00A851F6" w:rsidR="00400A0E" w:rsidP="00400A0E" w:rsidRDefault="00400A0E" w14:paraId="376A354E" w14:textId="77777777">
      <w:pPr>
        <w:pStyle w:val="BodyText"/>
        <w:spacing w:line="254" w:lineRule="auto"/>
      </w:pPr>
      <w:r w:rsidRPr="00A851F6">
        <w:t xml:space="preserve">In the first Staff proposal we recommended the CPUC update interim rates if the FCC adopts new per minute of use ICS rates.  On May 20, 2021, the FCC adopted new interim rate caps; we have therefore updated the Staff proposal to reflect these new rates.  However, the FCC’s new interim order also included a separate and distinct rate for facilities of less than 1,000 incarcerated persons.  This rate was not included in the original FCC framework and we do not recommend including this separate rate here.  Staff does not find sufficient justification to further distinguish the rates charged at facilities in California nor has the FCC presented any compelling data that would cause us to believe that costs are more than 30 percent higher for these facilities.  </w:t>
      </w:r>
    </w:p>
    <w:p w:rsidRPr="00A851F6" w:rsidR="00400A0E" w:rsidP="00400A0E" w:rsidRDefault="00400A0E" w14:paraId="008BD4EB" w14:textId="77777777">
      <w:pPr>
        <w:pStyle w:val="BodyText"/>
      </w:pPr>
    </w:p>
    <w:p w:rsidRPr="00A851F6" w:rsidR="00400A0E" w:rsidP="00400A0E" w:rsidRDefault="00400A0E" w14:paraId="0F73FE36" w14:textId="77777777">
      <w:pPr>
        <w:pStyle w:val="BodyText"/>
        <w:spacing w:line="254" w:lineRule="auto"/>
      </w:pPr>
      <w:r w:rsidRPr="00A851F6">
        <w:t xml:space="preserve">With these limited modifications, Staff recommends the CPUC adopt Staff’s proposal and require carriers to implement it within 30 days of the CPUC’s decision to ensure those incarcerated in California receive immediate rate relief.   </w:t>
      </w:r>
    </w:p>
    <w:p w:rsidRPr="00A851F6" w:rsidR="00400A0E" w:rsidP="00400A0E" w:rsidRDefault="00400A0E" w14:paraId="6FEC11FE" w14:textId="77777777">
      <w:pPr>
        <w:pStyle w:val="BodyText"/>
        <w:spacing w:line="254" w:lineRule="auto"/>
      </w:pPr>
    </w:p>
    <w:p w:rsidRPr="00A851F6" w:rsidR="00400A0E" w:rsidP="00400A0E" w:rsidRDefault="00400A0E" w14:paraId="4E7B2157" w14:textId="77777777">
      <w:pPr>
        <w:pStyle w:val="BodyText"/>
        <w:spacing w:line="254" w:lineRule="auto"/>
      </w:pPr>
      <w:r w:rsidRPr="00A851F6">
        <w:t>RATES ARE UNREASONABLE</w:t>
      </w:r>
    </w:p>
    <w:p w:rsidRPr="00A851F6" w:rsidR="00400A0E" w:rsidP="00400A0E" w:rsidRDefault="00400A0E" w14:paraId="64BAE397" w14:textId="77777777">
      <w:pPr>
        <w:pStyle w:val="BodyText"/>
        <w:spacing w:before="173" w:line="259" w:lineRule="auto"/>
        <w:ind w:right="221"/>
      </w:pPr>
      <w:r w:rsidRPr="00A851F6">
        <w:t>Staff collected ICS data from carriers providing ICS in California.  The carriers furnished this information in response to a data request sent to over 800 licensed and registered service providers in California.  Six companies</w:t>
      </w:r>
      <w:r w:rsidRPr="00A851F6">
        <w:rPr>
          <w:rStyle w:val="FootnoteReference"/>
        </w:rPr>
        <w:footnoteReference w:id="288"/>
      </w:r>
      <w:r>
        <w:t xml:space="preserve"> </w:t>
      </w:r>
      <w:r w:rsidRPr="00A851F6">
        <w:t>responded to the data request indicating that they provide ICS.  Staff considers these six companies to represent the total number of ICS providers in California as these same companies are participating in the FCC’s ICS proceeding.</w:t>
      </w:r>
      <w:r w:rsidRPr="00A851F6">
        <w:rPr>
          <w:rStyle w:val="FootnoteReference"/>
        </w:rPr>
        <w:footnoteReference w:id="289"/>
      </w:r>
      <w:r>
        <w:t xml:space="preserve"> </w:t>
      </w:r>
      <w:r w:rsidRPr="00A851F6">
        <w:t xml:space="preserve"> The data provided in response to the data request shows that intrastate per-minute rates are as high as $1.75 per minute and connection fees or first minute rates are as high as $3.60 per minute.  (See Attachment A).  A 15-minute </w:t>
      </w:r>
      <w:r w:rsidRPr="00A851F6">
        <w:lastRenderedPageBreak/>
        <w:t>intrastate phone call in California can cost the caller as much as $26.25 in per-minute charges only, excluding any other transaction fees.</w:t>
      </w:r>
    </w:p>
    <w:p w:rsidRPr="00A851F6" w:rsidR="00400A0E" w:rsidP="00400A0E" w:rsidRDefault="00400A0E" w14:paraId="70BA01A7" w14:textId="77777777">
      <w:pPr>
        <w:pStyle w:val="BodyText"/>
        <w:spacing w:before="167"/>
      </w:pPr>
      <w:r w:rsidRPr="00A851F6">
        <w:t>MONOPOLY SERVICE</w:t>
      </w:r>
    </w:p>
    <w:p w:rsidRPr="00A851F6" w:rsidR="00400A0E" w:rsidP="00400A0E" w:rsidRDefault="00400A0E" w14:paraId="2ADE4FCB" w14:textId="77777777">
      <w:pPr>
        <w:pStyle w:val="BodyText"/>
        <w:spacing w:before="173" w:line="259" w:lineRule="auto"/>
        <w:ind w:left="0" w:right="221"/>
      </w:pPr>
      <w:r w:rsidRPr="00A851F6">
        <w:t>There are two distinct markets for ICS; a market wherein providers bid on Requests For Proposals from facilities or jurisdictions to be the sole provider at the facility, and a market for the end user of the telecommunication services.  Accordingly, ICS providers are the sole providers within any given detention center.  Staff was unable to identify any instance in which an incarcerated person or any person communicating with an incarcerated person has a choice of service provider.  Incarcerated persons are a captive customer class with no choice among multiple service providers, and therefore, must pay exorbitant communication service rates or forego communication with family or friends.</w:t>
      </w:r>
    </w:p>
    <w:p w:rsidRPr="00A851F6" w:rsidR="00400A0E" w:rsidP="00400A0E" w:rsidRDefault="00400A0E" w14:paraId="2DA7D66B" w14:textId="77777777">
      <w:pPr>
        <w:pStyle w:val="BodyText"/>
        <w:ind w:left="0"/>
      </w:pPr>
    </w:p>
    <w:p w:rsidRPr="00A851F6" w:rsidR="00400A0E" w:rsidP="00400A0E" w:rsidRDefault="00400A0E" w14:paraId="1AD99F24" w14:textId="77777777">
      <w:pPr>
        <w:pStyle w:val="BodyText"/>
        <w:spacing w:before="1" w:line="259" w:lineRule="auto"/>
        <w:ind w:left="0" w:right="232"/>
      </w:pPr>
      <w:r w:rsidRPr="00A851F6">
        <w:t>Pursuant to Public Utilities (Pub. Util.) Code Sections 451 and 454(a), the Commission has a duty to ensure that the rates charged for all utility services, including those provided to incarcerated persons, are just and reasonable.  Any unjust or unreasonable charge demanded or received by a utility is unlawful.</w:t>
      </w:r>
      <w:r w:rsidRPr="00A851F6">
        <w:rPr>
          <w:rStyle w:val="FootnoteReference"/>
        </w:rPr>
        <w:footnoteReference w:id="290"/>
      </w:r>
      <w:r>
        <w:t xml:space="preserve"> </w:t>
      </w:r>
      <w:r w:rsidRPr="00A851F6">
        <w:t xml:space="preserve"> The CPUC has traditionally regulated the rates of utility monopolies such as the incumbent local exchange carriers (ILECs), who were given exclusive franchise service territories.  Regulation of rates for these monopolies continues where competition is prohibited or does not otherwise exist.</w:t>
      </w:r>
      <w:r w:rsidRPr="00A851F6">
        <w:rPr>
          <w:rStyle w:val="FootnoteReference"/>
        </w:rPr>
        <w:footnoteReference w:id="291"/>
      </w:r>
      <w:r>
        <w:t xml:space="preserve"> </w:t>
      </w:r>
      <w:r w:rsidRPr="00A851F6">
        <w:t xml:space="preserve"> The CPUC regulates monopoly utilities providing telecommunications, water, gas, and electricity to ensure that the rates these utilities charge are just and reasonable.  ICS providers similarly operate as monopolies and are charging incarcerated persons and their families unreasonable rates, which is unlawful.</w:t>
      </w:r>
    </w:p>
    <w:p w:rsidRPr="00A851F6" w:rsidR="00400A0E" w:rsidP="00400A0E" w:rsidRDefault="00400A0E" w14:paraId="29BADA82" w14:textId="77777777">
      <w:pPr>
        <w:pStyle w:val="BodyText"/>
        <w:spacing w:before="1" w:line="259" w:lineRule="auto"/>
        <w:ind w:left="0" w:right="232"/>
      </w:pPr>
    </w:p>
    <w:p w:rsidRPr="00A851F6" w:rsidR="00400A0E" w:rsidP="00400A0E" w:rsidRDefault="00400A0E" w14:paraId="005D6A13" w14:textId="77777777">
      <w:pPr>
        <w:pStyle w:val="BodyText"/>
        <w:spacing w:before="8" w:line="256" w:lineRule="auto"/>
        <w:ind w:left="0" w:right="221"/>
      </w:pPr>
      <w:r w:rsidRPr="00A851F6">
        <w:t>Therefore, the CPUC should regulate ICS rates unless or until such time that incarcerated persons have competitive choice in their communications services, or at least on an interim basis, until the CPUC concludes the current proceeding.</w:t>
      </w:r>
    </w:p>
    <w:p w:rsidRPr="00A851F6" w:rsidR="00400A0E" w:rsidP="00400A0E" w:rsidRDefault="00400A0E" w14:paraId="1ABAFAE6" w14:textId="77777777">
      <w:pPr>
        <w:pStyle w:val="BodyText"/>
        <w:spacing w:before="155"/>
        <w:ind w:left="0"/>
      </w:pPr>
      <w:r w:rsidRPr="00A851F6">
        <w:t>PROPOSAL FOR INTERIM RELIEF</w:t>
      </w:r>
    </w:p>
    <w:p w:rsidRPr="00A851F6" w:rsidR="00400A0E" w:rsidP="00400A0E" w:rsidRDefault="00400A0E" w14:paraId="1238128A" w14:textId="77777777">
      <w:pPr>
        <w:pStyle w:val="BodyText"/>
        <w:spacing w:before="188" w:line="259" w:lineRule="auto"/>
        <w:ind w:left="0" w:right="132"/>
      </w:pPr>
      <w:r w:rsidRPr="00A851F6">
        <w:t xml:space="preserve">Despite </w:t>
      </w:r>
      <w:r>
        <w:t xml:space="preserve">having lessened </w:t>
      </w:r>
      <w:r w:rsidRPr="00A851F6">
        <w:t xml:space="preserve">regulation </w:t>
      </w:r>
      <w:r>
        <w:t xml:space="preserve">of </w:t>
      </w:r>
      <w:r w:rsidRPr="00A851F6">
        <w:t xml:space="preserve">communications service providers, the CPUC retained its authority to investigate </w:t>
      </w:r>
      <w:r>
        <w:t xml:space="preserve">market power </w:t>
      </w:r>
      <w:r w:rsidRPr="00A851F6">
        <w:t>abuses.</w:t>
      </w:r>
      <w:r w:rsidRPr="00A851F6">
        <w:rPr>
          <w:rStyle w:val="FootnoteReference"/>
        </w:rPr>
        <w:footnoteReference w:id="292"/>
      </w:r>
      <w:r>
        <w:t xml:space="preserve">  Staff </w:t>
      </w:r>
      <w:r w:rsidRPr="00A851F6">
        <w:t xml:space="preserve">finds </w:t>
      </w:r>
      <w:r>
        <w:t xml:space="preserve">that </w:t>
      </w:r>
      <w:r w:rsidRPr="00A851F6">
        <w:t>the ICS</w:t>
      </w:r>
      <w:r>
        <w:t xml:space="preserve"> </w:t>
      </w:r>
      <w:r w:rsidRPr="00A851F6">
        <w:t xml:space="preserve">market </w:t>
      </w:r>
      <w:r>
        <w:t xml:space="preserve">demonstrates </w:t>
      </w:r>
      <w:r w:rsidRPr="00A851F6">
        <w:t>market</w:t>
      </w:r>
      <w:r>
        <w:t xml:space="preserve"> power </w:t>
      </w:r>
      <w:r w:rsidRPr="00A851F6">
        <w:t>abuse.</w:t>
      </w:r>
      <w:r>
        <w:t xml:space="preserve">  Incarcerated persons and </w:t>
      </w:r>
      <w:r w:rsidRPr="00A851F6">
        <w:t>their</w:t>
      </w:r>
      <w:r>
        <w:t xml:space="preserve"> </w:t>
      </w:r>
      <w:r w:rsidRPr="00A851F6">
        <w:t>families</w:t>
      </w:r>
      <w:r>
        <w:t xml:space="preserve"> </w:t>
      </w:r>
      <w:r w:rsidRPr="00A851F6">
        <w:t>are</w:t>
      </w:r>
      <w:r>
        <w:t xml:space="preserve"> being </w:t>
      </w:r>
      <w:r w:rsidRPr="00A851F6">
        <w:t>charged</w:t>
      </w:r>
      <w:r>
        <w:t xml:space="preserve"> </w:t>
      </w:r>
      <w:r w:rsidRPr="00A851F6">
        <w:t>unreasonable</w:t>
      </w:r>
      <w:r>
        <w:t xml:space="preserve"> </w:t>
      </w:r>
      <w:r w:rsidRPr="00A851F6">
        <w:t>rates</w:t>
      </w:r>
      <w:r>
        <w:t xml:space="preserve"> </w:t>
      </w:r>
      <w:r w:rsidRPr="00A851F6">
        <w:t xml:space="preserve">with </w:t>
      </w:r>
      <w:r>
        <w:t xml:space="preserve">no viable </w:t>
      </w:r>
      <w:r w:rsidRPr="00A851F6">
        <w:t xml:space="preserve">alternative.  The FCC similarly </w:t>
      </w:r>
      <w:r>
        <w:t xml:space="preserve">determined that </w:t>
      </w:r>
      <w:r w:rsidRPr="00A851F6">
        <w:t>the ICS</w:t>
      </w:r>
      <w:r>
        <w:t xml:space="preserve"> </w:t>
      </w:r>
      <w:r w:rsidRPr="00A851F6">
        <w:t xml:space="preserve">market is a prime </w:t>
      </w:r>
      <w:r>
        <w:t xml:space="preserve">example of </w:t>
      </w:r>
      <w:r w:rsidRPr="00A851F6">
        <w:t xml:space="preserve">market </w:t>
      </w:r>
      <w:r>
        <w:t>failure.</w:t>
      </w:r>
      <w:r w:rsidRPr="00A851F6">
        <w:rPr>
          <w:rStyle w:val="FootnoteReference"/>
          <w:spacing w:val="2"/>
        </w:rPr>
        <w:footnoteReference w:id="293"/>
      </w:r>
      <w:r>
        <w:t xml:space="preserve">  </w:t>
      </w:r>
      <w:r w:rsidRPr="00A851F6">
        <w:t xml:space="preserve">Therefore, regulation </w:t>
      </w:r>
      <w:r>
        <w:t xml:space="preserve">of </w:t>
      </w:r>
      <w:r w:rsidRPr="00A851F6">
        <w:t xml:space="preserve">ICS rates is </w:t>
      </w:r>
      <w:r>
        <w:t xml:space="preserve">warranted and </w:t>
      </w:r>
      <w:r w:rsidRPr="00A851F6">
        <w:t xml:space="preserve">the CPUC </w:t>
      </w:r>
      <w:r>
        <w:t xml:space="preserve">must ensure that </w:t>
      </w:r>
      <w:r w:rsidRPr="00A851F6">
        <w:t>the intrastate rates ICS</w:t>
      </w:r>
      <w:r>
        <w:t xml:space="preserve"> </w:t>
      </w:r>
      <w:r w:rsidRPr="00A851F6">
        <w:t xml:space="preserve">providers charge are just </w:t>
      </w:r>
      <w:r>
        <w:t>and reasonable.</w:t>
      </w:r>
    </w:p>
    <w:p w:rsidRPr="00A851F6" w:rsidR="00400A0E" w:rsidP="00400A0E" w:rsidRDefault="00400A0E" w14:paraId="0C2BF6DA" w14:textId="77777777">
      <w:pPr>
        <w:pStyle w:val="BodyText"/>
        <w:spacing w:before="156" w:line="256" w:lineRule="auto"/>
        <w:ind w:left="0" w:right="221"/>
      </w:pPr>
      <w:r w:rsidRPr="00A851F6">
        <w:t xml:space="preserve">CD Staff recommends the CPUC adopt the FCC’s ICS rates as intrastate calling service rates for those </w:t>
      </w:r>
      <w:r w:rsidRPr="00A851F6">
        <w:lastRenderedPageBreak/>
        <w:t>services utilized by incarcerated persons detained in California until the CPUC adopts permanent rates at conclusion of R.20-10-002.</w:t>
      </w:r>
    </w:p>
    <w:p w:rsidRPr="00A851F6" w:rsidR="00400A0E" w:rsidP="00400A0E" w:rsidRDefault="00400A0E" w14:paraId="0DA9BDF3" w14:textId="77777777">
      <w:pPr>
        <w:pStyle w:val="Default"/>
      </w:pPr>
    </w:p>
    <w:p w:rsidRPr="00A851F6" w:rsidR="00400A0E" w:rsidP="00400A0E" w:rsidRDefault="00400A0E" w14:paraId="43E8C1F5" w14:textId="62D34776">
      <w:pPr>
        <w:pStyle w:val="Default"/>
      </w:pPr>
      <w:r w:rsidRPr="00A851F6">
        <w:t>The FCC is currently addressing ICS rates and charges in WC Docket No.12-375.  On May 20, 2021, the FCC adopted new interim rate caps of $0.14 per minute for prisons</w:t>
      </w:r>
      <w:r w:rsidRPr="00A851F6">
        <w:rPr>
          <w:rStyle w:val="FootnoteReference"/>
        </w:rPr>
        <w:footnoteReference w:id="294"/>
      </w:r>
      <w:r w:rsidRPr="00A851F6">
        <w:t xml:space="preserve"> and $0.16 per minute for jails</w:t>
      </w:r>
      <w:r w:rsidRPr="00A851F6">
        <w:rPr>
          <w:rStyle w:val="FootnoteReference"/>
        </w:rPr>
        <w:footnoteReference w:id="295"/>
      </w:r>
      <w:r w:rsidRPr="00A851F6">
        <w:t xml:space="preserve"> with 1,000 or more incarcerated people for interstate calls.  These FCC rates include a $0.02 per minute allowance for site commissions where these result from contractual obligations or negotiations with incarceration facilities.</w:t>
      </w:r>
      <w:r w:rsidRPr="00A851F6">
        <w:rPr>
          <w:rStyle w:val="FootnoteReference"/>
        </w:rPr>
        <w:footnoteReference w:id="296"/>
      </w:r>
      <w:r w:rsidRPr="00A851F6">
        <w:t xml:space="preserve">  In the original Staff Proposal, staff indicated that if the FCC further lowers its rates for ICS, the CPUC’s interim rates should be modified to reflect those new rates.  Staff recommends the CPUC adopt the FCC rate caps of $0.14 per minute for prisons and $0.16 per minute for jails.</w:t>
      </w:r>
      <w:r w:rsidRPr="00A851F6">
        <w:rPr>
          <w:rStyle w:val="FootnoteReference"/>
        </w:rPr>
        <w:footnoteReference w:id="297"/>
      </w:r>
      <w:r w:rsidRPr="00A851F6">
        <w:t xml:space="preserve">  Staff does not recommend the CPUC adopt the interim rate cap of $0.21 per minute for jails with an average daily population below 1,000 </w:t>
      </w:r>
      <w:r w:rsidR="00F543B9">
        <w:t>as</w:t>
      </w:r>
      <w:r w:rsidR="0070735A">
        <w:t xml:space="preserve"> there</w:t>
      </w:r>
      <w:r w:rsidR="00D76FE9">
        <w:t xml:space="preserve"> is no</w:t>
      </w:r>
      <w:r w:rsidR="00F543B9">
        <w:t xml:space="preserve"> </w:t>
      </w:r>
      <w:r w:rsidRPr="00A851F6" w:rsidR="55563520">
        <w:t>support</w:t>
      </w:r>
      <w:r w:rsidR="00D76FE9">
        <w:t>ing</w:t>
      </w:r>
      <w:r w:rsidR="003947CD">
        <w:t xml:space="preserve"> data</w:t>
      </w:r>
      <w:r w:rsidRPr="00A851F6" w:rsidR="55563520">
        <w:t xml:space="preserve"> </w:t>
      </w:r>
      <w:r w:rsidR="00F543B9">
        <w:t>in</w:t>
      </w:r>
      <w:r w:rsidRPr="00A851F6">
        <w:t xml:space="preserve"> the </w:t>
      </w:r>
      <w:r w:rsidR="00F543B9">
        <w:t xml:space="preserve">record for </w:t>
      </w:r>
      <w:r w:rsidRPr="00A851F6" w:rsidR="55563520">
        <w:t xml:space="preserve">the assertion </w:t>
      </w:r>
      <w:r w:rsidR="00020316">
        <w:t xml:space="preserve">showing </w:t>
      </w:r>
      <w:r w:rsidR="004345A4">
        <w:t>a cost differential between providing service to small and large facilities.</w:t>
      </w:r>
      <w:r w:rsidRPr="00A851F6">
        <w:t xml:space="preserve"> </w:t>
      </w:r>
    </w:p>
    <w:p w:rsidRPr="00A851F6" w:rsidR="00400A0E" w:rsidP="00400A0E" w:rsidRDefault="00400A0E" w14:paraId="5365B410" w14:textId="77777777">
      <w:pPr>
        <w:pStyle w:val="BodyText"/>
        <w:ind w:left="0"/>
      </w:pPr>
    </w:p>
    <w:p w:rsidRPr="00A851F6" w:rsidR="00400A0E" w:rsidP="00400A0E" w:rsidRDefault="00400A0E" w14:paraId="7FB99E67" w14:textId="77777777">
      <w:pPr>
        <w:pStyle w:val="BodyText"/>
        <w:spacing w:before="1"/>
        <w:ind w:left="0"/>
      </w:pPr>
      <w:r w:rsidRPr="00A851F6">
        <w:t>IMPACT OF INTERIM RATES ON PER MINUTE OF USE RATES</w:t>
      </w:r>
    </w:p>
    <w:p w:rsidRPr="00A851F6" w:rsidR="00400A0E" w:rsidP="00400A0E" w:rsidRDefault="00400A0E" w14:paraId="0EFED865" w14:textId="3361A1AB">
      <w:pPr>
        <w:pStyle w:val="BodyText"/>
        <w:spacing w:before="188" w:line="254" w:lineRule="auto"/>
        <w:ind w:left="0" w:right="221"/>
      </w:pPr>
      <w:r w:rsidRPr="00A851F6">
        <w:t xml:space="preserve">In </w:t>
      </w:r>
      <w:r>
        <w:t xml:space="preserve">response </w:t>
      </w:r>
      <w:r w:rsidRPr="00A851F6">
        <w:t xml:space="preserve">to the </w:t>
      </w:r>
      <w:r>
        <w:t xml:space="preserve">data request, </w:t>
      </w:r>
      <w:r w:rsidRPr="00A851F6">
        <w:t xml:space="preserve">carriers </w:t>
      </w:r>
      <w:r>
        <w:t xml:space="preserve">have </w:t>
      </w:r>
      <w:r w:rsidRPr="00A851F6">
        <w:t xml:space="preserve">reported offering ICS to </w:t>
      </w:r>
      <w:r w:rsidR="00C45949">
        <w:t>approximately 354</w:t>
      </w:r>
      <w:r>
        <w:t xml:space="preserve"> </w:t>
      </w:r>
      <w:r w:rsidRPr="00A851F6">
        <w:t>facilities</w:t>
      </w:r>
      <w:r w:rsidRPr="00A851F6">
        <w:rPr>
          <w:rStyle w:val="FootnoteReference"/>
        </w:rPr>
        <w:footnoteReference w:id="298"/>
      </w:r>
      <w:r>
        <w:t xml:space="preserve"> </w:t>
      </w:r>
      <w:r w:rsidRPr="00A851F6">
        <w:t xml:space="preserve">in </w:t>
      </w:r>
      <w:r>
        <w:t xml:space="preserve">California.  Based on </w:t>
      </w:r>
      <w:r w:rsidRPr="00A851F6">
        <w:t xml:space="preserve">this </w:t>
      </w:r>
      <w:r>
        <w:t xml:space="preserve">data, </w:t>
      </w:r>
      <w:r w:rsidRPr="00A851F6">
        <w:t xml:space="preserve">Staff estimates </w:t>
      </w:r>
      <w:r>
        <w:t xml:space="preserve">that 218 </w:t>
      </w:r>
      <w:r w:rsidRPr="00A851F6">
        <w:t xml:space="preserve">facilities </w:t>
      </w:r>
      <w:r>
        <w:t xml:space="preserve">and </w:t>
      </w:r>
      <w:r w:rsidRPr="00A851F6">
        <w:t>over 64,000</w:t>
      </w:r>
      <w:r>
        <w:t xml:space="preserve"> incarcerated persons </w:t>
      </w:r>
      <w:r w:rsidRPr="00A851F6">
        <w:t xml:space="preserve">would </w:t>
      </w:r>
      <w:r>
        <w:t xml:space="preserve">see </w:t>
      </w:r>
      <w:r w:rsidRPr="00A851F6">
        <w:t xml:space="preserve">immediate rate </w:t>
      </w:r>
      <w:r>
        <w:t xml:space="preserve">reductions </w:t>
      </w:r>
      <w:r w:rsidRPr="00A851F6">
        <w:t xml:space="preserve">from the interim rates, </w:t>
      </w:r>
      <w:r>
        <w:t xml:space="preserve">as they have </w:t>
      </w:r>
      <w:r w:rsidRPr="00A851F6">
        <w:t xml:space="preserve">rates </w:t>
      </w:r>
      <w:r>
        <w:t xml:space="preserve">that </w:t>
      </w:r>
      <w:r w:rsidRPr="00A851F6">
        <w:t>exceed $0.16</w:t>
      </w:r>
      <w:r>
        <w:t xml:space="preserve"> per </w:t>
      </w:r>
      <w:r w:rsidRPr="00A851F6">
        <w:t xml:space="preserve">minute (See </w:t>
      </w:r>
      <w:r>
        <w:t xml:space="preserve">Attachment </w:t>
      </w:r>
      <w:r w:rsidRPr="00A851F6">
        <w:t>A).</w:t>
      </w:r>
    </w:p>
    <w:p w:rsidRPr="00A851F6" w:rsidR="00400A0E" w:rsidP="00400A0E" w:rsidRDefault="00400A0E" w14:paraId="61C061A6" w14:textId="77777777">
      <w:pPr>
        <w:pStyle w:val="BodyText"/>
        <w:spacing w:before="175" w:line="264" w:lineRule="auto"/>
        <w:ind w:left="0" w:right="114"/>
      </w:pPr>
      <w:r w:rsidRPr="00A851F6">
        <w:t>Under Staff’s proposal, the price for a 15-minute phone call would be reduced from as much as $26.25 to a range of $2.10-$2.40.</w:t>
      </w:r>
    </w:p>
    <w:p w:rsidRPr="00A851F6" w:rsidR="00400A0E" w:rsidP="00400A0E" w:rsidRDefault="00400A0E" w14:paraId="2C6EF7AB" w14:textId="77777777">
      <w:pPr>
        <w:pStyle w:val="BodyText"/>
        <w:spacing w:before="146"/>
        <w:ind w:left="0"/>
      </w:pPr>
      <w:r w:rsidRPr="00A851F6">
        <w:lastRenderedPageBreak/>
        <w:t>FCC RATES ARE NOT APPROPRIATE FOR LONG TERM</w:t>
      </w:r>
    </w:p>
    <w:p w:rsidRPr="00A851F6" w:rsidR="00400A0E" w:rsidP="00400A0E" w:rsidRDefault="00400A0E" w14:paraId="38203735" w14:textId="0AD92BAD">
      <w:pPr>
        <w:pStyle w:val="BodyText"/>
        <w:spacing w:before="189" w:line="259" w:lineRule="auto"/>
        <w:ind w:left="0" w:right="221"/>
      </w:pPr>
      <w:r w:rsidRPr="00A851F6">
        <w:t>Staff finds the FCC rates to be unreasonable for long term intrastate rates.  Traditionally, telecommunications service usage is predominantly intrastate in nature— 70-80 percent of all calls are often considered intrastate.</w:t>
      </w:r>
      <w:r w:rsidRPr="00A851F6">
        <w:rPr>
          <w:rStyle w:val="FootnoteReference"/>
        </w:rPr>
        <w:footnoteReference w:id="299"/>
      </w:r>
      <w:r w:rsidRPr="00A851F6">
        <w:t xml:space="preserve">  Therefore, due to the percentage of usage, intrastate rates have a far greater impact on ones’ regular and ongoing communication</w:t>
      </w:r>
      <w:r w:rsidR="00C60FE0">
        <w:t>.</w:t>
      </w:r>
      <w:r w:rsidRPr="00A851F6">
        <w:t xml:space="preserve"> </w:t>
      </w:r>
    </w:p>
    <w:p w:rsidRPr="00A851F6" w:rsidR="00400A0E" w:rsidP="00400A0E" w:rsidRDefault="00400A0E" w14:paraId="46F2CF29" w14:textId="77777777">
      <w:pPr>
        <w:pStyle w:val="BodyText"/>
        <w:spacing w:before="161"/>
        <w:ind w:left="0"/>
      </w:pPr>
      <w:r w:rsidRPr="00A851F6">
        <w:t>ANCILLARY SERVICES</w:t>
      </w:r>
    </w:p>
    <w:p w:rsidRPr="00A851F6" w:rsidR="00400A0E" w:rsidP="00400A0E" w:rsidRDefault="00400A0E" w14:paraId="6C0228BD" w14:textId="2DDFBA38">
      <w:pPr>
        <w:pStyle w:val="BodyText"/>
        <w:spacing w:before="173" w:line="261" w:lineRule="auto"/>
        <w:ind w:left="0" w:right="221"/>
      </w:pPr>
      <w:r w:rsidRPr="00A851F6">
        <w:t>The FCC generally prohibits providers from imposing any ancillary service charges in connection with ICS other than those specified in its rules, and generally prohibits providers from imposing charges greater than the FCC’s applicable ancillary service fee caps.  The FCC has adopted interim rate caps for the following services</w:t>
      </w:r>
      <w:r w:rsidRPr="00A851F6">
        <w:rPr>
          <w:rStyle w:val="FootnoteReference"/>
        </w:rPr>
        <w:footnoteReference w:id="300"/>
      </w:r>
      <w:r>
        <w:t xml:space="preserve"> </w:t>
      </w:r>
      <w:r w:rsidRPr="00A851F6">
        <w:t xml:space="preserve">or charges.  </w:t>
      </w:r>
      <w:r w:rsidRPr="00A851F6" w:rsidDel="001F1A6D">
        <w:t xml:space="preserve">Staff recommends the CPUC adopt the rate caps below, not including the </w:t>
      </w:r>
      <w:r w:rsidR="00B43C2C">
        <w:t>single-call</w:t>
      </w:r>
      <w:r w:rsidRPr="00A851F6" w:rsidDel="001F1A6D">
        <w:t xml:space="preserve"> service fee, on an interim b</w:t>
      </w:r>
      <w:r w:rsidRPr="00A851F6" w:rsidDel="06F8A300">
        <w:t>asis</w:t>
      </w:r>
      <w:r w:rsidRPr="00A851F6">
        <w:t>:</w:t>
      </w:r>
    </w:p>
    <w:p w:rsidRPr="00A851F6" w:rsidR="00400A0E" w:rsidP="00C150AE" w:rsidRDefault="00400A0E" w14:paraId="5887C2C1" w14:textId="77777777">
      <w:pPr>
        <w:pStyle w:val="ListParagraph"/>
        <w:widowControl w:val="0"/>
        <w:numPr>
          <w:ilvl w:val="0"/>
          <w:numId w:val="42"/>
        </w:numPr>
        <w:tabs>
          <w:tab w:val="left" w:pos="850"/>
          <w:tab w:val="left" w:pos="851"/>
        </w:tabs>
        <w:autoSpaceDE w:val="0"/>
        <w:autoSpaceDN w:val="0"/>
        <w:spacing w:before="240" w:line="276" w:lineRule="exact"/>
        <w:ind w:left="864" w:hanging="360"/>
        <w:contextualSpacing w:val="0"/>
        <w:rPr>
          <w:rFonts w:ascii="Times New Roman" w:hAnsi="Times New Roman" w:cs="Times New Roman" w:eastAsiaTheme="minorEastAsia"/>
        </w:rPr>
      </w:pPr>
      <w:r w:rsidRPr="00A851F6">
        <w:rPr>
          <w:rFonts w:ascii="Times New Roman" w:hAnsi="Times New Roman" w:cs="Times New Roman"/>
        </w:rPr>
        <w:t>Automated Payment Fees: The FCC limits these fees to a maximum of $3.00 per use.</w:t>
      </w:r>
    </w:p>
    <w:p w:rsidRPr="00A851F6" w:rsidR="00400A0E" w:rsidP="00400A0E" w:rsidRDefault="00400A0E" w14:paraId="6B473BAE" w14:textId="77777777">
      <w:pPr>
        <w:pStyle w:val="ListParagraph"/>
        <w:widowControl w:val="0"/>
        <w:numPr>
          <w:ilvl w:val="0"/>
          <w:numId w:val="42"/>
        </w:numPr>
        <w:tabs>
          <w:tab w:val="left" w:pos="851"/>
        </w:tabs>
        <w:autoSpaceDE w:val="0"/>
        <w:autoSpaceDN w:val="0"/>
        <w:spacing w:before="27" w:line="256" w:lineRule="auto"/>
        <w:ind w:right="415"/>
        <w:contextualSpacing w:val="0"/>
        <w:rPr>
          <w:rFonts w:ascii="Times New Roman" w:hAnsi="Times New Roman" w:cs="Times New Roman" w:eastAsiaTheme="minorEastAsia"/>
        </w:rPr>
      </w:pPr>
      <w:r w:rsidRPr="00A851F6">
        <w:rPr>
          <w:rFonts w:ascii="Times New Roman" w:hAnsi="Times New Roman" w:cs="Times New Roman"/>
        </w:rPr>
        <w:t>Third-Party Financial Transaction Fees: The FCC limits the amount of third-party fees that an ICS provider can pass on to consumers to the exact third-party fees, with no markup.</w:t>
      </w:r>
    </w:p>
    <w:p w:rsidRPr="00A851F6" w:rsidR="00400A0E" w:rsidP="00400A0E" w:rsidRDefault="00400A0E" w14:paraId="26C96CB0" w14:textId="77777777">
      <w:pPr>
        <w:pStyle w:val="ListParagraph"/>
        <w:widowControl w:val="0"/>
        <w:numPr>
          <w:ilvl w:val="0"/>
          <w:numId w:val="42"/>
        </w:numPr>
        <w:tabs>
          <w:tab w:val="left" w:pos="851"/>
        </w:tabs>
        <w:autoSpaceDE w:val="0"/>
        <w:autoSpaceDN w:val="0"/>
        <w:spacing w:before="7"/>
        <w:contextualSpacing w:val="0"/>
        <w:rPr>
          <w:rFonts w:ascii="Times New Roman" w:hAnsi="Times New Roman" w:cs="Times New Roman" w:eastAsiaTheme="minorEastAsia"/>
        </w:rPr>
      </w:pPr>
      <w:r w:rsidRPr="00A851F6">
        <w:rPr>
          <w:rFonts w:ascii="Times New Roman" w:hAnsi="Times New Roman" w:cs="Times New Roman"/>
        </w:rPr>
        <w:t>Live agent fee: The FCC caps single live operator interaction at $5.95 per interaction.</w:t>
      </w:r>
    </w:p>
    <w:p w:rsidRPr="00A851F6" w:rsidR="00400A0E" w:rsidP="00400A0E" w:rsidRDefault="00400A0E" w14:paraId="185B53C3" w14:textId="77777777">
      <w:pPr>
        <w:pStyle w:val="ListParagraph"/>
        <w:widowControl w:val="0"/>
        <w:numPr>
          <w:ilvl w:val="0"/>
          <w:numId w:val="42"/>
        </w:numPr>
        <w:tabs>
          <w:tab w:val="left" w:pos="851"/>
        </w:tabs>
        <w:autoSpaceDE w:val="0"/>
        <w:autoSpaceDN w:val="0"/>
        <w:spacing w:before="27"/>
        <w:contextualSpacing w:val="0"/>
        <w:rPr>
          <w:rFonts w:ascii="Times New Roman" w:hAnsi="Times New Roman" w:cs="Times New Roman" w:eastAsiaTheme="minorEastAsia"/>
        </w:rPr>
      </w:pPr>
      <w:r w:rsidRPr="00A851F6">
        <w:rPr>
          <w:rFonts w:ascii="Times New Roman" w:hAnsi="Times New Roman" w:cs="Times New Roman"/>
        </w:rPr>
        <w:t>Paper bill fee: The FCC caps fees for paper bills at $2.00 per statement.</w:t>
      </w:r>
    </w:p>
    <w:p w:rsidRPr="00A851F6" w:rsidR="00400A0E" w:rsidP="00400A0E" w:rsidRDefault="00400A0E" w14:paraId="02A91FAF" w14:textId="1ADFD9C7">
      <w:pPr>
        <w:pStyle w:val="ListParagraph"/>
        <w:widowControl w:val="0"/>
        <w:numPr>
          <w:ilvl w:val="0"/>
          <w:numId w:val="42"/>
        </w:numPr>
        <w:tabs>
          <w:tab w:val="left" w:pos="851"/>
        </w:tabs>
        <w:autoSpaceDE w:val="0"/>
        <w:autoSpaceDN w:val="0"/>
        <w:spacing w:before="10" w:line="261" w:lineRule="auto"/>
        <w:ind w:right="471"/>
        <w:contextualSpacing w:val="0"/>
        <w:rPr>
          <w:rFonts w:ascii="Times New Roman" w:hAnsi="Times New Roman" w:cs="Times New Roman" w:eastAsiaTheme="minorEastAsia"/>
        </w:rPr>
      </w:pPr>
      <w:r w:rsidRPr="00A851F6">
        <w:rPr>
          <w:rFonts w:ascii="Times New Roman" w:hAnsi="Times New Roman" w:cs="Times New Roman"/>
        </w:rPr>
        <w:t>Mandatory Pass-Through Government Taxes and Fees: The FCC prohibits markups on either category of charges.</w:t>
      </w:r>
    </w:p>
    <w:p w:rsidRPr="00C150AE" w:rsidR="00400A0E" w:rsidP="00400A0E" w:rsidRDefault="00400A0E" w14:paraId="2D3126C3" w14:textId="77777777">
      <w:pPr>
        <w:pStyle w:val="BodyText"/>
        <w:ind w:left="0"/>
        <w:rPr>
          <w:sz w:val="12"/>
          <w:szCs w:val="12"/>
        </w:rPr>
      </w:pPr>
    </w:p>
    <w:p w:rsidRPr="00A851F6" w:rsidR="00400A0E" w:rsidP="00400A0E" w:rsidRDefault="00400A0E" w14:paraId="51A8C46F" w14:textId="77777777">
      <w:pPr>
        <w:pStyle w:val="BodyText"/>
        <w:spacing w:before="1" w:line="259" w:lineRule="auto"/>
        <w:ind w:right="109"/>
      </w:pPr>
      <w:r w:rsidRPr="00A851F6">
        <w:t xml:space="preserve">Staff also recommends that the CPUC prohibit carriers from charging any other service fees or ancillary service fees not specified above.  Although not exhaustive, Staff has developed a list from the data requests of other services and charges being assessed in connection with ICS (see Attachment B).  This list shows the extent of the various charges carriers currently provide and indicates that the “per-minute-of-use charges” are only a portion of the fees incarcerated persons are charged.  For example, some ICS providers are charging a Transaction Processing Fee and a Prepaid Refund Processing Fee, both of which Staff recommends the CPUC prohibit.  </w:t>
      </w:r>
    </w:p>
    <w:p w:rsidRPr="00A851F6" w:rsidR="00400A0E" w:rsidP="00400A0E" w:rsidRDefault="00400A0E" w14:paraId="5284ACA4" w14:textId="77777777">
      <w:pPr>
        <w:pStyle w:val="BodyText"/>
        <w:spacing w:before="162"/>
      </w:pPr>
      <w:r w:rsidRPr="00A851F6">
        <w:t>OTHER INMATE’S COMMUNICATION SERVICES</w:t>
      </w:r>
    </w:p>
    <w:p w:rsidRPr="00A851F6" w:rsidR="00400A0E" w:rsidP="00400A0E" w:rsidRDefault="00400A0E" w14:paraId="46DFF302" w14:textId="77777777">
      <w:pPr>
        <w:pStyle w:val="BodyText"/>
        <w:spacing w:before="188" w:line="256" w:lineRule="auto"/>
        <w:ind w:right="221"/>
      </w:pPr>
      <w:r w:rsidRPr="00A851F6">
        <w:t>At this time, Staff does not recommend that interim relief include rates for other communications services, such as text or video communication.</w:t>
      </w:r>
      <w:r w:rsidRPr="00A851F6">
        <w:rPr>
          <w:rStyle w:val="FootnoteReference"/>
        </w:rPr>
        <w:footnoteReference w:id="301"/>
      </w:r>
      <w:r w:rsidRPr="00A851F6">
        <w:t xml:space="preserve"> </w:t>
      </w:r>
      <w:r>
        <w:t xml:space="preserve"> </w:t>
      </w:r>
      <w:r w:rsidRPr="00A851F6">
        <w:t>Staff does not have the necessary relative pricing data to determine the reasonableness of these and other non-voice communication service rates at this time. However, Staff recommends that any adopted permanent rates and regulations include these other services.</w:t>
      </w:r>
    </w:p>
    <w:p w:rsidRPr="00A851F6" w:rsidR="00400A0E" w:rsidP="00400A0E" w:rsidRDefault="00400A0E" w14:paraId="187A6EFE" w14:textId="77777777">
      <w:pPr>
        <w:pStyle w:val="BodyText"/>
        <w:spacing w:before="173"/>
      </w:pPr>
      <w:r w:rsidRPr="00A851F6">
        <w:lastRenderedPageBreak/>
        <w:t>TIMELINE FOR IMPLEMENTATION OF INTERIM RATES</w:t>
      </w:r>
    </w:p>
    <w:p w:rsidRPr="00A851F6" w:rsidR="00400A0E" w:rsidP="00400A0E" w:rsidRDefault="00400A0E" w14:paraId="2C00C2E4" w14:textId="77777777">
      <w:pPr>
        <w:pStyle w:val="BodyText"/>
        <w:spacing w:before="173" w:line="259" w:lineRule="auto"/>
        <w:ind w:right="221"/>
      </w:pPr>
      <w:r w:rsidRPr="00A851F6">
        <w:rPr>
          <w:spacing w:val="2"/>
        </w:rPr>
        <w:t xml:space="preserve">Staff recommends </w:t>
      </w:r>
      <w:r w:rsidRPr="00A851F6">
        <w:t xml:space="preserve">the CPUC adopt interim rates </w:t>
      </w:r>
      <w:r w:rsidRPr="00A851F6">
        <w:rPr>
          <w:spacing w:val="2"/>
        </w:rPr>
        <w:t xml:space="preserve">as </w:t>
      </w:r>
      <w:r w:rsidRPr="00A851F6">
        <w:rPr>
          <w:spacing w:val="4"/>
        </w:rPr>
        <w:t xml:space="preserve">soon </w:t>
      </w:r>
      <w:r w:rsidRPr="00A851F6">
        <w:rPr>
          <w:spacing w:val="2"/>
        </w:rPr>
        <w:t xml:space="preserve">as </w:t>
      </w:r>
      <w:r w:rsidRPr="00A851F6">
        <w:t xml:space="preserve">is practically </w:t>
      </w:r>
      <w:r w:rsidRPr="00A851F6">
        <w:rPr>
          <w:spacing w:val="2"/>
        </w:rPr>
        <w:t xml:space="preserve">possible.  </w:t>
      </w:r>
      <w:r w:rsidRPr="00A851F6">
        <w:t xml:space="preserve">Further, </w:t>
      </w:r>
      <w:r w:rsidRPr="00A851F6">
        <w:rPr>
          <w:spacing w:val="2"/>
        </w:rPr>
        <w:t xml:space="preserve">Staff </w:t>
      </w:r>
      <w:r w:rsidRPr="00A851F6">
        <w:rPr>
          <w:spacing w:val="4"/>
        </w:rPr>
        <w:t>recommends</w:t>
      </w:r>
      <w:r w:rsidRPr="00A851F6">
        <w:rPr>
          <w:spacing w:val="-7"/>
        </w:rPr>
        <w:t xml:space="preserve"> </w:t>
      </w:r>
      <w:r w:rsidRPr="00A851F6">
        <w:rPr>
          <w:spacing w:val="2"/>
        </w:rPr>
        <w:t>that</w:t>
      </w:r>
      <w:r w:rsidRPr="00A851F6">
        <w:rPr>
          <w:spacing w:val="-11"/>
        </w:rPr>
        <w:t xml:space="preserve"> </w:t>
      </w:r>
      <w:r w:rsidRPr="00A851F6">
        <w:t>the</w:t>
      </w:r>
      <w:r w:rsidRPr="00A851F6">
        <w:rPr>
          <w:spacing w:val="-3"/>
        </w:rPr>
        <w:t xml:space="preserve"> </w:t>
      </w:r>
      <w:r w:rsidRPr="00A851F6">
        <w:t>CPUC</w:t>
      </w:r>
      <w:r w:rsidRPr="00A851F6">
        <w:rPr>
          <w:spacing w:val="-2"/>
        </w:rPr>
        <w:t xml:space="preserve"> </w:t>
      </w:r>
      <w:r w:rsidRPr="00A851F6">
        <w:rPr>
          <w:spacing w:val="2"/>
        </w:rPr>
        <w:t>direct</w:t>
      </w:r>
      <w:r w:rsidRPr="00A851F6">
        <w:rPr>
          <w:spacing w:val="-12"/>
        </w:rPr>
        <w:t xml:space="preserve"> </w:t>
      </w:r>
      <w:r w:rsidRPr="00A851F6">
        <w:t>carriers</w:t>
      </w:r>
      <w:r w:rsidRPr="00A851F6">
        <w:rPr>
          <w:spacing w:val="-6"/>
        </w:rPr>
        <w:t xml:space="preserve"> </w:t>
      </w:r>
      <w:r w:rsidRPr="00A851F6">
        <w:t>to</w:t>
      </w:r>
      <w:r w:rsidRPr="00A851F6">
        <w:rPr>
          <w:spacing w:val="-1"/>
        </w:rPr>
        <w:t xml:space="preserve"> </w:t>
      </w:r>
      <w:r w:rsidRPr="00A851F6">
        <w:rPr>
          <w:spacing w:val="3"/>
        </w:rPr>
        <w:t>implement</w:t>
      </w:r>
      <w:r w:rsidRPr="00A851F6">
        <w:rPr>
          <w:spacing w:val="-11"/>
        </w:rPr>
        <w:t xml:space="preserve"> </w:t>
      </w:r>
      <w:r w:rsidRPr="00A851F6">
        <w:t>the</w:t>
      </w:r>
      <w:r w:rsidRPr="00A851F6">
        <w:rPr>
          <w:spacing w:val="-3"/>
        </w:rPr>
        <w:t xml:space="preserve"> </w:t>
      </w:r>
      <w:r w:rsidRPr="00A851F6">
        <w:rPr>
          <w:spacing w:val="4"/>
        </w:rPr>
        <w:t>new</w:t>
      </w:r>
      <w:r w:rsidRPr="00A851F6">
        <w:rPr>
          <w:spacing w:val="-6"/>
        </w:rPr>
        <w:t xml:space="preserve"> </w:t>
      </w:r>
      <w:r w:rsidRPr="00A851F6">
        <w:t>rates</w:t>
      </w:r>
      <w:r w:rsidRPr="00A851F6">
        <w:rPr>
          <w:spacing w:val="-6"/>
        </w:rPr>
        <w:t xml:space="preserve"> </w:t>
      </w:r>
      <w:r w:rsidRPr="00A851F6">
        <w:t xml:space="preserve">within </w:t>
      </w:r>
      <w:r w:rsidRPr="00A851F6">
        <w:rPr>
          <w:spacing w:val="3"/>
        </w:rPr>
        <w:t>30</w:t>
      </w:r>
      <w:r w:rsidRPr="00A851F6">
        <w:rPr>
          <w:spacing w:val="-1"/>
        </w:rPr>
        <w:t xml:space="preserve"> </w:t>
      </w:r>
      <w:r w:rsidRPr="00A851F6">
        <w:t>days</w:t>
      </w:r>
      <w:r w:rsidRPr="00A851F6">
        <w:rPr>
          <w:spacing w:val="-6"/>
        </w:rPr>
        <w:t xml:space="preserve"> </w:t>
      </w:r>
      <w:r w:rsidRPr="00A851F6">
        <w:rPr>
          <w:spacing w:val="3"/>
        </w:rPr>
        <w:t>of</w:t>
      </w:r>
      <w:r w:rsidRPr="00A851F6">
        <w:rPr>
          <w:spacing w:val="-9"/>
        </w:rPr>
        <w:t xml:space="preserve"> </w:t>
      </w:r>
      <w:r w:rsidRPr="00A851F6">
        <w:t>adoption,</w:t>
      </w:r>
      <w:r w:rsidRPr="00A851F6">
        <w:rPr>
          <w:spacing w:val="-5"/>
        </w:rPr>
        <w:t xml:space="preserve"> </w:t>
      </w:r>
      <w:r w:rsidRPr="00A851F6">
        <w:rPr>
          <w:spacing w:val="4"/>
        </w:rPr>
        <w:t xml:space="preserve">and </w:t>
      </w:r>
      <w:r w:rsidRPr="00A851F6">
        <w:rPr>
          <w:spacing w:val="3"/>
        </w:rPr>
        <w:t>order</w:t>
      </w:r>
      <w:r w:rsidRPr="00A851F6">
        <w:rPr>
          <w:spacing w:val="-8"/>
        </w:rPr>
        <w:t xml:space="preserve"> </w:t>
      </w:r>
      <w:r w:rsidRPr="00A851F6">
        <w:rPr>
          <w:spacing w:val="2"/>
        </w:rPr>
        <w:t>that</w:t>
      </w:r>
      <w:r w:rsidRPr="00A851F6">
        <w:rPr>
          <w:spacing w:val="-10"/>
        </w:rPr>
        <w:t xml:space="preserve"> </w:t>
      </w:r>
      <w:r w:rsidRPr="00A851F6">
        <w:rPr>
          <w:spacing w:val="2"/>
        </w:rPr>
        <w:t>these</w:t>
      </w:r>
      <w:r w:rsidRPr="00A851F6">
        <w:rPr>
          <w:spacing w:val="-1"/>
        </w:rPr>
        <w:t xml:space="preserve"> </w:t>
      </w:r>
      <w:r w:rsidRPr="00A851F6">
        <w:t>interim rates</w:t>
      </w:r>
      <w:r w:rsidRPr="00A851F6">
        <w:rPr>
          <w:spacing w:val="-5"/>
        </w:rPr>
        <w:t xml:space="preserve"> </w:t>
      </w:r>
      <w:r w:rsidRPr="00A851F6">
        <w:t>remain</w:t>
      </w:r>
      <w:r w:rsidRPr="00A851F6">
        <w:rPr>
          <w:spacing w:val="2"/>
        </w:rPr>
        <w:t xml:space="preserve"> </w:t>
      </w:r>
      <w:r w:rsidRPr="00A851F6">
        <w:t>in</w:t>
      </w:r>
      <w:r w:rsidRPr="00A851F6">
        <w:rPr>
          <w:spacing w:val="1"/>
        </w:rPr>
        <w:t xml:space="preserve"> </w:t>
      </w:r>
      <w:r w:rsidRPr="00A851F6">
        <w:rPr>
          <w:spacing w:val="4"/>
        </w:rPr>
        <w:t>effect</w:t>
      </w:r>
      <w:r w:rsidRPr="00A851F6">
        <w:rPr>
          <w:spacing w:val="-2"/>
        </w:rPr>
        <w:t xml:space="preserve"> </w:t>
      </w:r>
      <w:r w:rsidRPr="00A851F6">
        <w:t>until</w:t>
      </w:r>
      <w:r w:rsidRPr="00A851F6">
        <w:rPr>
          <w:spacing w:val="-9"/>
        </w:rPr>
        <w:t xml:space="preserve"> </w:t>
      </w:r>
      <w:r w:rsidRPr="00A851F6">
        <w:t>the</w:t>
      </w:r>
      <w:r w:rsidRPr="00A851F6">
        <w:rPr>
          <w:spacing w:val="-1"/>
        </w:rPr>
        <w:t xml:space="preserve"> </w:t>
      </w:r>
      <w:r w:rsidRPr="00A851F6">
        <w:t>CPUC</w:t>
      </w:r>
      <w:r w:rsidRPr="00A851F6">
        <w:rPr>
          <w:spacing w:val="-8"/>
        </w:rPr>
        <w:t xml:space="preserve"> </w:t>
      </w:r>
      <w:r w:rsidRPr="00A851F6">
        <w:rPr>
          <w:spacing w:val="3"/>
        </w:rPr>
        <w:t>adopts</w:t>
      </w:r>
      <w:r w:rsidRPr="00A851F6">
        <w:rPr>
          <w:spacing w:val="-4"/>
        </w:rPr>
        <w:t xml:space="preserve"> </w:t>
      </w:r>
      <w:r w:rsidRPr="00A851F6">
        <w:t>permanent</w:t>
      </w:r>
      <w:r w:rsidRPr="00A851F6">
        <w:rPr>
          <w:spacing w:val="-10"/>
        </w:rPr>
        <w:t xml:space="preserve"> </w:t>
      </w:r>
      <w:r w:rsidRPr="00A851F6">
        <w:t>rates</w:t>
      </w:r>
      <w:r w:rsidRPr="00A851F6">
        <w:rPr>
          <w:spacing w:val="-4"/>
        </w:rPr>
        <w:t xml:space="preserve"> </w:t>
      </w:r>
      <w:r w:rsidRPr="00A851F6">
        <w:rPr>
          <w:spacing w:val="2"/>
        </w:rPr>
        <w:t>at</w:t>
      </w:r>
      <w:r w:rsidRPr="00A851F6">
        <w:rPr>
          <w:spacing w:val="-10"/>
        </w:rPr>
        <w:t xml:space="preserve"> </w:t>
      </w:r>
      <w:r w:rsidRPr="00A851F6">
        <w:t xml:space="preserve">the conclusion </w:t>
      </w:r>
      <w:r w:rsidRPr="00A851F6">
        <w:rPr>
          <w:spacing w:val="3"/>
        </w:rPr>
        <w:t xml:space="preserve">of </w:t>
      </w:r>
      <w:r w:rsidRPr="00A851F6">
        <w:t>R.20-10-002.</w:t>
      </w:r>
    </w:p>
    <w:p w:rsidRPr="00A851F6" w:rsidR="00400A0E" w:rsidP="00400A0E" w:rsidRDefault="00400A0E" w14:paraId="34417CA5" w14:textId="77777777">
      <w:pPr>
        <w:pStyle w:val="BodyText"/>
        <w:spacing w:before="169"/>
      </w:pPr>
      <w:r w:rsidRPr="00A851F6">
        <w:t>COMPLIANCE</w:t>
      </w:r>
    </w:p>
    <w:p w:rsidRPr="00A851F6" w:rsidR="00400A0E" w:rsidP="00400A0E" w:rsidRDefault="00400A0E" w14:paraId="4F579B49" w14:textId="16A1819B">
      <w:pPr>
        <w:pStyle w:val="BodyText"/>
        <w:spacing w:before="172" w:line="256" w:lineRule="auto"/>
        <w:ind w:right="109"/>
      </w:pPr>
      <w:r>
        <w:t xml:space="preserve">Staff recommends that </w:t>
      </w:r>
      <w:r w:rsidRPr="00A851F6">
        <w:t xml:space="preserve">the CPUC </w:t>
      </w:r>
      <w:r>
        <w:t xml:space="preserve">require </w:t>
      </w:r>
      <w:r w:rsidRPr="00A851F6">
        <w:t xml:space="preserve">carriers to </w:t>
      </w:r>
      <w:r>
        <w:t xml:space="preserve">file </w:t>
      </w:r>
      <w:r w:rsidRPr="00A851F6">
        <w:t xml:space="preserve">a Notice </w:t>
      </w:r>
      <w:r>
        <w:t>of Compliance</w:t>
      </w:r>
      <w:r w:rsidRPr="00A851F6">
        <w:rPr>
          <w:rStyle w:val="FootnoteReference"/>
          <w:spacing w:val="2"/>
        </w:rPr>
        <w:footnoteReference w:id="302"/>
      </w:r>
      <w:r>
        <w:t xml:space="preserve"> </w:t>
      </w:r>
      <w:r w:rsidRPr="00A851F6">
        <w:t xml:space="preserve">with the </w:t>
      </w:r>
      <w:r>
        <w:t xml:space="preserve">Communications </w:t>
      </w:r>
      <w:r w:rsidRPr="00A851F6">
        <w:t xml:space="preserve">Division </w:t>
      </w:r>
      <w:r w:rsidR="00452109">
        <w:t>at cddirector@cpuc.ca.gov</w:t>
      </w:r>
      <w:r w:rsidRPr="00A851F6">
        <w:t xml:space="preserve"> within </w:t>
      </w:r>
      <w:r>
        <w:t xml:space="preserve">30 </w:t>
      </w:r>
      <w:r w:rsidRPr="00A851F6">
        <w:t xml:space="preserve">days </w:t>
      </w:r>
      <w:r>
        <w:t xml:space="preserve">of </w:t>
      </w:r>
      <w:r w:rsidRPr="00A851F6">
        <w:t xml:space="preserve">the interim rates </w:t>
      </w:r>
      <w:r>
        <w:t xml:space="preserve">being adopted.  </w:t>
      </w:r>
      <w:r w:rsidRPr="00A851F6">
        <w:t xml:space="preserve">This Notice </w:t>
      </w:r>
      <w:r>
        <w:t xml:space="preserve">should include </w:t>
      </w:r>
      <w:r w:rsidRPr="00A851F6">
        <w:t xml:space="preserve">the </w:t>
      </w:r>
      <w:r>
        <w:t>following:</w:t>
      </w:r>
    </w:p>
    <w:p w:rsidRPr="00A851F6" w:rsidR="00400A0E" w:rsidP="00472730" w:rsidRDefault="00400A0E" w14:paraId="6EED1516" w14:textId="77777777">
      <w:pPr>
        <w:pStyle w:val="ListParagraph"/>
        <w:widowControl w:val="0"/>
        <w:numPr>
          <w:ilvl w:val="0"/>
          <w:numId w:val="43"/>
        </w:numPr>
        <w:tabs>
          <w:tab w:val="left" w:pos="1219"/>
        </w:tabs>
        <w:autoSpaceDE w:val="0"/>
        <w:autoSpaceDN w:val="0"/>
        <w:spacing w:before="172" w:line="264" w:lineRule="auto"/>
        <w:ind w:right="431"/>
        <w:contextualSpacing w:val="0"/>
        <w:rPr>
          <w:rFonts w:ascii="Times New Roman" w:hAnsi="Times New Roman" w:cs="Times New Roman"/>
        </w:rPr>
      </w:pPr>
      <w:r w:rsidRPr="00A851F6">
        <w:rPr>
          <w:rFonts w:ascii="Times New Roman" w:hAnsi="Times New Roman" w:cs="Times New Roman"/>
        </w:rPr>
        <w:t xml:space="preserve">Attestation </w:t>
      </w:r>
      <w:r w:rsidRPr="00A851F6">
        <w:rPr>
          <w:rFonts w:ascii="Times New Roman" w:hAnsi="Times New Roman" w:cs="Times New Roman"/>
          <w:spacing w:val="2"/>
        </w:rPr>
        <w:t>that</w:t>
      </w:r>
      <w:r w:rsidRPr="00A851F6">
        <w:rPr>
          <w:rFonts w:ascii="Times New Roman" w:hAnsi="Times New Roman" w:cs="Times New Roman"/>
          <w:spacing w:val="-10"/>
        </w:rPr>
        <w:t xml:space="preserve"> </w:t>
      </w:r>
      <w:r w:rsidRPr="00A851F6">
        <w:rPr>
          <w:rFonts w:ascii="Times New Roman" w:hAnsi="Times New Roman" w:cs="Times New Roman"/>
        </w:rPr>
        <w:t>the</w:t>
      </w:r>
      <w:r w:rsidRPr="00A851F6">
        <w:rPr>
          <w:rFonts w:ascii="Times New Roman" w:hAnsi="Times New Roman" w:cs="Times New Roman"/>
          <w:spacing w:val="-1"/>
        </w:rPr>
        <w:t xml:space="preserve"> </w:t>
      </w:r>
      <w:r w:rsidRPr="00A851F6">
        <w:rPr>
          <w:rFonts w:ascii="Times New Roman" w:hAnsi="Times New Roman" w:cs="Times New Roman"/>
        </w:rPr>
        <w:t>interim</w:t>
      </w:r>
      <w:r w:rsidRPr="00A851F6">
        <w:rPr>
          <w:rFonts w:ascii="Times New Roman" w:hAnsi="Times New Roman" w:cs="Times New Roman"/>
          <w:spacing w:val="-2"/>
        </w:rPr>
        <w:t xml:space="preserve"> </w:t>
      </w:r>
      <w:r w:rsidRPr="00A851F6">
        <w:rPr>
          <w:rFonts w:ascii="Times New Roman" w:hAnsi="Times New Roman" w:cs="Times New Roman"/>
        </w:rPr>
        <w:t>rates</w:t>
      </w:r>
      <w:r w:rsidRPr="00A851F6">
        <w:rPr>
          <w:rFonts w:ascii="Times New Roman" w:hAnsi="Times New Roman" w:cs="Times New Roman"/>
          <w:spacing w:val="-5"/>
        </w:rPr>
        <w:t xml:space="preserve"> </w:t>
      </w:r>
      <w:r w:rsidRPr="00A851F6">
        <w:rPr>
          <w:rFonts w:ascii="Times New Roman" w:hAnsi="Times New Roman" w:cs="Times New Roman"/>
          <w:spacing w:val="4"/>
        </w:rPr>
        <w:t>have</w:t>
      </w:r>
      <w:r w:rsidRPr="00A851F6">
        <w:rPr>
          <w:rFonts w:ascii="Times New Roman" w:hAnsi="Times New Roman" w:cs="Times New Roman"/>
          <w:spacing w:val="-1"/>
        </w:rPr>
        <w:t xml:space="preserve"> </w:t>
      </w:r>
      <w:r w:rsidRPr="00A851F6">
        <w:rPr>
          <w:rFonts w:ascii="Times New Roman" w:hAnsi="Times New Roman" w:cs="Times New Roman"/>
          <w:spacing w:val="4"/>
        </w:rPr>
        <w:t>been</w:t>
      </w:r>
      <w:r w:rsidRPr="00A851F6">
        <w:rPr>
          <w:rFonts w:ascii="Times New Roman" w:hAnsi="Times New Roman" w:cs="Times New Roman"/>
          <w:spacing w:val="1"/>
        </w:rPr>
        <w:t xml:space="preserve"> </w:t>
      </w:r>
      <w:r w:rsidRPr="00A851F6">
        <w:rPr>
          <w:rFonts w:ascii="Times New Roman" w:hAnsi="Times New Roman" w:cs="Times New Roman"/>
        </w:rPr>
        <w:t>implemented</w:t>
      </w:r>
      <w:r w:rsidRPr="00A851F6">
        <w:rPr>
          <w:rFonts w:ascii="Times New Roman" w:hAnsi="Times New Roman" w:cs="Times New Roman"/>
          <w:spacing w:val="-17"/>
        </w:rPr>
        <w:t xml:space="preserve"> </w:t>
      </w:r>
      <w:r w:rsidRPr="00A851F6">
        <w:rPr>
          <w:rFonts w:ascii="Times New Roman" w:hAnsi="Times New Roman" w:cs="Times New Roman"/>
          <w:spacing w:val="2"/>
        </w:rPr>
        <w:t>at</w:t>
      </w:r>
      <w:r w:rsidRPr="00A851F6">
        <w:rPr>
          <w:rFonts w:ascii="Times New Roman" w:hAnsi="Times New Roman" w:cs="Times New Roman"/>
          <w:spacing w:val="-11"/>
        </w:rPr>
        <w:t xml:space="preserve"> </w:t>
      </w:r>
      <w:r w:rsidRPr="00A851F6">
        <w:rPr>
          <w:rFonts w:ascii="Times New Roman" w:hAnsi="Times New Roman" w:cs="Times New Roman"/>
          <w:spacing w:val="4"/>
        </w:rPr>
        <w:t>any</w:t>
      </w:r>
      <w:r w:rsidRPr="00A851F6">
        <w:rPr>
          <w:rFonts w:ascii="Times New Roman" w:hAnsi="Times New Roman" w:cs="Times New Roman"/>
          <w:spacing w:val="1"/>
        </w:rPr>
        <w:t xml:space="preserve"> </w:t>
      </w:r>
      <w:r w:rsidRPr="00A851F6">
        <w:rPr>
          <w:rFonts w:ascii="Times New Roman" w:hAnsi="Times New Roman" w:cs="Times New Roman"/>
          <w:spacing w:val="4"/>
        </w:rPr>
        <w:t>and</w:t>
      </w:r>
      <w:r w:rsidRPr="00A851F6">
        <w:rPr>
          <w:rFonts w:ascii="Times New Roman" w:hAnsi="Times New Roman" w:cs="Times New Roman"/>
          <w:spacing w:val="1"/>
        </w:rPr>
        <w:t xml:space="preserve"> </w:t>
      </w:r>
      <w:r w:rsidRPr="00A851F6">
        <w:rPr>
          <w:rFonts w:ascii="Times New Roman" w:hAnsi="Times New Roman" w:cs="Times New Roman"/>
        </w:rPr>
        <w:t>all</w:t>
      </w:r>
      <w:r w:rsidRPr="00A851F6">
        <w:rPr>
          <w:rFonts w:ascii="Times New Roman" w:hAnsi="Times New Roman" w:cs="Times New Roman"/>
          <w:spacing w:val="-10"/>
        </w:rPr>
        <w:t xml:space="preserve"> </w:t>
      </w:r>
      <w:r w:rsidRPr="00A851F6">
        <w:rPr>
          <w:rFonts w:ascii="Times New Roman" w:hAnsi="Times New Roman" w:cs="Times New Roman"/>
        </w:rPr>
        <w:t>facilities</w:t>
      </w:r>
      <w:r w:rsidRPr="00A851F6">
        <w:rPr>
          <w:rFonts w:ascii="Times New Roman" w:hAnsi="Times New Roman" w:cs="Times New Roman"/>
          <w:spacing w:val="-5"/>
        </w:rPr>
        <w:t xml:space="preserve"> </w:t>
      </w:r>
      <w:r w:rsidRPr="00A851F6">
        <w:rPr>
          <w:rFonts w:ascii="Times New Roman" w:hAnsi="Times New Roman" w:cs="Times New Roman"/>
        </w:rPr>
        <w:t>served</w:t>
      </w:r>
      <w:r w:rsidRPr="00A851F6">
        <w:rPr>
          <w:rFonts w:ascii="Times New Roman" w:hAnsi="Times New Roman" w:cs="Times New Roman"/>
          <w:spacing w:val="1"/>
        </w:rPr>
        <w:t xml:space="preserve"> </w:t>
      </w:r>
      <w:r w:rsidRPr="00A851F6">
        <w:rPr>
          <w:rFonts w:ascii="Times New Roman" w:hAnsi="Times New Roman" w:cs="Times New Roman"/>
          <w:spacing w:val="3"/>
        </w:rPr>
        <w:t xml:space="preserve">by </w:t>
      </w:r>
      <w:r w:rsidRPr="00A851F6">
        <w:rPr>
          <w:rFonts w:ascii="Times New Roman" w:hAnsi="Times New Roman" w:cs="Times New Roman"/>
        </w:rPr>
        <w:t>the carrier in</w:t>
      </w:r>
      <w:r w:rsidRPr="00A851F6">
        <w:rPr>
          <w:rFonts w:ascii="Times New Roman" w:hAnsi="Times New Roman" w:cs="Times New Roman"/>
          <w:spacing w:val="-23"/>
        </w:rPr>
        <w:t xml:space="preserve"> </w:t>
      </w:r>
      <w:r w:rsidRPr="00A851F6">
        <w:rPr>
          <w:rFonts w:ascii="Times New Roman" w:hAnsi="Times New Roman" w:cs="Times New Roman"/>
          <w:spacing w:val="2"/>
        </w:rPr>
        <w:t>California.</w:t>
      </w:r>
    </w:p>
    <w:p w:rsidRPr="00A851F6" w:rsidR="00400A0E" w:rsidP="00472730" w:rsidRDefault="00400A0E" w14:paraId="184ED778" w14:textId="77777777">
      <w:pPr>
        <w:pStyle w:val="ListParagraph"/>
        <w:widowControl w:val="0"/>
        <w:numPr>
          <w:ilvl w:val="0"/>
          <w:numId w:val="43"/>
        </w:numPr>
        <w:tabs>
          <w:tab w:val="left" w:pos="1219"/>
        </w:tabs>
        <w:autoSpaceDE w:val="0"/>
        <w:autoSpaceDN w:val="0"/>
        <w:spacing w:line="264" w:lineRule="auto"/>
        <w:ind w:right="538"/>
        <w:contextualSpacing w:val="0"/>
        <w:rPr>
          <w:rFonts w:ascii="Times New Roman" w:hAnsi="Times New Roman" w:cs="Times New Roman"/>
        </w:rPr>
      </w:pPr>
      <w:r w:rsidRPr="00A851F6">
        <w:rPr>
          <w:rFonts w:ascii="Times New Roman" w:hAnsi="Times New Roman" w:cs="Times New Roman"/>
          <w:spacing w:val="2"/>
        </w:rPr>
        <w:t xml:space="preserve">Copies </w:t>
      </w:r>
      <w:r w:rsidRPr="00A851F6">
        <w:rPr>
          <w:rFonts w:ascii="Times New Roman" w:hAnsi="Times New Roman" w:cs="Times New Roman"/>
          <w:spacing w:val="3"/>
        </w:rPr>
        <w:t xml:space="preserve">of or </w:t>
      </w:r>
      <w:r w:rsidRPr="00A851F6">
        <w:rPr>
          <w:rFonts w:ascii="Times New Roman" w:hAnsi="Times New Roman" w:cs="Times New Roman"/>
        </w:rPr>
        <w:t xml:space="preserve">links to carrier </w:t>
      </w:r>
      <w:r w:rsidRPr="00A851F6">
        <w:rPr>
          <w:rFonts w:ascii="Times New Roman" w:hAnsi="Times New Roman" w:cs="Times New Roman"/>
          <w:spacing w:val="2"/>
        </w:rPr>
        <w:t xml:space="preserve">webpages where </w:t>
      </w:r>
      <w:r w:rsidRPr="00A851F6">
        <w:rPr>
          <w:rFonts w:ascii="Times New Roman" w:hAnsi="Times New Roman" w:cs="Times New Roman"/>
        </w:rPr>
        <w:t>the interim intrastate rates are presented</w:t>
      </w:r>
      <w:r w:rsidRPr="00A851F6">
        <w:rPr>
          <w:rFonts w:ascii="Times New Roman" w:hAnsi="Times New Roman" w:cs="Times New Roman"/>
          <w:spacing w:val="-38"/>
        </w:rPr>
        <w:t xml:space="preserve"> </w:t>
      </w:r>
      <w:r w:rsidRPr="00A851F6">
        <w:rPr>
          <w:rFonts w:ascii="Times New Roman" w:hAnsi="Times New Roman" w:cs="Times New Roman"/>
        </w:rPr>
        <w:t xml:space="preserve">for facilities </w:t>
      </w:r>
      <w:r w:rsidRPr="00A851F6">
        <w:rPr>
          <w:rFonts w:ascii="Times New Roman" w:hAnsi="Times New Roman" w:cs="Times New Roman"/>
          <w:spacing w:val="2"/>
        </w:rPr>
        <w:t xml:space="preserve">located </w:t>
      </w:r>
      <w:r w:rsidRPr="00A851F6">
        <w:rPr>
          <w:rFonts w:ascii="Times New Roman" w:hAnsi="Times New Roman" w:cs="Times New Roman"/>
        </w:rPr>
        <w:t>in</w:t>
      </w:r>
      <w:r w:rsidRPr="00A851F6">
        <w:rPr>
          <w:rFonts w:ascii="Times New Roman" w:hAnsi="Times New Roman" w:cs="Times New Roman"/>
          <w:spacing w:val="-22"/>
        </w:rPr>
        <w:t xml:space="preserve"> </w:t>
      </w:r>
      <w:r w:rsidRPr="00A851F6">
        <w:rPr>
          <w:rFonts w:ascii="Times New Roman" w:hAnsi="Times New Roman" w:cs="Times New Roman"/>
          <w:spacing w:val="2"/>
        </w:rPr>
        <w:t>California.</w:t>
      </w:r>
    </w:p>
    <w:p w:rsidRPr="00A851F6" w:rsidR="00400A0E" w:rsidP="00472730" w:rsidRDefault="00400A0E" w14:paraId="23ACCE6B" w14:textId="77777777">
      <w:pPr>
        <w:pStyle w:val="ListParagraph"/>
        <w:widowControl w:val="0"/>
        <w:numPr>
          <w:ilvl w:val="0"/>
          <w:numId w:val="43"/>
        </w:numPr>
        <w:tabs>
          <w:tab w:val="left" w:pos="1219"/>
        </w:tabs>
        <w:autoSpaceDE w:val="0"/>
        <w:autoSpaceDN w:val="0"/>
        <w:contextualSpacing w:val="0"/>
        <w:rPr>
          <w:rFonts w:ascii="Times New Roman" w:hAnsi="Times New Roman" w:cs="Times New Roman"/>
        </w:rPr>
      </w:pPr>
      <w:r w:rsidRPr="00A851F6">
        <w:rPr>
          <w:rFonts w:ascii="Times New Roman" w:hAnsi="Times New Roman" w:cs="Times New Roman"/>
          <w:spacing w:val="2"/>
        </w:rPr>
        <w:t>Copies</w:t>
      </w:r>
      <w:r w:rsidRPr="00A851F6">
        <w:rPr>
          <w:rFonts w:ascii="Times New Roman" w:hAnsi="Times New Roman" w:cs="Times New Roman"/>
          <w:spacing w:val="-9"/>
        </w:rPr>
        <w:t xml:space="preserve"> </w:t>
      </w:r>
      <w:r w:rsidRPr="00A851F6">
        <w:rPr>
          <w:rFonts w:ascii="Times New Roman" w:hAnsi="Times New Roman" w:cs="Times New Roman"/>
          <w:spacing w:val="3"/>
        </w:rPr>
        <w:t>of</w:t>
      </w:r>
      <w:r w:rsidRPr="00A851F6">
        <w:rPr>
          <w:rFonts w:ascii="Times New Roman" w:hAnsi="Times New Roman" w:cs="Times New Roman"/>
          <w:spacing w:val="4"/>
        </w:rPr>
        <w:t xml:space="preserve"> </w:t>
      </w:r>
      <w:r w:rsidRPr="00A851F6">
        <w:rPr>
          <w:rFonts w:ascii="Times New Roman" w:hAnsi="Times New Roman" w:cs="Times New Roman"/>
          <w:spacing w:val="2"/>
        </w:rPr>
        <w:t>notices</w:t>
      </w:r>
      <w:r w:rsidRPr="00A851F6">
        <w:rPr>
          <w:rFonts w:ascii="Times New Roman" w:hAnsi="Times New Roman" w:cs="Times New Roman"/>
          <w:spacing w:val="-9"/>
        </w:rPr>
        <w:t xml:space="preserve"> </w:t>
      </w:r>
      <w:r w:rsidRPr="00A851F6">
        <w:rPr>
          <w:rFonts w:ascii="Times New Roman" w:hAnsi="Times New Roman" w:cs="Times New Roman"/>
        </w:rPr>
        <w:t>provided</w:t>
      </w:r>
      <w:r w:rsidRPr="00A851F6">
        <w:rPr>
          <w:rFonts w:ascii="Times New Roman" w:hAnsi="Times New Roman" w:cs="Times New Roman"/>
          <w:spacing w:val="-20"/>
        </w:rPr>
        <w:t xml:space="preserve"> </w:t>
      </w:r>
      <w:r w:rsidRPr="00A851F6">
        <w:rPr>
          <w:rFonts w:ascii="Times New Roman" w:hAnsi="Times New Roman" w:cs="Times New Roman"/>
        </w:rPr>
        <w:t>to</w:t>
      </w:r>
      <w:r w:rsidRPr="00A851F6">
        <w:rPr>
          <w:rFonts w:ascii="Times New Roman" w:hAnsi="Times New Roman" w:cs="Times New Roman"/>
          <w:spacing w:val="-4"/>
        </w:rPr>
        <w:t xml:space="preserve"> </w:t>
      </w:r>
      <w:r w:rsidRPr="00A851F6">
        <w:rPr>
          <w:rFonts w:ascii="Times New Roman" w:hAnsi="Times New Roman" w:cs="Times New Roman"/>
        </w:rPr>
        <w:t>facilities</w:t>
      </w:r>
      <w:r w:rsidRPr="00A851F6">
        <w:rPr>
          <w:rFonts w:ascii="Times New Roman" w:hAnsi="Times New Roman" w:cs="Times New Roman"/>
          <w:spacing w:val="-9"/>
        </w:rPr>
        <w:t xml:space="preserve"> </w:t>
      </w:r>
      <w:r w:rsidRPr="00A851F6">
        <w:rPr>
          <w:rFonts w:ascii="Times New Roman" w:hAnsi="Times New Roman" w:cs="Times New Roman"/>
          <w:spacing w:val="3"/>
        </w:rPr>
        <w:t>of</w:t>
      </w:r>
      <w:r w:rsidRPr="00A851F6">
        <w:rPr>
          <w:rFonts w:ascii="Times New Roman" w:hAnsi="Times New Roman" w:cs="Times New Roman"/>
          <w:spacing w:val="-12"/>
        </w:rPr>
        <w:t xml:space="preserve"> </w:t>
      </w:r>
      <w:r w:rsidRPr="00A851F6">
        <w:rPr>
          <w:rFonts w:ascii="Times New Roman" w:hAnsi="Times New Roman" w:cs="Times New Roman"/>
        </w:rPr>
        <w:t>the</w:t>
      </w:r>
      <w:r w:rsidRPr="00A851F6">
        <w:rPr>
          <w:rFonts w:ascii="Times New Roman" w:hAnsi="Times New Roman" w:cs="Times New Roman"/>
          <w:spacing w:val="5"/>
        </w:rPr>
        <w:t xml:space="preserve"> </w:t>
      </w:r>
      <w:r w:rsidRPr="00A851F6">
        <w:rPr>
          <w:rFonts w:ascii="Times New Roman" w:hAnsi="Times New Roman" w:cs="Times New Roman"/>
        </w:rPr>
        <w:t>interim</w:t>
      </w:r>
      <w:r w:rsidRPr="00A851F6">
        <w:rPr>
          <w:rFonts w:ascii="Times New Roman" w:hAnsi="Times New Roman" w:cs="Times New Roman"/>
          <w:spacing w:val="-5"/>
        </w:rPr>
        <w:t xml:space="preserve"> </w:t>
      </w:r>
      <w:r w:rsidRPr="00A851F6">
        <w:rPr>
          <w:rFonts w:ascii="Times New Roman" w:hAnsi="Times New Roman" w:cs="Times New Roman"/>
        </w:rPr>
        <w:t>calling</w:t>
      </w:r>
      <w:r w:rsidRPr="00A851F6">
        <w:rPr>
          <w:rFonts w:ascii="Times New Roman" w:hAnsi="Times New Roman" w:cs="Times New Roman"/>
          <w:spacing w:val="-20"/>
        </w:rPr>
        <w:t xml:space="preserve"> </w:t>
      </w:r>
      <w:r w:rsidRPr="00A851F6">
        <w:rPr>
          <w:rFonts w:ascii="Times New Roman" w:hAnsi="Times New Roman" w:cs="Times New Roman"/>
        </w:rPr>
        <w:t>rates.</w:t>
      </w:r>
    </w:p>
    <w:p w:rsidR="002622F6" w:rsidP="00472730" w:rsidRDefault="00400A0E" w14:paraId="599DC01D" w14:textId="77777777">
      <w:pPr>
        <w:pStyle w:val="ListParagraph"/>
        <w:widowControl w:val="0"/>
        <w:numPr>
          <w:ilvl w:val="0"/>
          <w:numId w:val="43"/>
        </w:numPr>
        <w:tabs>
          <w:tab w:val="left" w:pos="1219"/>
        </w:tabs>
        <w:autoSpaceDE w:val="0"/>
        <w:autoSpaceDN w:val="0"/>
        <w:contextualSpacing w:val="0"/>
        <w:rPr>
          <w:rFonts w:ascii="Times New Roman" w:hAnsi="Times New Roman" w:cs="Times New Roman"/>
        </w:rPr>
        <w:sectPr w:rsidR="002622F6" w:rsidSect="002622F6">
          <w:headerReference w:type="default" r:id="rId17"/>
          <w:footerReference w:type="default" r:id="rId18"/>
          <w:footnotePr>
            <w:numRestart w:val="eachSect"/>
          </w:footnotePr>
          <w:pgSz w:w="12240" w:h="15840"/>
          <w:pgMar w:top="1440" w:right="1080" w:bottom="1440" w:left="1080" w:header="541" w:footer="1009" w:gutter="0"/>
          <w:pgNumType w:start="1"/>
          <w:cols w:space="720"/>
          <w:docGrid w:linePitch="299"/>
        </w:sectPr>
      </w:pPr>
      <w:r w:rsidRPr="00A851F6">
        <w:rPr>
          <w:rFonts w:ascii="Times New Roman" w:hAnsi="Times New Roman" w:cs="Times New Roman"/>
          <w:spacing w:val="2"/>
        </w:rPr>
        <w:t>Copies</w:t>
      </w:r>
      <w:r w:rsidRPr="00A851F6">
        <w:rPr>
          <w:rFonts w:ascii="Times New Roman" w:hAnsi="Times New Roman" w:cs="Times New Roman"/>
          <w:spacing w:val="-10"/>
        </w:rPr>
        <w:t xml:space="preserve"> </w:t>
      </w:r>
      <w:r w:rsidRPr="00A851F6">
        <w:rPr>
          <w:rFonts w:ascii="Times New Roman" w:hAnsi="Times New Roman" w:cs="Times New Roman"/>
          <w:spacing w:val="3"/>
        </w:rPr>
        <w:t>of</w:t>
      </w:r>
      <w:r w:rsidRPr="00A851F6">
        <w:rPr>
          <w:rFonts w:ascii="Times New Roman" w:hAnsi="Times New Roman" w:cs="Times New Roman"/>
          <w:spacing w:val="4"/>
        </w:rPr>
        <w:t xml:space="preserve"> </w:t>
      </w:r>
      <w:r w:rsidRPr="00A851F6">
        <w:rPr>
          <w:rFonts w:ascii="Times New Roman" w:hAnsi="Times New Roman" w:cs="Times New Roman"/>
          <w:spacing w:val="2"/>
        </w:rPr>
        <w:t>notices</w:t>
      </w:r>
      <w:r w:rsidRPr="00A851F6">
        <w:rPr>
          <w:rFonts w:ascii="Times New Roman" w:hAnsi="Times New Roman" w:cs="Times New Roman"/>
          <w:spacing w:val="-10"/>
        </w:rPr>
        <w:t xml:space="preserve"> </w:t>
      </w:r>
      <w:r w:rsidRPr="00A851F6">
        <w:rPr>
          <w:rFonts w:ascii="Times New Roman" w:hAnsi="Times New Roman" w:cs="Times New Roman"/>
        </w:rPr>
        <w:t>to</w:t>
      </w:r>
      <w:r w:rsidRPr="00A851F6">
        <w:rPr>
          <w:rFonts w:ascii="Times New Roman" w:hAnsi="Times New Roman" w:cs="Times New Roman"/>
          <w:spacing w:val="-4"/>
        </w:rPr>
        <w:t xml:space="preserve"> </w:t>
      </w:r>
      <w:r w:rsidRPr="00A851F6">
        <w:rPr>
          <w:rFonts w:ascii="Times New Roman" w:hAnsi="Times New Roman" w:cs="Times New Roman"/>
          <w:spacing w:val="2"/>
        </w:rPr>
        <w:t>incarcerated persons</w:t>
      </w:r>
      <w:r w:rsidRPr="00A851F6">
        <w:rPr>
          <w:rFonts w:ascii="Times New Roman" w:hAnsi="Times New Roman" w:cs="Times New Roman"/>
          <w:spacing w:val="-10"/>
        </w:rPr>
        <w:t xml:space="preserve"> </w:t>
      </w:r>
      <w:r w:rsidRPr="00A851F6">
        <w:rPr>
          <w:rFonts w:ascii="Times New Roman" w:hAnsi="Times New Roman" w:cs="Times New Roman"/>
          <w:spacing w:val="3"/>
        </w:rPr>
        <w:t>of</w:t>
      </w:r>
      <w:r w:rsidRPr="00A851F6">
        <w:rPr>
          <w:rFonts w:ascii="Times New Roman" w:hAnsi="Times New Roman" w:cs="Times New Roman"/>
          <w:spacing w:val="-12"/>
        </w:rPr>
        <w:t xml:space="preserve"> </w:t>
      </w:r>
      <w:r w:rsidRPr="00A851F6">
        <w:rPr>
          <w:rFonts w:ascii="Times New Roman" w:hAnsi="Times New Roman" w:cs="Times New Roman"/>
        </w:rPr>
        <w:t>the</w:t>
      </w:r>
      <w:r w:rsidRPr="00A851F6">
        <w:rPr>
          <w:rFonts w:ascii="Times New Roman" w:hAnsi="Times New Roman" w:cs="Times New Roman"/>
          <w:spacing w:val="1"/>
        </w:rPr>
        <w:t xml:space="preserve"> </w:t>
      </w:r>
      <w:r w:rsidRPr="00A851F6">
        <w:rPr>
          <w:rFonts w:ascii="Times New Roman" w:hAnsi="Times New Roman" w:cs="Times New Roman"/>
        </w:rPr>
        <w:t>interim</w:t>
      </w:r>
      <w:r w:rsidRPr="00A851F6">
        <w:rPr>
          <w:rFonts w:ascii="Times New Roman" w:hAnsi="Times New Roman" w:cs="Times New Roman"/>
          <w:spacing w:val="-5"/>
        </w:rPr>
        <w:t xml:space="preserve"> </w:t>
      </w:r>
      <w:r w:rsidRPr="00A851F6">
        <w:rPr>
          <w:rFonts w:ascii="Times New Roman" w:hAnsi="Times New Roman" w:cs="Times New Roman"/>
        </w:rPr>
        <w:t>calling</w:t>
      </w:r>
      <w:r w:rsidRPr="00A851F6">
        <w:rPr>
          <w:rFonts w:ascii="Times New Roman" w:hAnsi="Times New Roman" w:cs="Times New Roman"/>
          <w:spacing w:val="-21"/>
        </w:rPr>
        <w:t xml:space="preserve"> </w:t>
      </w:r>
      <w:r w:rsidRPr="00A851F6">
        <w:rPr>
          <w:rFonts w:ascii="Times New Roman" w:hAnsi="Times New Roman" w:cs="Times New Roman"/>
        </w:rPr>
        <w:t>rates.</w:t>
      </w:r>
    </w:p>
    <w:p w:rsidRPr="00A851F6" w:rsidR="00400A0E" w:rsidP="00743A8E" w:rsidRDefault="00400A0E" w14:paraId="10074845" w14:textId="77777777">
      <w:pPr>
        <w:spacing w:before="216" w:line="274" w:lineRule="exact"/>
        <w:ind w:left="1890" w:right="2696"/>
        <w:jc w:val="center"/>
        <w:rPr>
          <w:b/>
        </w:rPr>
      </w:pPr>
      <w:r w:rsidRPr="00A851F6">
        <w:rPr>
          <w:b/>
        </w:rPr>
        <w:lastRenderedPageBreak/>
        <w:t>Attachment A</w:t>
      </w:r>
    </w:p>
    <w:p w:rsidRPr="00A851F6" w:rsidR="00400A0E" w:rsidP="00743A8E" w:rsidRDefault="00400A0E" w14:paraId="026C4953" w14:textId="77777777">
      <w:pPr>
        <w:spacing w:line="274" w:lineRule="exact"/>
        <w:ind w:left="1890" w:right="2691"/>
        <w:jc w:val="center"/>
        <w:rPr>
          <w:b/>
        </w:rPr>
      </w:pPr>
      <w:r w:rsidRPr="00A851F6">
        <w:rPr>
          <w:b/>
        </w:rPr>
        <w:t>Data Request Summary of Information</w:t>
      </w:r>
    </w:p>
    <w:p w:rsidRPr="00A851F6" w:rsidR="00400A0E" w:rsidP="00400A0E" w:rsidRDefault="00400A0E" w14:paraId="0F45A8DB" w14:textId="77777777">
      <w:pPr>
        <w:pStyle w:val="BodyText"/>
        <w:spacing w:before="1"/>
        <w:ind w:left="0"/>
        <w:rPr>
          <w:b/>
        </w:rPr>
      </w:pPr>
    </w:p>
    <w:p w:rsidRPr="00A851F6" w:rsidR="00400A0E" w:rsidP="00400A0E" w:rsidRDefault="00400A0E" w14:paraId="7E6B99C5" w14:textId="77777777">
      <w:pPr>
        <w:pStyle w:val="BodyText"/>
        <w:spacing w:line="252" w:lineRule="auto"/>
        <w:ind w:right="109"/>
      </w:pPr>
      <w:r w:rsidRPr="00A851F6">
        <w:t>The chart below is a summary of information collected through the Communications Division data request.</w:t>
      </w:r>
    </w:p>
    <w:p w:rsidRPr="00A851F6" w:rsidR="00400A0E" w:rsidP="00400A0E" w:rsidRDefault="00400A0E" w14:paraId="00F724F7" w14:textId="77777777">
      <w:pPr>
        <w:pStyle w:val="BodyText"/>
        <w:ind w:left="0"/>
      </w:pPr>
    </w:p>
    <w:p w:rsidRPr="00A851F6" w:rsidR="00400A0E" w:rsidP="00400A0E" w:rsidRDefault="00400A0E" w14:paraId="2451B7BA" w14:textId="77777777">
      <w:pPr>
        <w:pStyle w:val="BodyText"/>
        <w:ind w:left="0"/>
      </w:pPr>
    </w:p>
    <w:p w:rsidRPr="00A851F6" w:rsidR="00400A0E" w:rsidP="00400A0E" w:rsidRDefault="00400A0E" w14:paraId="6E02238D" w14:textId="77777777">
      <w:pPr>
        <w:pStyle w:val="BodyText"/>
        <w:spacing w:before="1"/>
        <w:ind w:left="0"/>
      </w:pPr>
    </w:p>
    <w:tbl>
      <w:tblPr>
        <w:tblW w:w="0" w:type="auto"/>
        <w:tblInd w:w="133" w:type="dxa"/>
        <w:tblLayout w:type="fixed"/>
        <w:tblCellMar>
          <w:left w:w="0" w:type="dxa"/>
          <w:right w:w="0" w:type="dxa"/>
        </w:tblCellMar>
        <w:tblLook w:val="01E0" w:firstRow="1" w:lastRow="1" w:firstColumn="1" w:lastColumn="1" w:noHBand="0" w:noVBand="0"/>
      </w:tblPr>
      <w:tblGrid>
        <w:gridCol w:w="4595"/>
        <w:gridCol w:w="1558"/>
      </w:tblGrid>
      <w:tr w:rsidRPr="00A851F6" w:rsidR="00400A0E" w:rsidTr="003B735C" w14:paraId="0CDF9A0E" w14:textId="77777777">
        <w:trPr>
          <w:trHeight w:val="518"/>
        </w:trPr>
        <w:tc>
          <w:tcPr>
            <w:tcW w:w="6153" w:type="dxa"/>
            <w:gridSpan w:val="2"/>
            <w:tcBorders>
              <w:top w:val="single" w:color="000000" w:themeColor="text1" w:sz="8" w:space="0"/>
              <w:left w:val="single" w:color="000000" w:themeColor="text1" w:sz="8" w:space="0"/>
              <w:right w:val="single" w:color="000000" w:themeColor="text1" w:sz="8" w:space="0"/>
            </w:tcBorders>
            <w:shd w:val="clear" w:color="auto" w:fill="F1F1F1"/>
          </w:tcPr>
          <w:p w:rsidRPr="00A851F6" w:rsidR="00400A0E" w:rsidP="003B735C" w:rsidRDefault="00400A0E" w14:paraId="631ABA6A" w14:textId="77777777">
            <w:pPr>
              <w:pStyle w:val="TableParagraph"/>
              <w:spacing w:before="0" w:line="256" w:lineRule="exact"/>
              <w:rPr>
                <w:b/>
                <w:sz w:val="24"/>
                <w:szCs w:val="24"/>
              </w:rPr>
            </w:pPr>
            <w:r w:rsidRPr="00A851F6">
              <w:rPr>
                <w:b/>
                <w:sz w:val="24"/>
                <w:szCs w:val="24"/>
                <w:u w:val="single"/>
              </w:rPr>
              <w:t>Inmate Calling Service Provision in</w:t>
            </w:r>
          </w:p>
          <w:p w:rsidRPr="00A851F6" w:rsidR="00400A0E" w:rsidP="003B735C" w:rsidRDefault="00400A0E" w14:paraId="136E632E" w14:textId="77777777">
            <w:pPr>
              <w:pStyle w:val="TableParagraph"/>
              <w:spacing w:before="0" w:line="242" w:lineRule="exact"/>
              <w:rPr>
                <w:b/>
                <w:sz w:val="24"/>
                <w:szCs w:val="24"/>
              </w:rPr>
            </w:pPr>
            <w:r w:rsidRPr="00A851F6">
              <w:rPr>
                <w:b/>
                <w:sz w:val="24"/>
                <w:szCs w:val="24"/>
                <w:u w:val="single"/>
              </w:rPr>
              <w:t>California</w:t>
            </w:r>
          </w:p>
        </w:tc>
      </w:tr>
      <w:tr w:rsidRPr="00A851F6" w:rsidR="00400A0E" w:rsidTr="003B735C" w14:paraId="6131F516" w14:textId="77777777">
        <w:trPr>
          <w:trHeight w:val="335"/>
        </w:trPr>
        <w:tc>
          <w:tcPr>
            <w:tcW w:w="4595" w:type="dxa"/>
            <w:tcBorders>
              <w:left w:val="single" w:color="000000" w:themeColor="text1" w:sz="8" w:space="0"/>
            </w:tcBorders>
          </w:tcPr>
          <w:p w:rsidRPr="00A851F6" w:rsidR="00400A0E" w:rsidP="003B735C" w:rsidRDefault="00534B5A" w14:paraId="7925C35B" w14:textId="62BA645F">
            <w:pPr>
              <w:pStyle w:val="TableParagraph"/>
              <w:spacing w:before="40"/>
              <w:rPr>
                <w:sz w:val="24"/>
                <w:szCs w:val="24"/>
              </w:rPr>
            </w:pPr>
            <w:r>
              <w:rPr>
                <w:sz w:val="24"/>
                <w:szCs w:val="24"/>
              </w:rPr>
              <w:t>Approximate number</w:t>
            </w:r>
            <w:r w:rsidR="00D12D40">
              <w:rPr>
                <w:sz w:val="24"/>
                <w:szCs w:val="24"/>
              </w:rPr>
              <w:t xml:space="preserve"> of</w:t>
            </w:r>
            <w:r w:rsidRPr="00A851F6" w:rsidR="00400A0E">
              <w:rPr>
                <w:sz w:val="24"/>
                <w:szCs w:val="24"/>
              </w:rPr>
              <w:t xml:space="preserve"> facilities</w:t>
            </w:r>
          </w:p>
        </w:tc>
        <w:tc>
          <w:tcPr>
            <w:tcW w:w="1558" w:type="dxa"/>
            <w:tcBorders>
              <w:right w:val="single" w:color="000000" w:themeColor="text1" w:sz="8" w:space="0"/>
            </w:tcBorders>
          </w:tcPr>
          <w:p w:rsidRPr="00A851F6" w:rsidR="00400A0E" w:rsidP="003B735C" w:rsidRDefault="00534B5A" w14:paraId="38C463B5" w14:textId="3AC5924B">
            <w:pPr>
              <w:pStyle w:val="TableParagraph"/>
              <w:spacing w:before="40"/>
              <w:ind w:left="587" w:right="560"/>
              <w:rPr>
                <w:sz w:val="24"/>
                <w:szCs w:val="24"/>
              </w:rPr>
            </w:pPr>
            <w:r>
              <w:rPr>
                <w:sz w:val="24"/>
                <w:szCs w:val="24"/>
              </w:rPr>
              <w:t>354</w:t>
            </w:r>
          </w:p>
        </w:tc>
      </w:tr>
      <w:tr w:rsidRPr="00A851F6" w:rsidR="00400A0E" w:rsidTr="003B735C" w14:paraId="73487ABB" w14:textId="77777777">
        <w:trPr>
          <w:trHeight w:val="304"/>
        </w:trPr>
        <w:tc>
          <w:tcPr>
            <w:tcW w:w="4595" w:type="dxa"/>
            <w:tcBorders>
              <w:left w:val="single" w:color="000000" w:themeColor="text1" w:sz="8" w:space="0"/>
            </w:tcBorders>
          </w:tcPr>
          <w:p w:rsidRPr="00A851F6" w:rsidR="00400A0E" w:rsidP="003B735C" w:rsidRDefault="00400A0E" w14:paraId="54944121" w14:textId="77777777">
            <w:pPr>
              <w:pStyle w:val="TableParagraph"/>
              <w:rPr>
                <w:sz w:val="24"/>
                <w:szCs w:val="24"/>
              </w:rPr>
            </w:pPr>
            <w:r w:rsidRPr="00A851F6">
              <w:rPr>
                <w:sz w:val="24"/>
                <w:szCs w:val="24"/>
              </w:rPr>
              <w:t>Estimated incarcerated person’s population</w:t>
            </w:r>
          </w:p>
        </w:tc>
        <w:tc>
          <w:tcPr>
            <w:tcW w:w="1558" w:type="dxa"/>
            <w:tcBorders>
              <w:right w:val="single" w:color="000000" w:themeColor="text1" w:sz="8" w:space="0"/>
            </w:tcBorders>
          </w:tcPr>
          <w:p w:rsidRPr="00A851F6" w:rsidR="00400A0E" w:rsidP="003B735C" w:rsidRDefault="00400A0E" w14:paraId="56937DA8" w14:textId="47D29F29">
            <w:pPr>
              <w:pStyle w:val="TableParagraph"/>
              <w:ind w:left="371"/>
              <w:rPr>
                <w:sz w:val="24"/>
                <w:szCs w:val="24"/>
              </w:rPr>
            </w:pPr>
            <w:r w:rsidRPr="00A851F6">
              <w:rPr>
                <w:sz w:val="24"/>
                <w:szCs w:val="24"/>
              </w:rPr>
              <w:t>172,543</w:t>
            </w:r>
            <w:r w:rsidR="002737E5">
              <w:rPr>
                <w:rStyle w:val="FootnoteReference"/>
                <w:sz w:val="24"/>
                <w:szCs w:val="24"/>
              </w:rPr>
              <w:footnoteReference w:id="303"/>
            </w:r>
          </w:p>
        </w:tc>
      </w:tr>
      <w:tr w:rsidRPr="00A851F6" w:rsidR="00400A0E" w:rsidTr="003B735C" w14:paraId="3506F03A" w14:textId="77777777">
        <w:trPr>
          <w:trHeight w:val="296"/>
        </w:trPr>
        <w:tc>
          <w:tcPr>
            <w:tcW w:w="4595" w:type="dxa"/>
            <w:tcBorders>
              <w:left w:val="single" w:color="000000" w:themeColor="text1" w:sz="8" w:space="0"/>
            </w:tcBorders>
          </w:tcPr>
          <w:p w:rsidRPr="00A851F6" w:rsidR="00400A0E" w:rsidP="003B735C" w:rsidRDefault="00400A0E" w14:paraId="3E995CEF" w14:textId="77777777">
            <w:pPr>
              <w:pStyle w:val="TableParagraph"/>
              <w:spacing w:line="267" w:lineRule="exact"/>
              <w:rPr>
                <w:sz w:val="24"/>
                <w:szCs w:val="24"/>
              </w:rPr>
            </w:pPr>
            <w:r w:rsidRPr="00A851F6">
              <w:rPr>
                <w:sz w:val="24"/>
                <w:szCs w:val="24"/>
              </w:rPr>
              <w:t>Facilities with rates over $0.16 per minute</w:t>
            </w:r>
          </w:p>
        </w:tc>
        <w:tc>
          <w:tcPr>
            <w:tcW w:w="1558" w:type="dxa"/>
            <w:tcBorders>
              <w:right w:val="single" w:color="000000" w:themeColor="text1" w:sz="8" w:space="0"/>
            </w:tcBorders>
          </w:tcPr>
          <w:p w:rsidRPr="00A851F6" w:rsidR="00400A0E" w:rsidP="003B735C" w:rsidRDefault="00400A0E" w14:paraId="1C8F0030" w14:textId="77777777">
            <w:pPr>
              <w:pStyle w:val="TableParagraph"/>
              <w:spacing w:line="267" w:lineRule="exact"/>
              <w:ind w:left="587" w:right="560"/>
              <w:rPr>
                <w:sz w:val="24"/>
                <w:szCs w:val="24"/>
              </w:rPr>
            </w:pPr>
            <w:r w:rsidRPr="00A851F6">
              <w:rPr>
                <w:sz w:val="24"/>
                <w:szCs w:val="24"/>
              </w:rPr>
              <w:t>218</w:t>
            </w:r>
          </w:p>
        </w:tc>
      </w:tr>
      <w:tr w:rsidRPr="00A851F6" w:rsidR="00400A0E" w:rsidTr="003B735C" w14:paraId="5907D2C9" w14:textId="77777777">
        <w:trPr>
          <w:trHeight w:val="577"/>
        </w:trPr>
        <w:tc>
          <w:tcPr>
            <w:tcW w:w="4595" w:type="dxa"/>
            <w:tcBorders>
              <w:left w:val="single" w:color="000000" w:themeColor="text1" w:sz="8" w:space="0"/>
            </w:tcBorders>
          </w:tcPr>
          <w:p w:rsidRPr="00A851F6" w:rsidR="00400A0E" w:rsidP="003B735C" w:rsidRDefault="00400A0E" w14:paraId="663AC326" w14:textId="77777777">
            <w:pPr>
              <w:pStyle w:val="TableParagraph"/>
              <w:spacing w:before="1" w:line="240" w:lineRule="auto"/>
              <w:rPr>
                <w:sz w:val="24"/>
                <w:szCs w:val="24"/>
              </w:rPr>
            </w:pPr>
            <w:r w:rsidRPr="00A851F6">
              <w:rPr>
                <w:sz w:val="24"/>
                <w:szCs w:val="24"/>
              </w:rPr>
              <w:t>Population affected by interim rates</w:t>
            </w:r>
          </w:p>
        </w:tc>
        <w:tc>
          <w:tcPr>
            <w:tcW w:w="1558" w:type="dxa"/>
            <w:tcBorders>
              <w:right w:val="single" w:color="000000" w:themeColor="text1" w:sz="8" w:space="0"/>
            </w:tcBorders>
          </w:tcPr>
          <w:p w:rsidRPr="00A851F6" w:rsidR="00400A0E" w:rsidP="003B735C" w:rsidRDefault="00400A0E" w14:paraId="775D8016" w14:textId="77777777">
            <w:pPr>
              <w:pStyle w:val="TableParagraph"/>
              <w:spacing w:before="1" w:line="240" w:lineRule="auto"/>
              <w:ind w:left="435"/>
              <w:rPr>
                <w:sz w:val="24"/>
                <w:szCs w:val="24"/>
              </w:rPr>
            </w:pPr>
            <w:r w:rsidRPr="00A851F6">
              <w:rPr>
                <w:sz w:val="24"/>
                <w:szCs w:val="24"/>
              </w:rPr>
              <w:t>64,356</w:t>
            </w:r>
          </w:p>
        </w:tc>
      </w:tr>
      <w:tr w:rsidRPr="00A851F6" w:rsidR="00400A0E" w:rsidTr="003B735C" w14:paraId="3A3A1062" w14:textId="77777777">
        <w:trPr>
          <w:trHeight w:val="304"/>
        </w:trPr>
        <w:tc>
          <w:tcPr>
            <w:tcW w:w="6153" w:type="dxa"/>
            <w:gridSpan w:val="2"/>
            <w:tcBorders>
              <w:left w:val="single" w:color="000000" w:themeColor="text1" w:sz="8" w:space="0"/>
              <w:right w:val="single" w:color="000000" w:themeColor="text1" w:sz="8" w:space="0"/>
            </w:tcBorders>
            <w:shd w:val="clear" w:color="auto" w:fill="F1F1F1"/>
          </w:tcPr>
          <w:p w:rsidRPr="00A851F6" w:rsidR="00400A0E" w:rsidP="003B735C" w:rsidRDefault="00400A0E" w14:paraId="1C2E6088" w14:textId="77777777">
            <w:pPr>
              <w:pStyle w:val="TableParagraph"/>
              <w:spacing w:before="32" w:line="252" w:lineRule="exact"/>
              <w:rPr>
                <w:b/>
                <w:sz w:val="24"/>
                <w:szCs w:val="24"/>
              </w:rPr>
            </w:pPr>
            <w:r w:rsidRPr="00A851F6">
              <w:rPr>
                <w:b/>
                <w:sz w:val="24"/>
                <w:szCs w:val="24"/>
              </w:rPr>
              <w:t>Calling Service Rates</w:t>
            </w:r>
          </w:p>
        </w:tc>
      </w:tr>
      <w:tr w:rsidRPr="00A851F6" w:rsidR="00400A0E" w:rsidTr="003B735C" w14:paraId="3900E9A1" w14:textId="77777777">
        <w:trPr>
          <w:trHeight w:val="896"/>
        </w:trPr>
        <w:tc>
          <w:tcPr>
            <w:tcW w:w="4595" w:type="dxa"/>
            <w:tcBorders>
              <w:left w:val="single" w:color="000000" w:themeColor="text1" w:sz="8" w:space="0"/>
            </w:tcBorders>
          </w:tcPr>
          <w:p w:rsidRPr="00A851F6" w:rsidR="00400A0E" w:rsidP="003B735C" w:rsidRDefault="00400A0E" w14:paraId="6093444F" w14:textId="77777777">
            <w:pPr>
              <w:pStyle w:val="TableParagraph"/>
              <w:spacing w:before="31" w:line="252" w:lineRule="auto"/>
              <w:ind w:right="2187"/>
              <w:rPr>
                <w:sz w:val="24"/>
                <w:szCs w:val="24"/>
              </w:rPr>
            </w:pPr>
            <w:r w:rsidRPr="00A851F6">
              <w:rPr>
                <w:sz w:val="24"/>
                <w:szCs w:val="24"/>
              </w:rPr>
              <w:t>Highest per minute rate Highest 1st minute rate</w:t>
            </w:r>
          </w:p>
        </w:tc>
        <w:tc>
          <w:tcPr>
            <w:tcW w:w="1558" w:type="dxa"/>
            <w:tcBorders>
              <w:right w:val="single" w:color="000000" w:themeColor="text1" w:sz="8" w:space="0"/>
            </w:tcBorders>
          </w:tcPr>
          <w:p w:rsidRPr="00A851F6" w:rsidR="00400A0E" w:rsidP="003B735C" w:rsidRDefault="00400A0E" w14:paraId="0CB07A32" w14:textId="77777777">
            <w:pPr>
              <w:pStyle w:val="TableParagraph"/>
              <w:spacing w:before="31" w:line="240" w:lineRule="auto"/>
              <w:ind w:left="499"/>
              <w:rPr>
                <w:sz w:val="24"/>
                <w:szCs w:val="24"/>
              </w:rPr>
            </w:pPr>
            <w:r w:rsidRPr="00A851F6">
              <w:rPr>
                <w:spacing w:val="4"/>
                <w:sz w:val="24"/>
                <w:szCs w:val="24"/>
              </w:rPr>
              <w:t>$1.75</w:t>
            </w:r>
          </w:p>
          <w:p w:rsidRPr="00A851F6" w:rsidR="00400A0E" w:rsidP="003B735C" w:rsidRDefault="00400A0E" w14:paraId="694C8E6D" w14:textId="77777777">
            <w:pPr>
              <w:pStyle w:val="TableParagraph"/>
              <w:spacing w:before="13" w:line="240" w:lineRule="auto"/>
              <w:ind w:left="499"/>
              <w:rPr>
                <w:sz w:val="24"/>
                <w:szCs w:val="24"/>
              </w:rPr>
            </w:pPr>
            <w:r w:rsidRPr="00A851F6">
              <w:rPr>
                <w:spacing w:val="4"/>
                <w:sz w:val="24"/>
                <w:szCs w:val="24"/>
              </w:rPr>
              <w:t>$3.60</w:t>
            </w:r>
          </w:p>
        </w:tc>
      </w:tr>
      <w:tr w:rsidRPr="00A851F6" w:rsidR="00400A0E" w:rsidTr="003B735C" w14:paraId="369D0B01" w14:textId="77777777">
        <w:trPr>
          <w:trHeight w:val="304"/>
        </w:trPr>
        <w:tc>
          <w:tcPr>
            <w:tcW w:w="6153" w:type="dxa"/>
            <w:gridSpan w:val="2"/>
            <w:tcBorders>
              <w:left w:val="single" w:color="000000" w:themeColor="text1" w:sz="8" w:space="0"/>
              <w:right w:val="single" w:color="000000" w:themeColor="text1" w:sz="8" w:space="0"/>
            </w:tcBorders>
            <w:shd w:val="clear" w:color="auto" w:fill="F1F1F1"/>
          </w:tcPr>
          <w:p w:rsidRPr="00A851F6" w:rsidR="00400A0E" w:rsidP="003B735C" w:rsidRDefault="00400A0E" w14:paraId="730F8CE4" w14:textId="77777777">
            <w:pPr>
              <w:pStyle w:val="TableParagraph"/>
              <w:spacing w:before="31" w:line="252" w:lineRule="exact"/>
              <w:rPr>
                <w:b/>
                <w:sz w:val="24"/>
                <w:szCs w:val="24"/>
              </w:rPr>
            </w:pPr>
            <w:r w:rsidRPr="00A851F6">
              <w:rPr>
                <w:b/>
                <w:sz w:val="24"/>
                <w:szCs w:val="24"/>
              </w:rPr>
              <w:t>Ancillary Charges</w:t>
            </w:r>
          </w:p>
        </w:tc>
      </w:tr>
      <w:tr w:rsidRPr="00A851F6" w:rsidR="00400A0E" w:rsidTr="003B735C" w14:paraId="6F213980" w14:textId="77777777">
        <w:trPr>
          <w:trHeight w:val="319"/>
        </w:trPr>
        <w:tc>
          <w:tcPr>
            <w:tcW w:w="4595" w:type="dxa"/>
            <w:tcBorders>
              <w:left w:val="single" w:color="000000" w:themeColor="text1" w:sz="8" w:space="0"/>
            </w:tcBorders>
          </w:tcPr>
          <w:p w:rsidRPr="00A851F6" w:rsidR="00400A0E" w:rsidP="003B735C" w:rsidRDefault="00400A0E" w14:paraId="41BBE8B9" w14:textId="0C686CE1">
            <w:pPr>
              <w:pStyle w:val="TableParagraph"/>
              <w:spacing w:before="32" w:line="267" w:lineRule="exact"/>
              <w:rPr>
                <w:sz w:val="24"/>
                <w:szCs w:val="24"/>
              </w:rPr>
            </w:pPr>
            <w:r w:rsidRPr="00A851F6">
              <w:rPr>
                <w:sz w:val="24"/>
                <w:szCs w:val="24"/>
              </w:rPr>
              <w:t>Highest single</w:t>
            </w:r>
            <w:r w:rsidR="00B43C2C">
              <w:rPr>
                <w:sz w:val="24"/>
                <w:szCs w:val="24"/>
              </w:rPr>
              <w:t>-</w:t>
            </w:r>
            <w:r w:rsidRPr="00A851F6">
              <w:rPr>
                <w:sz w:val="24"/>
                <w:szCs w:val="24"/>
              </w:rPr>
              <w:t>call</w:t>
            </w:r>
            <w:r w:rsidR="00B43C2C">
              <w:rPr>
                <w:sz w:val="24"/>
                <w:szCs w:val="24"/>
              </w:rPr>
              <w:t xml:space="preserve"> </w:t>
            </w:r>
            <w:r w:rsidRPr="00A851F6">
              <w:rPr>
                <w:sz w:val="24"/>
                <w:szCs w:val="24"/>
              </w:rPr>
              <w:t>rate</w:t>
            </w:r>
          </w:p>
        </w:tc>
        <w:tc>
          <w:tcPr>
            <w:tcW w:w="1558" w:type="dxa"/>
            <w:tcBorders>
              <w:right w:val="single" w:color="000000" w:themeColor="text1" w:sz="8" w:space="0"/>
            </w:tcBorders>
          </w:tcPr>
          <w:p w:rsidRPr="00A851F6" w:rsidR="00400A0E" w:rsidP="003B735C" w:rsidRDefault="00400A0E" w14:paraId="60DBE65C" w14:textId="77777777">
            <w:pPr>
              <w:pStyle w:val="TableParagraph"/>
              <w:spacing w:before="32" w:line="267" w:lineRule="exact"/>
              <w:ind w:left="499"/>
              <w:rPr>
                <w:sz w:val="24"/>
                <w:szCs w:val="24"/>
              </w:rPr>
            </w:pPr>
            <w:r w:rsidRPr="00A851F6">
              <w:rPr>
                <w:sz w:val="24"/>
                <w:szCs w:val="24"/>
              </w:rPr>
              <w:t>$3.00</w:t>
            </w:r>
          </w:p>
        </w:tc>
      </w:tr>
      <w:tr w:rsidRPr="00A851F6" w:rsidR="00400A0E" w:rsidTr="003B735C" w14:paraId="19530037" w14:textId="77777777">
        <w:trPr>
          <w:trHeight w:val="296"/>
        </w:trPr>
        <w:tc>
          <w:tcPr>
            <w:tcW w:w="4595" w:type="dxa"/>
            <w:tcBorders>
              <w:left w:val="single" w:color="000000" w:themeColor="text1" w:sz="8" w:space="0"/>
            </w:tcBorders>
          </w:tcPr>
          <w:p w:rsidRPr="00A851F6" w:rsidR="00400A0E" w:rsidP="003B735C" w:rsidRDefault="00400A0E" w14:paraId="68A7DAC9" w14:textId="77777777">
            <w:pPr>
              <w:pStyle w:val="TableParagraph"/>
              <w:spacing w:before="1"/>
              <w:rPr>
                <w:sz w:val="24"/>
                <w:szCs w:val="24"/>
              </w:rPr>
            </w:pPr>
            <w:r w:rsidRPr="00A851F6">
              <w:rPr>
                <w:sz w:val="24"/>
                <w:szCs w:val="24"/>
              </w:rPr>
              <w:t>Highest automated payment charge</w:t>
            </w:r>
          </w:p>
        </w:tc>
        <w:tc>
          <w:tcPr>
            <w:tcW w:w="1558" w:type="dxa"/>
            <w:tcBorders>
              <w:right w:val="single" w:color="000000" w:themeColor="text1" w:sz="8" w:space="0"/>
            </w:tcBorders>
          </w:tcPr>
          <w:p w:rsidRPr="00A851F6" w:rsidR="00400A0E" w:rsidP="003B735C" w:rsidRDefault="00400A0E" w14:paraId="0A813175" w14:textId="77777777">
            <w:pPr>
              <w:pStyle w:val="TableParagraph"/>
              <w:spacing w:before="1"/>
              <w:ind w:left="499"/>
              <w:rPr>
                <w:sz w:val="24"/>
                <w:szCs w:val="24"/>
              </w:rPr>
            </w:pPr>
            <w:r w:rsidRPr="00A851F6">
              <w:rPr>
                <w:sz w:val="24"/>
                <w:szCs w:val="24"/>
              </w:rPr>
              <w:t>$3.00</w:t>
            </w:r>
          </w:p>
        </w:tc>
      </w:tr>
      <w:tr w:rsidRPr="00A851F6" w:rsidR="00400A0E" w:rsidTr="003B735C" w14:paraId="5CD0D8C7" w14:textId="77777777">
        <w:trPr>
          <w:trHeight w:val="304"/>
        </w:trPr>
        <w:tc>
          <w:tcPr>
            <w:tcW w:w="4595" w:type="dxa"/>
            <w:tcBorders>
              <w:left w:val="single" w:color="000000" w:themeColor="text1" w:sz="8" w:space="0"/>
            </w:tcBorders>
          </w:tcPr>
          <w:p w:rsidRPr="00A851F6" w:rsidR="00400A0E" w:rsidP="003B735C" w:rsidRDefault="00400A0E" w14:paraId="203C05FD" w14:textId="77777777">
            <w:pPr>
              <w:pStyle w:val="TableParagraph"/>
              <w:rPr>
                <w:sz w:val="24"/>
                <w:szCs w:val="24"/>
              </w:rPr>
            </w:pPr>
            <w:r w:rsidRPr="00A851F6">
              <w:rPr>
                <w:sz w:val="24"/>
                <w:szCs w:val="24"/>
              </w:rPr>
              <w:t>Highest third-party fee</w:t>
            </w:r>
          </w:p>
        </w:tc>
        <w:tc>
          <w:tcPr>
            <w:tcW w:w="1558" w:type="dxa"/>
            <w:tcBorders>
              <w:right w:val="single" w:color="000000" w:themeColor="text1" w:sz="8" w:space="0"/>
            </w:tcBorders>
          </w:tcPr>
          <w:p w:rsidRPr="00A851F6" w:rsidR="00400A0E" w:rsidP="003B735C" w:rsidRDefault="00400A0E" w14:paraId="39BE83BE" w14:textId="77777777">
            <w:pPr>
              <w:pStyle w:val="TableParagraph"/>
              <w:ind w:left="499"/>
              <w:rPr>
                <w:sz w:val="24"/>
                <w:szCs w:val="24"/>
              </w:rPr>
            </w:pPr>
            <w:r w:rsidRPr="00A851F6">
              <w:rPr>
                <w:sz w:val="24"/>
                <w:szCs w:val="24"/>
              </w:rPr>
              <w:t>$6.95</w:t>
            </w:r>
          </w:p>
        </w:tc>
      </w:tr>
      <w:tr w:rsidRPr="00A851F6" w:rsidR="00400A0E" w:rsidTr="003B735C" w14:paraId="0A2606B0" w14:textId="77777777">
        <w:trPr>
          <w:trHeight w:val="304"/>
        </w:trPr>
        <w:tc>
          <w:tcPr>
            <w:tcW w:w="4595" w:type="dxa"/>
            <w:tcBorders>
              <w:left w:val="single" w:color="000000" w:themeColor="text1" w:sz="8" w:space="0"/>
            </w:tcBorders>
          </w:tcPr>
          <w:p w:rsidRPr="00A851F6" w:rsidR="00400A0E" w:rsidP="003B735C" w:rsidRDefault="00400A0E" w14:paraId="53193271" w14:textId="77777777">
            <w:pPr>
              <w:pStyle w:val="TableParagraph"/>
              <w:rPr>
                <w:sz w:val="24"/>
                <w:szCs w:val="24"/>
              </w:rPr>
            </w:pPr>
            <w:r w:rsidRPr="00A851F6">
              <w:rPr>
                <w:sz w:val="24"/>
                <w:szCs w:val="24"/>
              </w:rPr>
              <w:t>Highest live agent fee</w:t>
            </w:r>
          </w:p>
        </w:tc>
        <w:tc>
          <w:tcPr>
            <w:tcW w:w="1558" w:type="dxa"/>
            <w:tcBorders>
              <w:right w:val="single" w:color="000000" w:themeColor="text1" w:sz="8" w:space="0"/>
            </w:tcBorders>
          </w:tcPr>
          <w:p w:rsidRPr="00A851F6" w:rsidR="00400A0E" w:rsidP="003B735C" w:rsidRDefault="00400A0E" w14:paraId="08B10553" w14:textId="77777777">
            <w:pPr>
              <w:pStyle w:val="TableParagraph"/>
              <w:ind w:left="499"/>
              <w:rPr>
                <w:sz w:val="24"/>
                <w:szCs w:val="24"/>
              </w:rPr>
            </w:pPr>
            <w:r w:rsidRPr="00A851F6">
              <w:rPr>
                <w:sz w:val="24"/>
                <w:szCs w:val="24"/>
              </w:rPr>
              <w:t>$5.95</w:t>
            </w:r>
          </w:p>
        </w:tc>
      </w:tr>
      <w:tr w:rsidRPr="00A851F6" w:rsidR="00400A0E" w:rsidTr="003B735C" w14:paraId="77934BC2" w14:textId="77777777">
        <w:trPr>
          <w:trHeight w:val="279"/>
        </w:trPr>
        <w:tc>
          <w:tcPr>
            <w:tcW w:w="4595" w:type="dxa"/>
            <w:tcBorders>
              <w:left w:val="single" w:color="000000" w:themeColor="text1" w:sz="8" w:space="0"/>
              <w:bottom w:val="single" w:color="000000" w:themeColor="text1" w:sz="8" w:space="0"/>
            </w:tcBorders>
          </w:tcPr>
          <w:p w:rsidRPr="00A851F6" w:rsidR="00400A0E" w:rsidP="003B735C" w:rsidRDefault="00400A0E" w14:paraId="6FDB56FD" w14:textId="77777777">
            <w:pPr>
              <w:pStyle w:val="TableParagraph"/>
              <w:spacing w:line="250" w:lineRule="exact"/>
              <w:rPr>
                <w:sz w:val="24"/>
                <w:szCs w:val="24"/>
              </w:rPr>
            </w:pPr>
            <w:r w:rsidRPr="00A851F6">
              <w:rPr>
                <w:sz w:val="24"/>
                <w:szCs w:val="24"/>
              </w:rPr>
              <w:t xml:space="preserve">Highest </w:t>
            </w:r>
            <w:r w:rsidRPr="00A851F6">
              <w:rPr>
                <w:spacing w:val="4"/>
                <w:sz w:val="24"/>
                <w:szCs w:val="24"/>
              </w:rPr>
              <w:t xml:space="preserve">paper </w:t>
            </w:r>
            <w:r w:rsidRPr="00A851F6">
              <w:rPr>
                <w:sz w:val="24"/>
                <w:szCs w:val="24"/>
              </w:rPr>
              <w:t xml:space="preserve">bill </w:t>
            </w:r>
            <w:r w:rsidRPr="00A851F6">
              <w:rPr>
                <w:spacing w:val="6"/>
                <w:sz w:val="24"/>
                <w:szCs w:val="24"/>
              </w:rPr>
              <w:t>fee</w:t>
            </w:r>
          </w:p>
        </w:tc>
        <w:tc>
          <w:tcPr>
            <w:tcW w:w="1558" w:type="dxa"/>
            <w:tcBorders>
              <w:bottom w:val="single" w:color="000000" w:themeColor="text1" w:sz="8" w:space="0"/>
              <w:right w:val="single" w:color="000000" w:themeColor="text1" w:sz="8" w:space="0"/>
            </w:tcBorders>
          </w:tcPr>
          <w:p w:rsidRPr="00A851F6" w:rsidR="00400A0E" w:rsidP="003B735C" w:rsidRDefault="00400A0E" w14:paraId="4CA52BEF" w14:textId="77777777">
            <w:pPr>
              <w:pStyle w:val="TableParagraph"/>
              <w:spacing w:line="250" w:lineRule="exact"/>
              <w:ind w:left="499"/>
              <w:rPr>
                <w:sz w:val="24"/>
                <w:szCs w:val="24"/>
              </w:rPr>
            </w:pPr>
            <w:r w:rsidRPr="00A851F6">
              <w:rPr>
                <w:sz w:val="24"/>
                <w:szCs w:val="24"/>
              </w:rPr>
              <w:t>$2.49</w:t>
            </w:r>
          </w:p>
        </w:tc>
      </w:tr>
    </w:tbl>
    <w:p w:rsidRPr="00A851F6" w:rsidR="00400A0E" w:rsidP="00400A0E" w:rsidRDefault="00400A0E" w14:paraId="68CE4CCE" w14:textId="77777777">
      <w:pPr>
        <w:spacing w:line="250" w:lineRule="exact"/>
        <w:sectPr w:rsidRPr="00A851F6" w:rsidR="00400A0E" w:rsidSect="002622F6">
          <w:headerReference w:type="default" r:id="rId19"/>
          <w:footerReference w:type="default" r:id="rId20"/>
          <w:footnotePr>
            <w:numRestart w:val="eachSect"/>
          </w:footnotePr>
          <w:pgSz w:w="12240" w:h="15840"/>
          <w:pgMar w:top="1440" w:right="1080" w:bottom="1440" w:left="1080" w:header="541" w:footer="1009" w:gutter="0"/>
          <w:pgNumType w:start="1"/>
          <w:cols w:space="720"/>
          <w:docGrid w:linePitch="299"/>
        </w:sectPr>
      </w:pPr>
    </w:p>
    <w:p w:rsidR="00400A0E" w:rsidP="00232A35" w:rsidRDefault="00400A0E" w14:paraId="49170157" w14:textId="77777777">
      <w:pPr>
        <w:spacing w:after="120" w:line="274" w:lineRule="exact"/>
        <w:ind w:left="2707" w:right="2693"/>
        <w:jc w:val="center"/>
        <w:rPr>
          <w:b/>
        </w:rPr>
      </w:pPr>
      <w:r w:rsidRPr="00A851F6">
        <w:rPr>
          <w:b/>
        </w:rPr>
        <w:lastRenderedPageBreak/>
        <w:t>Attachment B</w:t>
      </w:r>
    </w:p>
    <w:p w:rsidRPr="00A851F6" w:rsidR="00400A0E" w:rsidP="00622A57" w:rsidRDefault="00400A0E" w14:paraId="129B3A9A" w14:textId="77777777">
      <w:pPr>
        <w:spacing w:line="274" w:lineRule="exact"/>
        <w:ind w:left="2689" w:right="2696"/>
        <w:jc w:val="center"/>
        <w:rPr>
          <w:b/>
        </w:rPr>
      </w:pPr>
      <w:r w:rsidRPr="00A851F6">
        <w:rPr>
          <w:b/>
        </w:rPr>
        <w:t>Other Inmate’s Calling Service Fees and Charges</w:t>
      </w:r>
    </w:p>
    <w:p w:rsidRPr="00232A35" w:rsidR="00400A0E" w:rsidP="00400A0E" w:rsidRDefault="00400A0E" w14:paraId="6823F12C" w14:textId="77777777">
      <w:pPr>
        <w:pStyle w:val="BodyText"/>
        <w:spacing w:before="6"/>
        <w:ind w:left="0"/>
        <w:rPr>
          <w:b/>
          <w:sz w:val="12"/>
          <w:szCs w:val="12"/>
        </w:rPr>
      </w:pPr>
    </w:p>
    <w:p w:rsidR="00622A57" w:rsidP="00622A57" w:rsidRDefault="00400A0E" w14:paraId="6A5D4876" w14:textId="77777777">
      <w:pPr>
        <w:pStyle w:val="BodyText"/>
        <w:ind w:left="0"/>
      </w:pPr>
      <w:r w:rsidRPr="00A851F6">
        <w:t>Below is a list of other fees and charges identified as included in inmate calling service contracts.</w:t>
      </w:r>
    </w:p>
    <w:p w:rsidR="009D644C" w:rsidP="00212AB3" w:rsidRDefault="00400A0E" w14:paraId="3BBDC11C" w14:textId="77B4B3A9">
      <w:pPr>
        <w:pStyle w:val="BodyText"/>
        <w:numPr>
          <w:ilvl w:val="0"/>
          <w:numId w:val="45"/>
        </w:numPr>
      </w:pPr>
      <w:r w:rsidRPr="00A851F6">
        <w:t>Carrier</w:t>
      </w:r>
      <w:r w:rsidR="008016DD">
        <w:t xml:space="preserve"> </w:t>
      </w:r>
      <w:r w:rsidRPr="00A851F6">
        <w:t>access fee</w:t>
      </w:r>
    </w:p>
    <w:p w:rsidR="009D644C" w:rsidP="00212AB3" w:rsidRDefault="00400A0E" w14:paraId="7726E242" w14:textId="1F02F328">
      <w:pPr>
        <w:pStyle w:val="BodyText"/>
        <w:numPr>
          <w:ilvl w:val="0"/>
          <w:numId w:val="45"/>
        </w:numPr>
      </w:pPr>
      <w:r w:rsidRPr="00A851F6">
        <w:t>Cos</w:t>
      </w:r>
      <w:r w:rsidR="00191CBB">
        <w:t>t</w:t>
      </w:r>
      <w:r w:rsidR="00622A57">
        <w:t xml:space="preserve"> </w:t>
      </w:r>
      <w:r w:rsidRPr="00A851F6">
        <w:t xml:space="preserve">recovery fee </w:t>
      </w:r>
    </w:p>
    <w:p w:rsidRPr="00A851F6" w:rsidR="00400A0E" w:rsidP="00212AB3" w:rsidRDefault="00400A0E" w14:paraId="4ABDF3EA" w14:textId="79A62D5B">
      <w:pPr>
        <w:pStyle w:val="BodyText"/>
        <w:numPr>
          <w:ilvl w:val="0"/>
          <w:numId w:val="45"/>
        </w:numPr>
      </w:pPr>
      <w:r w:rsidRPr="00A851F6">
        <w:t>Billing statement fee</w:t>
      </w:r>
    </w:p>
    <w:p w:rsidR="008016DD" w:rsidP="00212AB3" w:rsidRDefault="00400A0E" w14:paraId="61C05857" w14:textId="0E48AD61">
      <w:pPr>
        <w:pStyle w:val="BodyText"/>
        <w:numPr>
          <w:ilvl w:val="0"/>
          <w:numId w:val="45"/>
        </w:numPr>
      </w:pPr>
      <w:r w:rsidRPr="00A851F6">
        <w:t>Surcharge (non</w:t>
      </w:r>
      <w:r w:rsidR="00622A57">
        <w:t>-</w:t>
      </w:r>
      <w:r w:rsidRPr="00A851F6">
        <w:t xml:space="preserve">government) </w:t>
      </w:r>
    </w:p>
    <w:p w:rsidRPr="00A851F6" w:rsidR="00400A0E" w:rsidP="00212AB3" w:rsidRDefault="00400A0E" w14:paraId="74434733" w14:textId="6C4D04DC">
      <w:pPr>
        <w:pStyle w:val="BodyText"/>
        <w:numPr>
          <w:ilvl w:val="0"/>
          <w:numId w:val="45"/>
        </w:numPr>
      </w:pPr>
      <w:r w:rsidRPr="00A851F6">
        <w:t>Close out fee</w:t>
      </w:r>
    </w:p>
    <w:p w:rsidR="001378D6" w:rsidP="003F6521" w:rsidRDefault="00400A0E" w14:paraId="1B059E10" w14:textId="77777777">
      <w:pPr>
        <w:pStyle w:val="BodyText"/>
        <w:numPr>
          <w:ilvl w:val="0"/>
          <w:numId w:val="45"/>
        </w:numPr>
      </w:pPr>
      <w:r w:rsidRPr="00A851F6">
        <w:t xml:space="preserve">Percent transaction fees </w:t>
      </w:r>
    </w:p>
    <w:p w:rsidRPr="00A851F6" w:rsidR="00400A0E" w:rsidP="00212AB3" w:rsidRDefault="00400A0E" w14:paraId="540F5EA5" w14:textId="3FBB99BC">
      <w:pPr>
        <w:pStyle w:val="BodyText"/>
        <w:numPr>
          <w:ilvl w:val="0"/>
          <w:numId w:val="45"/>
        </w:numPr>
      </w:pPr>
      <w:r w:rsidRPr="00A851F6">
        <w:t>Connect Charge</w:t>
      </w:r>
    </w:p>
    <w:p w:rsidRPr="00A851F6" w:rsidR="00400A0E" w:rsidP="00212AB3" w:rsidRDefault="00400A0E" w14:paraId="6CAEC82A" w14:textId="77777777">
      <w:pPr>
        <w:pStyle w:val="BodyText"/>
        <w:numPr>
          <w:ilvl w:val="0"/>
          <w:numId w:val="45"/>
        </w:numPr>
      </w:pPr>
      <w:r w:rsidRPr="00A851F6">
        <w:t>1st Minute fee</w:t>
      </w:r>
    </w:p>
    <w:p w:rsidR="0038266B" w:rsidP="003F6521" w:rsidRDefault="00400A0E" w14:paraId="6AA1B95A" w14:textId="5F4F97FF">
      <w:pPr>
        <w:pStyle w:val="BodyText"/>
        <w:numPr>
          <w:ilvl w:val="0"/>
          <w:numId w:val="45"/>
        </w:numPr>
      </w:pPr>
      <w:r w:rsidRPr="00A851F6">
        <w:t>One-time Friends and Family Prepaid Collect Account Set-Up Fee</w:t>
      </w:r>
    </w:p>
    <w:p w:rsidRPr="00A851F6" w:rsidR="00400A0E" w:rsidP="00212AB3" w:rsidRDefault="00400A0E" w14:paraId="0841E680" w14:textId="0B86FE10">
      <w:pPr>
        <w:pStyle w:val="BodyText"/>
        <w:numPr>
          <w:ilvl w:val="0"/>
          <w:numId w:val="45"/>
        </w:numPr>
      </w:pPr>
      <w:r w:rsidRPr="00A851F6">
        <w:t>Prepaid Collect Account Replenish Fee</w:t>
      </w:r>
    </w:p>
    <w:p w:rsidR="003B34AD" w:rsidP="003F6521" w:rsidRDefault="00400A0E" w14:paraId="64B9BC42" w14:textId="77777777">
      <w:pPr>
        <w:pStyle w:val="BodyText"/>
        <w:numPr>
          <w:ilvl w:val="0"/>
          <w:numId w:val="45"/>
        </w:numPr>
      </w:pPr>
      <w:r w:rsidRPr="00A851F6">
        <w:t xml:space="preserve">State Cost Recovery Fee </w:t>
      </w:r>
    </w:p>
    <w:p w:rsidR="00F257B6" w:rsidP="003F6521" w:rsidRDefault="00400A0E" w14:paraId="7C356237" w14:textId="77777777">
      <w:pPr>
        <w:pStyle w:val="BodyText"/>
        <w:numPr>
          <w:ilvl w:val="0"/>
          <w:numId w:val="45"/>
        </w:numPr>
      </w:pPr>
      <w:r w:rsidRPr="00A851F6">
        <w:t xml:space="preserve">Location Validation Fee </w:t>
      </w:r>
    </w:p>
    <w:p w:rsidR="00F257B6" w:rsidP="003F6521" w:rsidRDefault="00400A0E" w14:paraId="25CD7A33" w14:textId="77777777">
      <w:pPr>
        <w:pStyle w:val="BodyText"/>
        <w:numPr>
          <w:ilvl w:val="0"/>
          <w:numId w:val="45"/>
        </w:numPr>
      </w:pPr>
      <w:r w:rsidRPr="00A851F6">
        <w:t xml:space="preserve">Transaction Processing Fee </w:t>
      </w:r>
    </w:p>
    <w:p w:rsidRPr="00A851F6" w:rsidR="00400A0E" w:rsidP="00212AB3" w:rsidRDefault="00400A0E" w14:paraId="63347E0F" w14:textId="2705D51D">
      <w:pPr>
        <w:pStyle w:val="BodyText"/>
        <w:numPr>
          <w:ilvl w:val="0"/>
          <w:numId w:val="45"/>
        </w:numPr>
      </w:pPr>
      <w:r w:rsidRPr="00A851F6">
        <w:t>Prepaid refund processing fee</w:t>
      </w:r>
    </w:p>
    <w:p w:rsidR="004B046E" w:rsidP="003F6521" w:rsidRDefault="00400A0E" w14:paraId="354BE8D0" w14:textId="77777777">
      <w:pPr>
        <w:pStyle w:val="BodyText"/>
        <w:numPr>
          <w:ilvl w:val="0"/>
          <w:numId w:val="45"/>
        </w:numPr>
      </w:pPr>
      <w:r w:rsidRPr="00A851F6">
        <w:t xml:space="preserve">Western Union Debit Refund Processing Fee </w:t>
      </w:r>
    </w:p>
    <w:p w:rsidRPr="00A851F6" w:rsidR="00400A0E" w:rsidP="00212AB3" w:rsidRDefault="00400A0E" w14:paraId="6FD5032D" w14:textId="1D8292F1">
      <w:pPr>
        <w:pStyle w:val="BodyText"/>
        <w:numPr>
          <w:ilvl w:val="0"/>
          <w:numId w:val="45"/>
        </w:numPr>
      </w:pPr>
      <w:r w:rsidRPr="00A851F6">
        <w:t>Minimum funding amount of $25</w:t>
      </w:r>
    </w:p>
    <w:p w:rsidR="004B046E" w:rsidP="003F6521" w:rsidRDefault="00400A0E" w14:paraId="7EECCC40" w14:textId="77777777">
      <w:pPr>
        <w:pStyle w:val="BodyText"/>
        <w:numPr>
          <w:ilvl w:val="0"/>
          <w:numId w:val="45"/>
        </w:numPr>
      </w:pPr>
      <w:r w:rsidRPr="00212AB3">
        <w:t xml:space="preserve">Account setup fee </w:t>
      </w:r>
    </w:p>
    <w:p w:rsidRPr="00A851F6" w:rsidR="00400A0E" w:rsidP="00212AB3" w:rsidRDefault="00400A0E" w14:paraId="59E7CD9B" w14:textId="3C2F556B">
      <w:pPr>
        <w:pStyle w:val="BodyText"/>
        <w:numPr>
          <w:ilvl w:val="0"/>
          <w:numId w:val="45"/>
        </w:numPr>
      </w:pPr>
      <w:r w:rsidRPr="00212AB3">
        <w:t>Securus refund fee</w:t>
      </w:r>
    </w:p>
    <w:p w:rsidR="004B046E" w:rsidP="003F6521" w:rsidRDefault="00400A0E" w14:paraId="785CBC4E" w14:textId="77777777">
      <w:pPr>
        <w:pStyle w:val="BodyText"/>
        <w:numPr>
          <w:ilvl w:val="0"/>
          <w:numId w:val="45"/>
        </w:numPr>
      </w:pPr>
      <w:r w:rsidRPr="00212AB3">
        <w:t xml:space="preserve">Securus funding </w:t>
      </w:r>
      <w:r w:rsidRPr="00A851F6">
        <w:t>transaction</w:t>
      </w:r>
      <w:r w:rsidRPr="00212AB3">
        <w:t xml:space="preserve"> fee </w:t>
      </w:r>
    </w:p>
    <w:p w:rsidR="004B046E" w:rsidP="003F6521" w:rsidRDefault="00400A0E" w14:paraId="57BE387F" w14:textId="77777777">
      <w:pPr>
        <w:pStyle w:val="BodyText"/>
        <w:numPr>
          <w:ilvl w:val="0"/>
          <w:numId w:val="45"/>
        </w:numPr>
      </w:pPr>
      <w:r w:rsidRPr="00A851F6">
        <w:t xml:space="preserve">Minimum </w:t>
      </w:r>
      <w:r w:rsidRPr="00212AB3">
        <w:t xml:space="preserve">funding amount </w:t>
      </w:r>
    </w:p>
    <w:p w:rsidRPr="00A851F6" w:rsidR="00400A0E" w:rsidP="00212AB3" w:rsidRDefault="00400A0E" w14:paraId="2CC7A1AE" w14:textId="18B0F546">
      <w:pPr>
        <w:pStyle w:val="BodyText"/>
        <w:numPr>
          <w:ilvl w:val="0"/>
          <w:numId w:val="45"/>
        </w:numPr>
      </w:pPr>
      <w:r w:rsidRPr="00A851F6">
        <w:t xml:space="preserve">Kiosk </w:t>
      </w:r>
      <w:r w:rsidRPr="00212AB3">
        <w:t>deposit fee</w:t>
      </w:r>
    </w:p>
    <w:p w:rsidR="004B046E" w:rsidP="003F6521" w:rsidRDefault="00400A0E" w14:paraId="514E6A68" w14:textId="77777777">
      <w:pPr>
        <w:pStyle w:val="BodyText"/>
        <w:numPr>
          <w:ilvl w:val="0"/>
          <w:numId w:val="45"/>
        </w:numPr>
      </w:pPr>
      <w:r w:rsidRPr="00A851F6">
        <w:t xml:space="preserve">Percent charge for Western Union fee </w:t>
      </w:r>
    </w:p>
    <w:p w:rsidRPr="00A851F6" w:rsidR="00400A0E" w:rsidP="00212AB3" w:rsidRDefault="00400A0E" w14:paraId="0192590C" w14:textId="378A5793">
      <w:pPr>
        <w:pStyle w:val="BodyText"/>
        <w:numPr>
          <w:ilvl w:val="0"/>
          <w:numId w:val="45"/>
        </w:numPr>
      </w:pPr>
      <w:r w:rsidRPr="00A851F6">
        <w:t>Release debit card fee</w:t>
      </w:r>
    </w:p>
    <w:p w:rsidRPr="00A851F6" w:rsidR="00400A0E" w:rsidP="00212AB3" w:rsidRDefault="00400A0E" w14:paraId="666EC3C0" w14:textId="77777777">
      <w:pPr>
        <w:pStyle w:val="BodyText"/>
        <w:numPr>
          <w:ilvl w:val="0"/>
          <w:numId w:val="45"/>
        </w:numPr>
      </w:pPr>
      <w:r w:rsidRPr="00A851F6">
        <w:t>Pre-paid collect service</w:t>
      </w:r>
    </w:p>
    <w:p w:rsidR="00E55D43" w:rsidP="003F6521" w:rsidRDefault="00400A0E" w14:paraId="6235EBE9" w14:textId="77777777">
      <w:pPr>
        <w:pStyle w:val="BodyText"/>
        <w:numPr>
          <w:ilvl w:val="0"/>
          <w:numId w:val="45"/>
        </w:numPr>
      </w:pPr>
      <w:r w:rsidRPr="00A851F6">
        <w:t xml:space="preserve">Walk in, internet money transfer fee </w:t>
      </w:r>
    </w:p>
    <w:p w:rsidRPr="00A851F6" w:rsidR="00400A0E" w:rsidP="00212AB3" w:rsidRDefault="00400A0E" w14:paraId="425884E7" w14:textId="2BE0980D">
      <w:pPr>
        <w:pStyle w:val="BodyText"/>
        <w:numPr>
          <w:ilvl w:val="0"/>
          <w:numId w:val="45"/>
        </w:numPr>
      </w:pPr>
      <w:r w:rsidRPr="00A851F6">
        <w:t>Web transaction fee</w:t>
      </w:r>
    </w:p>
    <w:p w:rsidR="00E55D43" w:rsidP="003F6521" w:rsidRDefault="00400A0E" w14:paraId="7B83DCB2" w14:textId="77777777">
      <w:pPr>
        <w:pStyle w:val="BodyText"/>
        <w:numPr>
          <w:ilvl w:val="0"/>
          <w:numId w:val="45"/>
        </w:numPr>
      </w:pPr>
      <w:r w:rsidRPr="00A851F6">
        <w:t xml:space="preserve">Bail </w:t>
      </w:r>
      <w:r w:rsidRPr="00212AB3">
        <w:t xml:space="preserve">deposit </w:t>
      </w:r>
      <w:r w:rsidRPr="00A851F6">
        <w:t xml:space="preserve">credit, </w:t>
      </w:r>
      <w:r w:rsidRPr="00212AB3">
        <w:t xml:space="preserve">cash and </w:t>
      </w:r>
      <w:r w:rsidRPr="00A851F6">
        <w:t xml:space="preserve">live operator </w:t>
      </w:r>
      <w:r w:rsidRPr="00212AB3">
        <w:t xml:space="preserve">fee </w:t>
      </w:r>
    </w:p>
    <w:p w:rsidRPr="00A851F6" w:rsidR="00400A0E" w:rsidP="00212AB3" w:rsidRDefault="00400A0E" w14:paraId="58EF634A" w14:textId="17E65CD4">
      <w:pPr>
        <w:pStyle w:val="BodyText"/>
        <w:numPr>
          <w:ilvl w:val="0"/>
          <w:numId w:val="45"/>
        </w:numPr>
      </w:pPr>
      <w:r w:rsidRPr="00A851F6">
        <w:t xml:space="preserve">Wireless administration </w:t>
      </w:r>
      <w:r w:rsidRPr="00212AB3">
        <w:t>fee.</w:t>
      </w:r>
    </w:p>
    <w:p w:rsidRPr="00A851F6" w:rsidR="00400A0E" w:rsidP="00212AB3" w:rsidRDefault="00400A0E" w14:paraId="72C0F1C2" w14:textId="5F299976">
      <w:pPr>
        <w:pStyle w:val="BodyText"/>
        <w:numPr>
          <w:ilvl w:val="0"/>
          <w:numId w:val="45"/>
        </w:numPr>
      </w:pPr>
      <w:r w:rsidRPr="00A851F6">
        <w:t>Inmate transfer fee</w:t>
      </w:r>
    </w:p>
    <w:p w:rsidRPr="00A851F6" w:rsidR="00400A0E" w:rsidP="00400A0E" w:rsidRDefault="00400A0E" w14:paraId="6F07A48C" w14:textId="77777777">
      <w:pPr>
        <w:pStyle w:val="BodyText"/>
        <w:ind w:left="0"/>
      </w:pPr>
    </w:p>
    <w:p w:rsidRPr="00A851F6" w:rsidR="00400A0E" w:rsidP="00400A0E" w:rsidRDefault="00400A0E" w14:paraId="13407F7B" w14:textId="77777777">
      <w:pPr>
        <w:pStyle w:val="BodyText"/>
        <w:ind w:left="0"/>
      </w:pPr>
    </w:p>
    <w:p w:rsidRPr="002622F6" w:rsidR="002622F6" w:rsidP="002622F6" w:rsidRDefault="002622F6" w14:paraId="0E5210B5" w14:textId="77777777">
      <w:pPr>
        <w:tabs>
          <w:tab w:val="left" w:pos="3670"/>
        </w:tabs>
        <w:jc w:val="center"/>
        <w:rPr>
          <w:b/>
          <w:bCs/>
        </w:rPr>
      </w:pPr>
      <w:r w:rsidRPr="002622F6">
        <w:rPr>
          <w:b/>
          <w:bCs/>
        </w:rPr>
        <w:t>(END OF ATTACHMENTS)</w:t>
      </w:r>
    </w:p>
    <w:p w:rsidRPr="00A851F6" w:rsidR="00400A0E" w:rsidP="002622F6" w:rsidRDefault="00400A0E" w14:paraId="6BB1FB36" w14:textId="77777777">
      <w:pPr>
        <w:jc w:val="center"/>
        <w:rPr>
          <w:b/>
          <w:bCs/>
        </w:rPr>
      </w:pPr>
    </w:p>
    <w:p w:rsidR="00426014" w:rsidP="00287BC5" w:rsidRDefault="00426014" w14:paraId="4BB6C3AD" w14:textId="77777777"/>
    <w:p w:rsidRPr="00743A8E" w:rsidR="00714CF2" w:rsidP="00A1129D" w:rsidRDefault="00426014" w14:paraId="7F2626C9" w14:textId="07D5A503">
      <w:pPr>
        <w:pStyle w:val="Main"/>
        <w:rPr>
          <w:sz w:val="2"/>
          <w:szCs w:val="2"/>
        </w:rPr>
      </w:pPr>
      <w:bookmarkStart w:name="_Toc80089431" w:id="87"/>
      <w:r>
        <w:t>(End of Appendix A)</w:t>
      </w:r>
      <w:bookmarkEnd w:id="87"/>
    </w:p>
    <w:sectPr w:rsidRPr="00743A8E" w:rsidR="00714CF2" w:rsidSect="00D44DB6">
      <w:headerReference w:type="default" r:id="rId21"/>
      <w:footerReference w:type="default" r:id="rId22"/>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DB5B" w14:textId="77777777" w:rsidR="0036579F" w:rsidRDefault="0036579F" w:rsidP="0098138E">
      <w:r>
        <w:separator/>
      </w:r>
    </w:p>
  </w:endnote>
  <w:endnote w:type="continuationSeparator" w:id="0">
    <w:p w14:paraId="7EC27296" w14:textId="77777777" w:rsidR="0036579F" w:rsidRDefault="0036579F" w:rsidP="0098138E">
      <w:r>
        <w:continuationSeparator/>
      </w:r>
    </w:p>
  </w:endnote>
  <w:endnote w:type="continuationNotice" w:id="1">
    <w:p w14:paraId="5C97E272" w14:textId="77777777" w:rsidR="0036579F" w:rsidRDefault="00365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2135" w14:textId="60CE0EA0" w:rsidR="00F92265" w:rsidRPr="00F92265" w:rsidRDefault="0036579F" w:rsidP="007E0FEE">
    <w:pPr>
      <w:tabs>
        <w:tab w:val="center" w:pos="4680"/>
      </w:tabs>
      <w:rPr>
        <w:rFonts w:ascii="Book Antiqua" w:hAnsi="Book Antiqua"/>
        <w:noProof/>
        <w:sz w:val="26"/>
        <w:szCs w:val="26"/>
      </w:rPr>
    </w:pPr>
    <w:sdt>
      <w:sdtPr>
        <w:rPr>
          <w:rFonts w:ascii="Book Antiqua" w:hAnsi="Book Antiqua"/>
          <w:sz w:val="26"/>
          <w:szCs w:val="26"/>
        </w:rPr>
        <w:id w:val="1389994923"/>
        <w:docPartObj>
          <w:docPartGallery w:val="Page Numbers (Bottom of Page)"/>
          <w:docPartUnique/>
        </w:docPartObj>
      </w:sdtPr>
      <w:sdtEndPr>
        <w:rPr>
          <w:noProof/>
        </w:rPr>
      </w:sdtEndPr>
      <w:sdtContent>
        <w:r w:rsidR="00710682">
          <w:t>400629229</w:t>
        </w:r>
        <w:r w:rsidR="00F92265" w:rsidRPr="00F92265">
          <w:rPr>
            <w:rFonts w:ascii="Book Antiqua" w:hAnsi="Book Antiqua" w:cs="Arial"/>
            <w:sz w:val="26"/>
            <w:szCs w:val="26"/>
          </w:rPr>
          <w:tab/>
        </w:r>
        <w:r w:rsidR="00F92265" w:rsidRPr="00F92265">
          <w:rPr>
            <w:rFonts w:ascii="Book Antiqua" w:hAnsi="Book Antiqua"/>
            <w:sz w:val="26"/>
            <w:szCs w:val="26"/>
          </w:rPr>
          <w:t xml:space="preserve">- </w:t>
        </w:r>
        <w:r w:rsidR="00F92265" w:rsidRPr="00F92265">
          <w:rPr>
            <w:rFonts w:ascii="Book Antiqua" w:hAnsi="Book Antiqua"/>
            <w:sz w:val="26"/>
            <w:szCs w:val="26"/>
          </w:rPr>
          <w:fldChar w:fldCharType="begin"/>
        </w:r>
        <w:r w:rsidR="00F92265" w:rsidRPr="00F92265">
          <w:rPr>
            <w:rFonts w:ascii="Book Antiqua" w:hAnsi="Book Antiqua"/>
            <w:sz w:val="26"/>
            <w:szCs w:val="26"/>
          </w:rPr>
          <w:instrText xml:space="preserve"> PAGE   \* MERGEFORMAT </w:instrText>
        </w:r>
        <w:r w:rsidR="00F92265" w:rsidRPr="00F92265">
          <w:rPr>
            <w:rFonts w:ascii="Book Antiqua" w:hAnsi="Book Antiqua"/>
            <w:sz w:val="26"/>
            <w:szCs w:val="26"/>
          </w:rPr>
          <w:fldChar w:fldCharType="separate"/>
        </w:r>
        <w:r w:rsidR="00F92265" w:rsidRPr="00F92265">
          <w:rPr>
            <w:rFonts w:ascii="Book Antiqua" w:hAnsi="Book Antiqua"/>
            <w:noProof/>
            <w:sz w:val="26"/>
            <w:szCs w:val="26"/>
          </w:rPr>
          <w:t>2</w:t>
        </w:r>
        <w:r w:rsidR="00F92265" w:rsidRPr="00F92265">
          <w:rPr>
            <w:rFonts w:ascii="Book Antiqua" w:hAnsi="Book Antiqua"/>
            <w:noProof/>
            <w:sz w:val="26"/>
            <w:szCs w:val="26"/>
          </w:rPr>
          <w:fldChar w:fldCharType="end"/>
        </w:r>
      </w:sdtContent>
    </w:sdt>
    <w:r w:rsidR="00F92265" w:rsidRPr="00F92265">
      <w:rPr>
        <w:rFonts w:ascii="Book Antiqua" w:hAnsi="Book Antiqua"/>
        <w:noProof/>
        <w:sz w:val="26"/>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52FF" w14:textId="77777777" w:rsidR="00E23CBB" w:rsidRDefault="00E23CBB" w:rsidP="007E0FEE">
    <w:pPr>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746" w14:textId="77777777" w:rsidR="00E23CBB" w:rsidRPr="006550C5" w:rsidRDefault="00E23CBB" w:rsidP="007E0FEE">
    <w:pPr>
      <w:jc w:val="center"/>
      <w:rPr>
        <w:rFonts w:ascii="Book Antiqua" w:hAnsi="Book Antiqua"/>
        <w:sz w:val="26"/>
        <w:szCs w:val="26"/>
      </w:rPr>
    </w:pPr>
    <w:r w:rsidRPr="006550C5">
      <w:rPr>
        <w:rFonts w:ascii="Book Antiqua" w:hAnsi="Book Antiqua"/>
        <w:sz w:val="26"/>
        <w:szCs w:val="26"/>
      </w:rPr>
      <w:t>-</w:t>
    </w:r>
    <w:sdt>
      <w:sdtPr>
        <w:rPr>
          <w:rFonts w:ascii="Book Antiqua" w:hAnsi="Book Antiqua"/>
          <w:sz w:val="26"/>
          <w:szCs w:val="26"/>
        </w:rPr>
        <w:id w:val="-1034043401"/>
        <w:docPartObj>
          <w:docPartGallery w:val="Page Numbers (Bottom of Page)"/>
          <w:docPartUnique/>
        </w:docPartObj>
      </w:sdtPr>
      <w:sdtEndPr>
        <w:rPr>
          <w:noProof/>
        </w:rPr>
      </w:sdtEndPr>
      <w:sdtContent>
        <w:r w:rsidR="00EE4315" w:rsidRPr="006550C5">
          <w:rPr>
            <w:rFonts w:ascii="Book Antiqua" w:hAnsi="Book Antiqua"/>
            <w:sz w:val="26"/>
            <w:szCs w:val="26"/>
          </w:rPr>
          <w:t xml:space="preserve"> </w:t>
        </w:r>
        <w:r w:rsidRPr="006550C5">
          <w:rPr>
            <w:rFonts w:ascii="Book Antiqua" w:hAnsi="Book Antiqua"/>
            <w:sz w:val="26"/>
            <w:szCs w:val="26"/>
          </w:rPr>
          <w:fldChar w:fldCharType="begin"/>
        </w:r>
        <w:r w:rsidRPr="006550C5">
          <w:rPr>
            <w:rFonts w:ascii="Book Antiqua" w:hAnsi="Book Antiqua"/>
            <w:sz w:val="26"/>
            <w:szCs w:val="26"/>
          </w:rPr>
          <w:instrText xml:space="preserve"> PAGE   \* MERGEFORMAT </w:instrText>
        </w:r>
        <w:r w:rsidRPr="006550C5">
          <w:rPr>
            <w:rFonts w:ascii="Book Antiqua" w:hAnsi="Book Antiqua"/>
            <w:sz w:val="26"/>
            <w:szCs w:val="26"/>
          </w:rPr>
          <w:fldChar w:fldCharType="separate"/>
        </w:r>
        <w:r w:rsidRPr="006550C5">
          <w:rPr>
            <w:rFonts w:ascii="Book Antiqua" w:hAnsi="Book Antiqua"/>
            <w:noProof/>
            <w:sz w:val="26"/>
            <w:szCs w:val="26"/>
          </w:rPr>
          <w:t>2</w:t>
        </w:r>
        <w:r w:rsidRPr="006550C5">
          <w:rPr>
            <w:rFonts w:ascii="Book Antiqua" w:hAnsi="Book Antiqua"/>
            <w:noProof/>
            <w:sz w:val="26"/>
            <w:szCs w:val="26"/>
          </w:rPr>
          <w:fldChar w:fldCharType="end"/>
        </w:r>
        <w:r w:rsidR="00EE4315" w:rsidRPr="006550C5">
          <w:rPr>
            <w:rFonts w:ascii="Book Antiqua" w:hAnsi="Book Antiqua"/>
            <w:noProof/>
            <w:sz w:val="26"/>
            <w:szCs w:val="26"/>
          </w:rPr>
          <w:t xml:space="preserve"> </w:t>
        </w:r>
        <w:r w:rsidRPr="006550C5">
          <w:rPr>
            <w:rFonts w:ascii="Book Antiqua" w:hAnsi="Book Antiqua"/>
            <w:noProof/>
            <w:sz w:val="26"/>
            <w:szCs w:val="26"/>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F06D" w14:textId="133ED2D8" w:rsidR="00400A0E" w:rsidRPr="002622F6" w:rsidRDefault="002622F6" w:rsidP="002622F6">
    <w:pPr>
      <w:pStyle w:val="Footer"/>
      <w:jc w:val="center"/>
      <w:rPr>
        <w:rFonts w:ascii="Book Antiqua" w:hAnsi="Book Antiqua"/>
        <w:sz w:val="26"/>
        <w:szCs w:val="26"/>
      </w:rPr>
    </w:pPr>
    <w:r>
      <w:rPr>
        <w:rFonts w:ascii="Book Antiqua" w:hAnsi="Book Antiqua"/>
        <w:sz w:val="26"/>
        <w:szCs w:val="26"/>
      </w:rPr>
      <w:t xml:space="preserve">- </w:t>
    </w:r>
    <w:r w:rsidRPr="002622F6">
      <w:rPr>
        <w:rFonts w:ascii="Book Antiqua" w:hAnsi="Book Antiqua"/>
        <w:sz w:val="26"/>
        <w:szCs w:val="26"/>
      </w:rPr>
      <w:fldChar w:fldCharType="begin"/>
    </w:r>
    <w:r w:rsidRPr="002622F6">
      <w:rPr>
        <w:rFonts w:ascii="Book Antiqua" w:hAnsi="Book Antiqua"/>
        <w:sz w:val="26"/>
        <w:szCs w:val="26"/>
      </w:rPr>
      <w:instrText xml:space="preserve"> PAGE   \* MERGEFORMAT </w:instrText>
    </w:r>
    <w:r w:rsidRPr="002622F6">
      <w:rPr>
        <w:rFonts w:ascii="Book Antiqua" w:hAnsi="Book Antiqua"/>
        <w:sz w:val="26"/>
        <w:szCs w:val="26"/>
      </w:rPr>
      <w:fldChar w:fldCharType="separate"/>
    </w:r>
    <w:r w:rsidRPr="002622F6">
      <w:rPr>
        <w:rFonts w:ascii="Book Antiqua" w:hAnsi="Book Antiqua"/>
        <w:noProof/>
        <w:sz w:val="26"/>
        <w:szCs w:val="26"/>
      </w:rPr>
      <w:t>1</w:t>
    </w:r>
    <w:r w:rsidRPr="002622F6">
      <w:rPr>
        <w:rFonts w:ascii="Book Antiqua" w:hAnsi="Book Antiqua"/>
        <w:noProof/>
        <w:sz w:val="26"/>
        <w:szCs w:val="26"/>
      </w:rPr>
      <w:fldChar w:fldCharType="end"/>
    </w:r>
    <w:r>
      <w:rPr>
        <w:rFonts w:ascii="Book Antiqua" w:hAnsi="Book Antiqua"/>
        <w:noProof/>
        <w:sz w:val="26"/>
        <w:szCs w:val="2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0B4E" w14:textId="77777777" w:rsidR="002622F6" w:rsidRPr="002622F6" w:rsidRDefault="002622F6" w:rsidP="002622F6">
    <w:pPr>
      <w:pStyle w:val="Footer"/>
      <w:jc w:val="center"/>
      <w:rPr>
        <w:rFonts w:ascii="Book Antiqua" w:hAnsi="Book Antiqua"/>
        <w:sz w:val="26"/>
        <w:szCs w:val="26"/>
      </w:rPr>
    </w:pPr>
    <w:r>
      <w:rPr>
        <w:rFonts w:ascii="Book Antiqua" w:hAnsi="Book Antiqua"/>
        <w:sz w:val="26"/>
        <w:szCs w:val="26"/>
      </w:rPr>
      <w:t xml:space="preserve">- </w:t>
    </w:r>
    <w:r w:rsidRPr="002622F6">
      <w:rPr>
        <w:rFonts w:ascii="Book Antiqua" w:hAnsi="Book Antiqua"/>
        <w:sz w:val="26"/>
        <w:szCs w:val="26"/>
      </w:rPr>
      <w:fldChar w:fldCharType="begin"/>
    </w:r>
    <w:r w:rsidRPr="002622F6">
      <w:rPr>
        <w:rFonts w:ascii="Book Antiqua" w:hAnsi="Book Antiqua"/>
        <w:sz w:val="26"/>
        <w:szCs w:val="26"/>
      </w:rPr>
      <w:instrText xml:space="preserve"> PAGE   \* MERGEFORMAT </w:instrText>
    </w:r>
    <w:r w:rsidRPr="002622F6">
      <w:rPr>
        <w:rFonts w:ascii="Book Antiqua" w:hAnsi="Book Antiqua"/>
        <w:sz w:val="26"/>
        <w:szCs w:val="26"/>
      </w:rPr>
      <w:fldChar w:fldCharType="separate"/>
    </w:r>
    <w:r w:rsidRPr="002622F6">
      <w:rPr>
        <w:rFonts w:ascii="Book Antiqua" w:hAnsi="Book Antiqua"/>
        <w:noProof/>
        <w:sz w:val="26"/>
        <w:szCs w:val="26"/>
      </w:rPr>
      <w:t>1</w:t>
    </w:r>
    <w:r w:rsidRPr="002622F6">
      <w:rPr>
        <w:rFonts w:ascii="Book Antiqua" w:hAnsi="Book Antiqua"/>
        <w:noProof/>
        <w:sz w:val="26"/>
        <w:szCs w:val="26"/>
      </w:rPr>
      <w:fldChar w:fldCharType="end"/>
    </w:r>
    <w:r>
      <w:rPr>
        <w:rFonts w:ascii="Book Antiqua" w:hAnsi="Book Antiqua"/>
        <w:noProof/>
        <w:sz w:val="26"/>
        <w:szCs w:val="2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7FAE" w14:textId="1A6FC82F" w:rsidR="00EE4315" w:rsidRPr="00743A8E" w:rsidRDefault="00A1129D" w:rsidP="00A1129D">
    <w:pPr>
      <w:pStyle w:val="Footer"/>
      <w:jc w:val="center"/>
    </w:pPr>
    <w:r>
      <w:t>- B</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04A1" w14:textId="77777777" w:rsidR="0036579F" w:rsidRDefault="0036579F" w:rsidP="00DF58E7">
      <w:r>
        <w:separator/>
      </w:r>
    </w:p>
  </w:footnote>
  <w:footnote w:type="continuationSeparator" w:id="0">
    <w:p w14:paraId="7D269C60" w14:textId="77777777" w:rsidR="0036579F" w:rsidRDefault="0036579F" w:rsidP="00DF58E7">
      <w:r>
        <w:continuationSeparator/>
      </w:r>
    </w:p>
  </w:footnote>
  <w:footnote w:type="continuationNotice" w:id="1">
    <w:p w14:paraId="2A3A6628" w14:textId="77777777" w:rsidR="0036579F" w:rsidRPr="00DF58E7" w:rsidRDefault="0036579F" w:rsidP="00DF58E7">
      <w:pPr>
        <w:jc w:val="right"/>
        <w:rPr>
          <w:i/>
          <w:sz w:val="22"/>
        </w:rPr>
      </w:pPr>
    </w:p>
  </w:footnote>
  <w:footnote w:id="2">
    <w:p w14:paraId="4FC341E6" w14:textId="4F8A1562" w:rsidR="008B13EC" w:rsidRPr="00472730" w:rsidRDefault="008B13EC">
      <w:pPr>
        <w:pStyle w:val="FootnoteText"/>
        <w:rPr>
          <w:rFonts w:ascii="Book Antiqua" w:hAnsi="Book Antiqua"/>
        </w:rPr>
      </w:pPr>
      <w:r w:rsidRPr="00472730">
        <w:rPr>
          <w:rStyle w:val="FootnoteReference"/>
          <w:rFonts w:ascii="Book Antiqua" w:hAnsi="Book Antiqua"/>
        </w:rPr>
        <w:footnoteRef/>
      </w:r>
      <w:r w:rsidRPr="00472730">
        <w:rPr>
          <w:rFonts w:ascii="Book Antiqua" w:hAnsi="Book Antiqua"/>
        </w:rPr>
        <w:t xml:space="preserve"> For simplicity, this decision </w:t>
      </w:r>
      <w:r w:rsidR="00A3659D" w:rsidRPr="00472730">
        <w:rPr>
          <w:rFonts w:ascii="Book Antiqua" w:hAnsi="Book Antiqua"/>
        </w:rPr>
        <w:t xml:space="preserve">frequently </w:t>
      </w:r>
      <w:r w:rsidRPr="00472730">
        <w:rPr>
          <w:rFonts w:ascii="Book Antiqua" w:hAnsi="Book Antiqua"/>
        </w:rPr>
        <w:t xml:space="preserve">shortens the phrase “telephone corporations </w:t>
      </w:r>
      <w:r w:rsidR="00A3659D" w:rsidRPr="00472730">
        <w:rPr>
          <w:rFonts w:ascii="Book Antiqua" w:hAnsi="Book Antiqua"/>
        </w:rPr>
        <w:t xml:space="preserve">providing IPCS” to “IPCS providers,” but the phrases have identical meanings. </w:t>
      </w:r>
    </w:p>
  </w:footnote>
  <w:footnote w:id="3">
    <w:p w14:paraId="314B6316" w14:textId="69B0C96D" w:rsidR="0002226A" w:rsidRPr="0002226A" w:rsidRDefault="0002226A">
      <w:pPr>
        <w:pStyle w:val="FootnoteText"/>
        <w:rPr>
          <w:rFonts w:ascii="Book Antiqua" w:hAnsi="Book Antiqua"/>
        </w:rPr>
      </w:pPr>
      <w:r w:rsidRPr="0002226A">
        <w:rPr>
          <w:rStyle w:val="FootnoteReference"/>
          <w:rFonts w:ascii="Book Antiqua" w:hAnsi="Book Antiqua"/>
        </w:rPr>
        <w:footnoteRef/>
      </w:r>
      <w:r w:rsidRPr="0002226A">
        <w:rPr>
          <w:rFonts w:ascii="Book Antiqua" w:hAnsi="Book Antiqua"/>
        </w:rPr>
        <w:t xml:space="preserve"> We use the term “incarcerated persons” throughout this decision in place of the term “inmates</w:t>
      </w:r>
      <w:r w:rsidR="005546BF">
        <w:rPr>
          <w:rFonts w:ascii="Book Antiqua" w:hAnsi="Book Antiqua"/>
        </w:rPr>
        <w:t>,</w:t>
      </w:r>
      <w:r w:rsidRPr="0002226A">
        <w:rPr>
          <w:rFonts w:ascii="Book Antiqua" w:hAnsi="Book Antiqua"/>
        </w:rPr>
        <w:t xml:space="preserve">” </w:t>
      </w:r>
      <w:r w:rsidR="00911348">
        <w:rPr>
          <w:rFonts w:ascii="Book Antiqua" w:hAnsi="Book Antiqua"/>
        </w:rPr>
        <w:t xml:space="preserve">used in the </w:t>
      </w:r>
      <w:r w:rsidR="00015B4C">
        <w:rPr>
          <w:rFonts w:ascii="Book Antiqua" w:hAnsi="Book Antiqua"/>
        </w:rPr>
        <w:t>OIR</w:t>
      </w:r>
      <w:r w:rsidR="00911348">
        <w:rPr>
          <w:rFonts w:ascii="Book Antiqua" w:hAnsi="Book Antiqua"/>
        </w:rPr>
        <w:t>.</w:t>
      </w:r>
    </w:p>
  </w:footnote>
  <w:footnote w:id="4">
    <w:p w14:paraId="7D2CB4FA" w14:textId="5D7437B9" w:rsidR="00781460" w:rsidRPr="00FD1D89" w:rsidRDefault="00781460">
      <w:pPr>
        <w:pStyle w:val="FootnoteText"/>
        <w:rPr>
          <w:rFonts w:ascii="Book Antiqua" w:hAnsi="Book Antiqua"/>
        </w:rPr>
      </w:pPr>
      <w:r>
        <w:rPr>
          <w:rStyle w:val="FootnoteReference"/>
        </w:rPr>
        <w:footnoteRef/>
      </w:r>
      <w:r>
        <w:t xml:space="preserve"> </w:t>
      </w:r>
      <w:r w:rsidRPr="00FD1D89">
        <w:rPr>
          <w:rFonts w:ascii="Book Antiqua" w:hAnsi="Book Antiqua"/>
        </w:rPr>
        <w:t>Root and Rebound, Comments on Order Instituting Rulemaking at 3, citing, Saneta deVuono-powell, Chris Schweidler, Alicia Walters, and Azadeh Zohrabi. “Who Pays? The True Cost of Incarceration on Families.” Ella Baker Center for Human Rights, Forward Together, and Research Action Design. September 2015, available</w:t>
      </w:r>
      <w:r w:rsidR="00677FBA" w:rsidRPr="00FD1D89">
        <w:rPr>
          <w:rFonts w:ascii="Book Antiqua" w:hAnsi="Book Antiqua"/>
        </w:rPr>
        <w:t xml:space="preserve"> as of this writing</w:t>
      </w:r>
      <w:r w:rsidRPr="00FD1D89">
        <w:rPr>
          <w:rFonts w:ascii="Book Antiqua" w:hAnsi="Book Antiqua"/>
        </w:rPr>
        <w:t xml:space="preserve"> at: </w:t>
      </w:r>
      <w:hyperlink r:id="rId1" w:history="1">
        <w:r w:rsidRPr="00FD1D89">
          <w:rPr>
            <w:rStyle w:val="Hyperlink"/>
            <w:rFonts w:ascii="Book Antiqua" w:hAnsi="Book Antiqua"/>
          </w:rPr>
          <w:t>http://www.whopaysreport.org/who-paysfull-report/</w:t>
        </w:r>
      </w:hyperlink>
      <w:r w:rsidRPr="00FD1D89">
        <w:rPr>
          <w:rFonts w:ascii="Book Antiqua" w:hAnsi="Book Antiqua"/>
        </w:rPr>
        <w:t xml:space="preserve">. </w:t>
      </w:r>
    </w:p>
  </w:footnote>
  <w:footnote w:id="5">
    <w:p w14:paraId="40C27729" w14:textId="16F36C9A" w:rsidR="00775255" w:rsidRPr="00FD1D89" w:rsidRDefault="00775255">
      <w:pPr>
        <w:pStyle w:val="FootnoteText"/>
        <w:rPr>
          <w:rFonts w:ascii="Book Antiqua" w:hAnsi="Book Antiqua"/>
        </w:rPr>
      </w:pPr>
      <w:r w:rsidRPr="00FD1D89">
        <w:rPr>
          <w:rStyle w:val="FootnoteReference"/>
          <w:rFonts w:ascii="Book Antiqua" w:hAnsi="Book Antiqua"/>
        </w:rPr>
        <w:footnoteRef/>
      </w:r>
      <w:r w:rsidRPr="00FD1D89">
        <w:rPr>
          <w:rFonts w:ascii="Book Antiqua" w:hAnsi="Book Antiqua"/>
        </w:rPr>
        <w:t xml:space="preserve"> </w:t>
      </w:r>
      <w:r w:rsidR="00EC1C57" w:rsidRPr="00FD1D89">
        <w:rPr>
          <w:rFonts w:ascii="Book Antiqua" w:hAnsi="Book Antiqua"/>
          <w:i/>
          <w:iCs/>
        </w:rPr>
        <w:t>Ibid;</w:t>
      </w:r>
      <w:r w:rsidR="00EC1C57" w:rsidRPr="00FD1D89">
        <w:rPr>
          <w:rFonts w:ascii="Book Antiqua" w:hAnsi="Book Antiqua"/>
        </w:rPr>
        <w:t xml:space="preserve"> </w:t>
      </w:r>
      <w:r w:rsidR="0027226B" w:rsidRPr="00FD1D89">
        <w:rPr>
          <w:rFonts w:ascii="Book Antiqua" w:hAnsi="Book Antiqua"/>
        </w:rPr>
        <w:t xml:space="preserve">WC Docket No. 12-375, </w:t>
      </w:r>
      <w:r w:rsidR="008C7845" w:rsidRPr="00FD1D89">
        <w:rPr>
          <w:rFonts w:ascii="Book Antiqua" w:hAnsi="Book Antiqua"/>
          <w:i/>
          <w:iCs/>
        </w:rPr>
        <w:t>Third Report and Order, Order on Reconsideration, and Fifth Further Notice of Proposed Rulemaking</w:t>
      </w:r>
      <w:r w:rsidR="008C7845" w:rsidRPr="00FD1D89">
        <w:rPr>
          <w:rFonts w:ascii="Book Antiqua" w:hAnsi="Book Antiqua"/>
        </w:rPr>
        <w:t xml:space="preserve"> (</w:t>
      </w:r>
      <w:r w:rsidR="007753A6" w:rsidRPr="00FD1D89">
        <w:rPr>
          <w:rFonts w:ascii="Book Antiqua" w:hAnsi="Book Antiqua"/>
        </w:rPr>
        <w:t xml:space="preserve">FCC </w:t>
      </w:r>
      <w:r w:rsidR="002F2D93" w:rsidRPr="00FD1D89">
        <w:rPr>
          <w:rFonts w:ascii="Book Antiqua" w:hAnsi="Book Antiqua"/>
        </w:rPr>
        <w:t>Third</w:t>
      </w:r>
      <w:r w:rsidR="007B63C8" w:rsidRPr="00FD1D89">
        <w:rPr>
          <w:rFonts w:ascii="Book Antiqua" w:hAnsi="Book Antiqua"/>
        </w:rPr>
        <w:t xml:space="preserve"> </w:t>
      </w:r>
      <w:r w:rsidR="008C7845" w:rsidRPr="00FD1D89">
        <w:rPr>
          <w:rFonts w:ascii="Book Antiqua" w:hAnsi="Book Antiqua"/>
        </w:rPr>
        <w:t>Order)</w:t>
      </w:r>
      <w:r w:rsidR="00B7728B" w:rsidRPr="00FD1D89">
        <w:rPr>
          <w:rFonts w:ascii="Book Antiqua" w:hAnsi="Book Antiqua"/>
        </w:rPr>
        <w:t xml:space="preserve"> at </w:t>
      </w:r>
      <w:r w:rsidR="008C7845" w:rsidRPr="00FD1D89">
        <w:rPr>
          <w:rFonts w:ascii="Book Antiqua" w:hAnsi="Book Antiqua"/>
        </w:rPr>
        <w:t>¶</w:t>
      </w:r>
      <w:r w:rsidR="00B7728B" w:rsidRPr="00FD1D89">
        <w:rPr>
          <w:rFonts w:ascii="Book Antiqua" w:hAnsi="Book Antiqua"/>
        </w:rPr>
        <w:t>¶</w:t>
      </w:r>
      <w:r w:rsidR="008C7845" w:rsidRPr="00FD1D89">
        <w:rPr>
          <w:rFonts w:ascii="Book Antiqua" w:hAnsi="Book Antiqua"/>
        </w:rPr>
        <w:t xml:space="preserve"> 35</w:t>
      </w:r>
      <w:r w:rsidR="00B7728B" w:rsidRPr="00FD1D89">
        <w:rPr>
          <w:rFonts w:ascii="Book Antiqua" w:hAnsi="Book Antiqua"/>
        </w:rPr>
        <w:t xml:space="preserve"> -36</w:t>
      </w:r>
      <w:r w:rsidR="0027226B" w:rsidRPr="00FD1D89">
        <w:rPr>
          <w:rFonts w:ascii="Book Antiqua" w:hAnsi="Book Antiqua"/>
        </w:rPr>
        <w:t>.</w:t>
      </w:r>
      <w:r w:rsidR="008C7845" w:rsidRPr="00FD1D89">
        <w:rPr>
          <w:rFonts w:ascii="Book Antiqua" w:hAnsi="Book Antiqua"/>
        </w:rPr>
        <w:t xml:space="preserve"> </w:t>
      </w:r>
    </w:p>
  </w:footnote>
  <w:footnote w:id="6">
    <w:p w14:paraId="48A8C355" w14:textId="79198FBE" w:rsidR="00235E50" w:rsidRPr="00FD1D89" w:rsidRDefault="00235E50">
      <w:pPr>
        <w:pStyle w:val="FootnoteText"/>
        <w:rPr>
          <w:rFonts w:ascii="Book Antiqua" w:hAnsi="Book Antiqua"/>
        </w:rPr>
      </w:pPr>
      <w:r w:rsidRPr="00FD1D89">
        <w:rPr>
          <w:rStyle w:val="FootnoteReference"/>
          <w:rFonts w:ascii="Book Antiqua" w:hAnsi="Book Antiqua"/>
        </w:rPr>
        <w:footnoteRef/>
      </w:r>
      <w:r w:rsidRPr="00FD1D89">
        <w:rPr>
          <w:rFonts w:ascii="Book Antiqua" w:hAnsi="Book Antiqua"/>
        </w:rPr>
        <w:t xml:space="preserve"> Root and Rebound, Comments on Order Instituting Rulemaking at 4, citing </w:t>
      </w:r>
      <w:r w:rsidR="00DB3143" w:rsidRPr="00FD1D89">
        <w:rPr>
          <w:rFonts w:ascii="Book Antiqua" w:hAnsi="Book Antiqua"/>
        </w:rPr>
        <w:t xml:space="preserve">Bernadette Rabuy and Daniel Kopf. “Prisons of Poverty: Uncovering the pre-incarceration incomes of the imprisoned” Prison Policy Initiative. July 2015, available </w:t>
      </w:r>
      <w:r w:rsidR="00677FBA" w:rsidRPr="00FD1D89">
        <w:rPr>
          <w:rFonts w:ascii="Book Antiqua" w:hAnsi="Book Antiqua"/>
        </w:rPr>
        <w:t xml:space="preserve">as of this writing </w:t>
      </w:r>
      <w:r w:rsidR="00DB3143" w:rsidRPr="00FD1D89">
        <w:rPr>
          <w:rFonts w:ascii="Book Antiqua" w:hAnsi="Book Antiqua"/>
        </w:rPr>
        <w:t xml:space="preserve">at </w:t>
      </w:r>
      <w:hyperlink r:id="rId2" w:history="1">
        <w:r w:rsidR="00DB3143" w:rsidRPr="00FD1D89">
          <w:rPr>
            <w:rStyle w:val="Hyperlink"/>
            <w:rFonts w:ascii="Book Antiqua" w:hAnsi="Book Antiqua"/>
          </w:rPr>
          <w:t>https://www.prisonpolicy.org/reports/income.html</w:t>
        </w:r>
      </w:hyperlink>
      <w:r w:rsidR="00DB3143" w:rsidRPr="00FD1D89">
        <w:rPr>
          <w:rFonts w:ascii="Book Antiqua" w:hAnsi="Book Antiqua"/>
        </w:rPr>
        <w:t xml:space="preserve">.  </w:t>
      </w:r>
    </w:p>
  </w:footnote>
  <w:footnote w:id="7">
    <w:p w14:paraId="3E6E7005" w14:textId="70C885FC" w:rsidR="00DC4258" w:rsidRPr="00FD1D89" w:rsidRDefault="00DC4258">
      <w:pPr>
        <w:pStyle w:val="FootnoteText"/>
        <w:rPr>
          <w:rFonts w:ascii="Book Antiqua" w:hAnsi="Book Antiqua"/>
        </w:rPr>
      </w:pPr>
      <w:r w:rsidRPr="00FD1D89">
        <w:rPr>
          <w:rStyle w:val="FootnoteReference"/>
          <w:rFonts w:ascii="Book Antiqua" w:hAnsi="Book Antiqua"/>
        </w:rPr>
        <w:footnoteRef/>
      </w:r>
      <w:r w:rsidRPr="00FD1D89">
        <w:rPr>
          <w:rFonts w:ascii="Book Antiqua" w:hAnsi="Book Antiqua"/>
        </w:rPr>
        <w:t xml:space="preserve"> </w:t>
      </w:r>
      <w:r w:rsidR="00E46EDA" w:rsidRPr="00FD1D89">
        <w:rPr>
          <w:rFonts w:ascii="Book Antiqua" w:hAnsi="Book Antiqua"/>
        </w:rPr>
        <w:t>Public Advocates</w:t>
      </w:r>
      <w:r w:rsidR="00432FA0" w:rsidRPr="00FD1D89">
        <w:rPr>
          <w:rFonts w:ascii="Book Antiqua" w:hAnsi="Book Antiqua"/>
        </w:rPr>
        <w:t xml:space="preserve"> Office (Cal Advocates)</w:t>
      </w:r>
      <w:r w:rsidR="00E46EDA" w:rsidRPr="00FD1D89">
        <w:rPr>
          <w:rFonts w:ascii="Book Antiqua" w:hAnsi="Book Antiqua"/>
        </w:rPr>
        <w:t xml:space="preserve">, Comments on Order Instituting Rulemaking at 2. </w:t>
      </w:r>
    </w:p>
  </w:footnote>
  <w:footnote w:id="8">
    <w:p w14:paraId="6B09D15A" w14:textId="2212FA49" w:rsidR="00DC4258" w:rsidRPr="00FD1D89" w:rsidRDefault="00DC4258">
      <w:pPr>
        <w:pStyle w:val="FootnoteText"/>
        <w:rPr>
          <w:rFonts w:ascii="Book Antiqua" w:hAnsi="Book Antiqua"/>
        </w:rPr>
      </w:pPr>
      <w:r w:rsidRPr="00FD1D89">
        <w:rPr>
          <w:rStyle w:val="FootnoteReference"/>
          <w:rFonts w:ascii="Book Antiqua" w:hAnsi="Book Antiqua"/>
        </w:rPr>
        <w:footnoteRef/>
      </w:r>
      <w:r w:rsidRPr="00FD1D89">
        <w:rPr>
          <w:rFonts w:ascii="Book Antiqua" w:hAnsi="Book Antiqua"/>
        </w:rPr>
        <w:t xml:space="preserve"> </w:t>
      </w:r>
      <w:r w:rsidR="00C30BF1" w:rsidRPr="00FD1D89">
        <w:rPr>
          <w:rFonts w:ascii="Book Antiqua" w:hAnsi="Book Antiqua"/>
          <w:i/>
          <w:iCs/>
        </w:rPr>
        <w:t>Ibid.</w:t>
      </w:r>
    </w:p>
  </w:footnote>
  <w:footnote w:id="9">
    <w:p w14:paraId="16BF4D19" w14:textId="0F7A4ABD" w:rsidR="00CB1E3D" w:rsidRDefault="00CB1E3D">
      <w:pPr>
        <w:pStyle w:val="FootnoteText"/>
      </w:pPr>
      <w:r w:rsidRPr="00FD1D89">
        <w:rPr>
          <w:rStyle w:val="FootnoteReference"/>
          <w:rFonts w:ascii="Book Antiqua" w:hAnsi="Book Antiqua"/>
        </w:rPr>
        <w:footnoteRef/>
      </w:r>
      <w:r w:rsidRPr="00FD1D89">
        <w:rPr>
          <w:rFonts w:ascii="Book Antiqua" w:hAnsi="Book Antiqua"/>
        </w:rPr>
        <w:t xml:space="preserve"> The 172,</w:t>
      </w:r>
      <w:r w:rsidR="00B23260" w:rsidRPr="00FD1D89">
        <w:rPr>
          <w:rFonts w:ascii="Book Antiqua" w:hAnsi="Book Antiqua"/>
        </w:rPr>
        <w:t xml:space="preserve">543 figure is based on </w:t>
      </w:r>
      <w:r w:rsidR="000E2947">
        <w:rPr>
          <w:rFonts w:ascii="Book Antiqua" w:hAnsi="Book Antiqua"/>
        </w:rPr>
        <w:t xml:space="preserve">a </w:t>
      </w:r>
      <w:r w:rsidR="00B23260" w:rsidRPr="00FD1D89">
        <w:rPr>
          <w:rFonts w:ascii="Book Antiqua" w:hAnsi="Book Antiqua"/>
        </w:rPr>
        <w:t>Commission Staff data request</w:t>
      </w:r>
      <w:r w:rsidR="00021A77" w:rsidRPr="00FD1D89">
        <w:rPr>
          <w:rFonts w:ascii="Book Antiqua" w:hAnsi="Book Antiqua"/>
        </w:rPr>
        <w:t xml:space="preserve"> to IPCS providers (December</w:t>
      </w:r>
      <w:r w:rsidR="00FD1D89">
        <w:rPr>
          <w:rFonts w:ascii="Book Antiqua" w:hAnsi="Book Antiqua"/>
        </w:rPr>
        <w:t> </w:t>
      </w:r>
      <w:r w:rsidR="00021A77" w:rsidRPr="00FD1D89">
        <w:rPr>
          <w:rFonts w:ascii="Book Antiqua" w:hAnsi="Book Antiqua"/>
        </w:rPr>
        <w:t xml:space="preserve">2020).  </w:t>
      </w:r>
      <w:r w:rsidR="00024394" w:rsidRPr="00FD1D89">
        <w:rPr>
          <w:rFonts w:ascii="Book Antiqua" w:hAnsi="Book Antiqua"/>
        </w:rPr>
        <w:t xml:space="preserve">Adjusting this figure </w:t>
      </w:r>
      <w:r w:rsidR="00B52091" w:rsidRPr="00FD1D89">
        <w:rPr>
          <w:rFonts w:ascii="Book Antiqua" w:hAnsi="Book Antiqua"/>
        </w:rPr>
        <w:t xml:space="preserve">based on information posed online by incarceration facilities results in an adjusted figure of approximately 183,011 incarcerated persons in California, as of May 2021.  </w:t>
      </w:r>
      <w:r w:rsidR="00900750" w:rsidRPr="00FD1D89">
        <w:rPr>
          <w:rFonts w:ascii="Book Antiqua" w:hAnsi="Book Antiqua"/>
        </w:rPr>
        <w:t>The number of incarceration facilities currently operat</w:t>
      </w:r>
      <w:r w:rsidR="0086248E" w:rsidRPr="00FD1D89">
        <w:rPr>
          <w:rFonts w:ascii="Book Antiqua" w:hAnsi="Book Antiqua"/>
        </w:rPr>
        <w:t xml:space="preserve">ed also </w:t>
      </w:r>
      <w:r w:rsidR="0089239C" w:rsidRPr="00FD1D89">
        <w:rPr>
          <w:rFonts w:ascii="Book Antiqua" w:hAnsi="Book Antiqua"/>
        </w:rPr>
        <w:t>flux</w:t>
      </w:r>
      <w:r w:rsidR="006E31E2" w:rsidRPr="00FD1D89">
        <w:rPr>
          <w:rFonts w:ascii="Book Antiqua" w:hAnsi="Book Antiqua"/>
        </w:rPr>
        <w:t>uate</w:t>
      </w:r>
      <w:r w:rsidR="0089239C" w:rsidRPr="00FD1D89">
        <w:rPr>
          <w:rFonts w:ascii="Book Antiqua" w:hAnsi="Book Antiqua"/>
        </w:rPr>
        <w:t>s</w:t>
      </w:r>
      <w:r w:rsidR="0086248E" w:rsidRPr="00FD1D89">
        <w:rPr>
          <w:rFonts w:ascii="Book Antiqua" w:hAnsi="Book Antiqua"/>
        </w:rPr>
        <w:t xml:space="preserve">, as facilities open and close. </w:t>
      </w:r>
      <w:r w:rsidR="00B52091" w:rsidRPr="00FD1D89">
        <w:rPr>
          <w:rFonts w:ascii="Book Antiqua" w:hAnsi="Book Antiqua"/>
        </w:rPr>
        <w:t xml:space="preserve">For simplicity, this decision uses the 172,543 </w:t>
      </w:r>
      <w:r w:rsidR="006E31E2" w:rsidRPr="00FD1D89">
        <w:rPr>
          <w:rFonts w:ascii="Book Antiqua" w:hAnsi="Book Antiqua"/>
        </w:rPr>
        <w:t xml:space="preserve">average daily population </w:t>
      </w:r>
      <w:r w:rsidR="00B52091" w:rsidRPr="00FD1D89">
        <w:rPr>
          <w:rFonts w:ascii="Book Antiqua" w:hAnsi="Book Antiqua"/>
        </w:rPr>
        <w:t>throughout</w:t>
      </w:r>
      <w:r w:rsidR="00B52091">
        <w:t xml:space="preserve">. </w:t>
      </w:r>
    </w:p>
  </w:footnote>
  <w:footnote w:id="10">
    <w:p w14:paraId="44C9F705" w14:textId="6191DB2C" w:rsidR="006F758A" w:rsidRPr="0015795A" w:rsidRDefault="006F758A" w:rsidP="006F758A">
      <w:pPr>
        <w:pStyle w:val="FootnoteText"/>
        <w:rPr>
          <w:rFonts w:ascii="Book Antiqua" w:hAnsi="Book Antiqua"/>
        </w:rPr>
      </w:pPr>
      <w:r>
        <w:rPr>
          <w:rStyle w:val="FootnoteReference"/>
        </w:rPr>
        <w:footnoteRef/>
      </w:r>
      <w:r>
        <w:t xml:space="preserve"> </w:t>
      </w:r>
      <w:r w:rsidR="000E2947">
        <w:t xml:space="preserve">The </w:t>
      </w:r>
      <w:r w:rsidRPr="0015795A">
        <w:rPr>
          <w:rFonts w:ascii="Book Antiqua" w:hAnsi="Book Antiqua"/>
        </w:rPr>
        <w:t>Staff</w:t>
      </w:r>
      <w:r w:rsidR="000E2947">
        <w:rPr>
          <w:rFonts w:ascii="Book Antiqua" w:hAnsi="Book Antiqua"/>
        </w:rPr>
        <w:t xml:space="preserve"> </w:t>
      </w:r>
      <w:r w:rsidRPr="0015795A">
        <w:rPr>
          <w:rFonts w:ascii="Book Antiqua" w:hAnsi="Book Antiqua"/>
        </w:rPr>
        <w:t>December 2020 data request instructed IPCS providers to identify the governing authority for each facility as state, local, or federal.  The governing authority is the entity responsible for the operation of the incarcerated in the facility.</w:t>
      </w:r>
    </w:p>
  </w:footnote>
  <w:footnote w:id="11">
    <w:p w14:paraId="776F5806" w14:textId="7365FA82" w:rsidR="005F1504" w:rsidRPr="0015795A" w:rsidRDefault="005F1504">
      <w:pPr>
        <w:pStyle w:val="FootnoteText"/>
        <w:rPr>
          <w:rFonts w:ascii="Book Antiqua" w:hAnsi="Book Antiqua"/>
        </w:rPr>
      </w:pPr>
      <w:r w:rsidRPr="0015795A">
        <w:rPr>
          <w:rStyle w:val="FootnoteReference"/>
          <w:rFonts w:ascii="Book Antiqua" w:hAnsi="Book Antiqua"/>
        </w:rPr>
        <w:footnoteRef/>
      </w:r>
      <w:r w:rsidRPr="0015795A">
        <w:rPr>
          <w:rFonts w:ascii="Book Antiqua" w:hAnsi="Book Antiqua"/>
        </w:rPr>
        <w:t xml:space="preserve"> Average Daily Population for some federal facilities were obtained from </w:t>
      </w:r>
      <w:r w:rsidR="00F773FF" w:rsidRPr="0015795A">
        <w:rPr>
          <w:rFonts w:ascii="Book Antiqua" w:hAnsi="Book Antiqua"/>
        </w:rPr>
        <w:t xml:space="preserve">the Federal Bureau of Prisons, accessed June 24, </w:t>
      </w:r>
      <w:r w:rsidR="0015795A" w:rsidRPr="0015795A">
        <w:rPr>
          <w:rFonts w:ascii="Book Antiqua" w:hAnsi="Book Antiqua"/>
        </w:rPr>
        <w:t>2021,</w:t>
      </w:r>
      <w:r w:rsidR="00F773FF" w:rsidRPr="0015795A">
        <w:rPr>
          <w:rFonts w:ascii="Book Antiqua" w:hAnsi="Book Antiqua"/>
        </w:rPr>
        <w:t xml:space="preserve"> at </w:t>
      </w:r>
      <w:hyperlink r:id="rId3" w:history="1">
        <w:r w:rsidR="00F773FF" w:rsidRPr="0015795A">
          <w:rPr>
            <w:rStyle w:val="Hyperlink"/>
            <w:rFonts w:ascii="Book Antiqua" w:hAnsi="Book Antiqua"/>
          </w:rPr>
          <w:t>https://www.bop.gov/</w:t>
        </w:r>
      </w:hyperlink>
      <w:r w:rsidR="00F773FF" w:rsidRPr="0015795A">
        <w:rPr>
          <w:rFonts w:ascii="Book Antiqua" w:hAnsi="Book Antiqua"/>
        </w:rPr>
        <w:t xml:space="preserve">.  </w:t>
      </w:r>
    </w:p>
  </w:footnote>
  <w:footnote w:id="12">
    <w:p w14:paraId="448406D2" w14:textId="054D1846" w:rsidR="00DC4258" w:rsidRPr="0015795A" w:rsidRDefault="00DC4258">
      <w:pPr>
        <w:pStyle w:val="FootnoteText"/>
        <w:rPr>
          <w:rFonts w:ascii="Book Antiqua" w:hAnsi="Book Antiqua"/>
        </w:rPr>
      </w:pPr>
      <w:r w:rsidRPr="0015795A">
        <w:rPr>
          <w:rStyle w:val="FootnoteReference"/>
          <w:rFonts w:ascii="Book Antiqua" w:hAnsi="Book Antiqua"/>
        </w:rPr>
        <w:footnoteRef/>
      </w:r>
      <w:r w:rsidR="00A26790" w:rsidRPr="0015795A">
        <w:rPr>
          <w:rFonts w:ascii="Book Antiqua" w:hAnsi="Book Antiqua"/>
        </w:rPr>
        <w:t xml:space="preserve"> </w:t>
      </w:r>
      <w:r w:rsidRPr="0015795A">
        <w:rPr>
          <w:rFonts w:ascii="Book Antiqua" w:hAnsi="Book Antiqua"/>
        </w:rPr>
        <w:t xml:space="preserve"> </w:t>
      </w:r>
      <w:r w:rsidR="000E2947" w:rsidRPr="000E2947">
        <w:rPr>
          <w:rFonts w:ascii="Book Antiqua" w:hAnsi="Book Antiqua"/>
        </w:rPr>
        <w:t>Federal Bureau of Prisons locations</w:t>
      </w:r>
      <w:r w:rsidR="00A17177" w:rsidRPr="0015795A">
        <w:rPr>
          <w:rFonts w:ascii="Book Antiqua" w:hAnsi="Book Antiqua"/>
        </w:rPr>
        <w:t xml:space="preserve"> accessed December 28, 2020 at </w:t>
      </w:r>
      <w:hyperlink r:id="rId4" w:history="1">
        <w:r w:rsidR="00A17177" w:rsidRPr="0015795A">
          <w:rPr>
            <w:rStyle w:val="Hyperlink"/>
            <w:rFonts w:ascii="Book Antiqua" w:hAnsi="Book Antiqua"/>
          </w:rPr>
          <w:t>https://www.bop.gov/locations/list.jsp#</w:t>
        </w:r>
      </w:hyperlink>
      <w:r w:rsidR="00A17177" w:rsidRPr="0015795A">
        <w:rPr>
          <w:rFonts w:ascii="Book Antiqua" w:hAnsi="Book Antiqua"/>
        </w:rPr>
        <w:t xml:space="preserve">.  </w:t>
      </w:r>
      <w:r w:rsidR="0015795A">
        <w:rPr>
          <w:rFonts w:ascii="Book Antiqua" w:hAnsi="Book Antiqua"/>
        </w:rPr>
        <w:t>(</w:t>
      </w:r>
      <w:r w:rsidR="005C10F4" w:rsidRPr="0015795A">
        <w:rPr>
          <w:rFonts w:ascii="Book Antiqua" w:hAnsi="Book Antiqua"/>
          <w:i/>
          <w:iCs/>
        </w:rPr>
        <w:t>See</w:t>
      </w:r>
      <w:r w:rsidR="005C10F4" w:rsidRPr="0015795A">
        <w:rPr>
          <w:rFonts w:ascii="Book Antiqua" w:hAnsi="Book Antiqua"/>
        </w:rPr>
        <w:t xml:space="preserve"> Scoping Memo for list of facilities.</w:t>
      </w:r>
      <w:r w:rsidR="0015795A">
        <w:rPr>
          <w:rFonts w:ascii="Book Antiqua" w:hAnsi="Book Antiqua"/>
        </w:rPr>
        <w:t>)</w:t>
      </w:r>
      <w:r w:rsidR="005C10F4" w:rsidRPr="0015795A">
        <w:rPr>
          <w:rFonts w:ascii="Book Antiqua" w:hAnsi="Book Antiqua"/>
        </w:rPr>
        <w:t xml:space="preserve"> </w:t>
      </w:r>
    </w:p>
  </w:footnote>
  <w:footnote w:id="13">
    <w:p w14:paraId="652794D4" w14:textId="1789F0C6" w:rsidR="00D64F5A" w:rsidRPr="0015795A" w:rsidRDefault="00D64F5A">
      <w:pPr>
        <w:pStyle w:val="FootnoteText"/>
        <w:rPr>
          <w:rFonts w:ascii="Book Antiqua" w:hAnsi="Book Antiqua"/>
        </w:rPr>
      </w:pPr>
      <w:r w:rsidRPr="0015795A">
        <w:rPr>
          <w:rStyle w:val="FootnoteReference"/>
          <w:rFonts w:ascii="Book Antiqua" w:hAnsi="Book Antiqua"/>
        </w:rPr>
        <w:footnoteRef/>
      </w:r>
      <w:r w:rsidRPr="0015795A">
        <w:rPr>
          <w:rFonts w:ascii="Book Antiqua" w:hAnsi="Book Antiqua"/>
        </w:rPr>
        <w:t xml:space="preserve"> </w:t>
      </w:r>
      <w:r w:rsidR="009B096A" w:rsidRPr="0015795A">
        <w:rPr>
          <w:rFonts w:ascii="Book Antiqua" w:hAnsi="Book Antiqua"/>
        </w:rPr>
        <w:t xml:space="preserve">Cal </w:t>
      </w:r>
      <w:r w:rsidR="007969BA" w:rsidRPr="0015795A">
        <w:rPr>
          <w:rFonts w:ascii="Book Antiqua" w:hAnsi="Book Antiqua"/>
        </w:rPr>
        <w:t xml:space="preserve">Advocates, comments on Order Instituting Rulemaking at 3, citing California Department of Corrections and Rehabilitation “Facility Locator,” (accessed October 22, </w:t>
      </w:r>
      <w:r w:rsidR="0015795A" w:rsidRPr="0015795A">
        <w:rPr>
          <w:rFonts w:ascii="Book Antiqua" w:hAnsi="Book Antiqua"/>
        </w:rPr>
        <w:t>2020,</w:t>
      </w:r>
      <w:r w:rsidR="007969BA" w:rsidRPr="0015795A">
        <w:rPr>
          <w:rFonts w:ascii="Book Antiqua" w:hAnsi="Book Antiqua"/>
        </w:rPr>
        <w:t xml:space="preserve"> and December</w:t>
      </w:r>
      <w:r w:rsidR="0015795A">
        <w:rPr>
          <w:rFonts w:ascii="Book Antiqua" w:hAnsi="Book Antiqua"/>
        </w:rPr>
        <w:t> </w:t>
      </w:r>
      <w:r w:rsidR="007969BA" w:rsidRPr="0015795A">
        <w:rPr>
          <w:rFonts w:ascii="Book Antiqua" w:hAnsi="Book Antiqua"/>
        </w:rPr>
        <w:t xml:space="preserve">28, 2020). </w:t>
      </w:r>
      <w:r w:rsidR="0015795A">
        <w:rPr>
          <w:rFonts w:ascii="Book Antiqua" w:hAnsi="Book Antiqua"/>
        </w:rPr>
        <w:t xml:space="preserve"> </w:t>
      </w:r>
      <w:hyperlink r:id="rId5" w:history="1">
        <w:r w:rsidR="0015795A" w:rsidRPr="009C6AEB">
          <w:rPr>
            <w:rStyle w:val="Hyperlink"/>
            <w:rFonts w:ascii="Book Antiqua" w:hAnsi="Book Antiqua"/>
          </w:rPr>
          <w:t>https://www.cdcr.ca.gov/facility-locator/</w:t>
        </w:r>
      </w:hyperlink>
      <w:r w:rsidR="007969BA" w:rsidRPr="0015795A">
        <w:rPr>
          <w:rFonts w:ascii="Book Antiqua" w:hAnsi="Book Antiqua"/>
        </w:rPr>
        <w:t>.</w:t>
      </w:r>
      <w:r w:rsidR="0015795A">
        <w:rPr>
          <w:rFonts w:ascii="Book Antiqua" w:hAnsi="Book Antiqua"/>
        </w:rPr>
        <w:t xml:space="preserve"> </w:t>
      </w:r>
      <w:r w:rsidR="007969BA" w:rsidRPr="0015795A">
        <w:rPr>
          <w:rFonts w:ascii="Book Antiqua" w:hAnsi="Book Antiqua"/>
        </w:rPr>
        <w:t xml:space="preserve"> Conservation camps house incarcerated people who serve as a source of labor to support the state’s response to emergencies such as fires, floods, and other natural or manmade disasters. </w:t>
      </w:r>
    </w:p>
  </w:footnote>
  <w:footnote w:id="14">
    <w:p w14:paraId="61BFF42F" w14:textId="6BBA5C61" w:rsidR="00D64F5A" w:rsidRPr="00D351EE" w:rsidRDefault="00D64F5A">
      <w:pPr>
        <w:pStyle w:val="FootnoteText"/>
        <w:rPr>
          <w:rFonts w:ascii="Book Antiqua" w:hAnsi="Book Antiqua"/>
        </w:rPr>
      </w:pPr>
      <w:r w:rsidRPr="00D351EE">
        <w:rPr>
          <w:rStyle w:val="FootnoteReference"/>
          <w:rFonts w:ascii="Book Antiqua" w:hAnsi="Book Antiqua"/>
        </w:rPr>
        <w:footnoteRef/>
      </w:r>
      <w:r w:rsidRPr="00D351EE">
        <w:rPr>
          <w:rFonts w:ascii="Book Antiqua" w:hAnsi="Book Antiqua"/>
        </w:rPr>
        <w:t xml:space="preserve"> </w:t>
      </w:r>
      <w:r w:rsidR="00A70E4E" w:rsidRPr="0002226A">
        <w:rPr>
          <w:rFonts w:ascii="Book Antiqua" w:hAnsi="Book Antiqua"/>
        </w:rPr>
        <w:t xml:space="preserve">Cal Advocates, Comments on Staff Proposal at </w:t>
      </w:r>
      <w:r w:rsidR="00A70E4E">
        <w:rPr>
          <w:rFonts w:ascii="Book Antiqua" w:hAnsi="Book Antiqua"/>
        </w:rPr>
        <w:t>4</w:t>
      </w:r>
      <w:r w:rsidR="00146EC5">
        <w:rPr>
          <w:rFonts w:ascii="Book Antiqua" w:hAnsi="Book Antiqua"/>
        </w:rPr>
        <w:t xml:space="preserve">; </w:t>
      </w:r>
      <w:r w:rsidR="001F5F5A">
        <w:rPr>
          <w:rFonts w:ascii="Book Antiqua" w:hAnsi="Book Antiqua"/>
        </w:rPr>
        <w:t>(</w:t>
      </w:r>
      <w:r w:rsidR="00146EC5" w:rsidRPr="001F5F5A">
        <w:rPr>
          <w:rFonts w:ascii="Book Antiqua" w:hAnsi="Book Antiqua"/>
          <w:i/>
          <w:iCs/>
        </w:rPr>
        <w:t>See</w:t>
      </w:r>
      <w:r w:rsidR="00146EC5">
        <w:rPr>
          <w:rFonts w:ascii="Book Antiqua" w:hAnsi="Book Antiqua"/>
        </w:rPr>
        <w:t xml:space="preserve"> also CDCR Contract ID C5610009, available at: </w:t>
      </w:r>
      <w:r w:rsidR="001F5F5A">
        <w:rPr>
          <w:rFonts w:ascii="Book Antiqua" w:hAnsi="Book Antiqua"/>
        </w:rPr>
        <w:t xml:space="preserve"> </w:t>
      </w:r>
      <w:hyperlink r:id="rId6" w:history="1">
        <w:r w:rsidR="00146EC5">
          <w:rPr>
            <w:rStyle w:val="Hyperlink"/>
            <w:rFonts w:eastAsiaTheme="majorEastAsia"/>
          </w:rPr>
          <w:t>LPA Contract Details (ca.gov)</w:t>
        </w:r>
      </w:hyperlink>
      <w:r w:rsidR="00146EC5">
        <w:t>.</w:t>
      </w:r>
      <w:r w:rsidR="001F5F5A">
        <w:t>)</w:t>
      </w:r>
      <w:r w:rsidR="00146EC5">
        <w:t xml:space="preserve"> </w:t>
      </w:r>
    </w:p>
  </w:footnote>
  <w:footnote w:id="15">
    <w:p w14:paraId="7BD7F7D2" w14:textId="17C8337A" w:rsidR="001B2D50" w:rsidRPr="00D351EE" w:rsidRDefault="001B2D50">
      <w:pPr>
        <w:pStyle w:val="FootnoteText"/>
        <w:rPr>
          <w:rFonts w:ascii="Book Antiqua" w:hAnsi="Book Antiqua"/>
        </w:rPr>
      </w:pPr>
      <w:r w:rsidRPr="00D351EE">
        <w:rPr>
          <w:rStyle w:val="FootnoteReference"/>
          <w:rFonts w:ascii="Book Antiqua" w:hAnsi="Book Antiqua"/>
        </w:rPr>
        <w:footnoteRef/>
      </w:r>
      <w:r w:rsidRPr="00D351EE">
        <w:rPr>
          <w:rFonts w:ascii="Book Antiqua" w:hAnsi="Book Antiqua"/>
        </w:rPr>
        <w:t xml:space="preserve"> </w:t>
      </w:r>
      <w:r w:rsidR="005E15E4" w:rsidRPr="00D351EE">
        <w:rPr>
          <w:rFonts w:ascii="Book Antiqua" w:hAnsi="Book Antiqua"/>
        </w:rPr>
        <w:t>Public Policy Institute of California, “California County Jails:</w:t>
      </w:r>
      <w:r w:rsidR="008C10AC">
        <w:rPr>
          <w:rFonts w:ascii="Book Antiqua" w:hAnsi="Book Antiqua"/>
        </w:rPr>
        <w:t xml:space="preserve"> </w:t>
      </w:r>
      <w:r w:rsidR="005E15E4" w:rsidRPr="00D351EE">
        <w:rPr>
          <w:rFonts w:ascii="Book Antiqua" w:hAnsi="Book Antiqua"/>
        </w:rPr>
        <w:t xml:space="preserve"> Just the Facts,” October 2018, accessed December 28, </w:t>
      </w:r>
      <w:r w:rsidR="008C10AC" w:rsidRPr="00D351EE">
        <w:rPr>
          <w:rFonts w:ascii="Book Antiqua" w:hAnsi="Book Antiqua"/>
        </w:rPr>
        <w:t>2020,</w:t>
      </w:r>
      <w:r w:rsidR="005E15E4" w:rsidRPr="00D351EE">
        <w:rPr>
          <w:rFonts w:ascii="Book Antiqua" w:hAnsi="Book Antiqua"/>
        </w:rPr>
        <w:t xml:space="preserve"> at </w:t>
      </w:r>
      <w:hyperlink r:id="rId7" w:history="1">
        <w:r w:rsidR="005E15E4" w:rsidRPr="00D351EE">
          <w:rPr>
            <w:rStyle w:val="Hyperlink"/>
            <w:rFonts w:ascii="Book Antiqua" w:hAnsi="Book Antiqua"/>
          </w:rPr>
          <w:t>https://www.ppic.org/wpcontent/uploads/JTF_CountyJailsJTF.pdf</w:t>
        </w:r>
      </w:hyperlink>
      <w:r w:rsidR="005E15E4" w:rsidRPr="00D351EE">
        <w:rPr>
          <w:rFonts w:ascii="Book Antiqua" w:hAnsi="Book Antiqua"/>
        </w:rPr>
        <w:t xml:space="preserve">. </w:t>
      </w:r>
    </w:p>
  </w:footnote>
  <w:footnote w:id="16">
    <w:p w14:paraId="66836EF7" w14:textId="13F9C54C" w:rsidR="001B2D50" w:rsidRPr="00D351EE" w:rsidRDefault="001B2D50">
      <w:pPr>
        <w:pStyle w:val="FootnoteText"/>
        <w:rPr>
          <w:rFonts w:ascii="Book Antiqua" w:hAnsi="Book Antiqua"/>
        </w:rPr>
      </w:pPr>
      <w:r w:rsidRPr="00D351EE">
        <w:rPr>
          <w:rStyle w:val="FootnoteReference"/>
          <w:rFonts w:ascii="Book Antiqua" w:hAnsi="Book Antiqua"/>
        </w:rPr>
        <w:footnoteRef/>
      </w:r>
      <w:r w:rsidRPr="00D351EE">
        <w:rPr>
          <w:rFonts w:ascii="Book Antiqua" w:hAnsi="Book Antiqua"/>
        </w:rPr>
        <w:t xml:space="preserve"> </w:t>
      </w:r>
      <w:r w:rsidR="001938A5" w:rsidRPr="00D351EE">
        <w:rPr>
          <w:rFonts w:ascii="Book Antiqua" w:hAnsi="Book Antiqua"/>
        </w:rPr>
        <w:t>Board of State and Community Corrections, data and research, accessed December 28, 2020</w:t>
      </w:r>
      <w:r w:rsidR="00F03B88">
        <w:rPr>
          <w:rFonts w:ascii="Book Antiqua" w:hAnsi="Book Antiqua"/>
        </w:rPr>
        <w:t>,</w:t>
      </w:r>
      <w:r w:rsidR="001938A5" w:rsidRPr="00D351EE">
        <w:rPr>
          <w:rFonts w:ascii="Book Antiqua" w:hAnsi="Book Antiqua"/>
        </w:rPr>
        <w:t xml:space="preserve"> at </w:t>
      </w:r>
      <w:hyperlink r:id="rId8" w:history="1">
        <w:r w:rsidR="001938A5" w:rsidRPr="00D351EE">
          <w:rPr>
            <w:rStyle w:val="Hyperlink"/>
            <w:rFonts w:ascii="Book Antiqua" w:hAnsi="Book Antiqua"/>
          </w:rPr>
          <w:t>https://www.bscc.ca.gov/m_dataresearch/</w:t>
        </w:r>
      </w:hyperlink>
      <w:r w:rsidR="001938A5" w:rsidRPr="00D351EE">
        <w:rPr>
          <w:rFonts w:ascii="Book Antiqua" w:hAnsi="Book Antiqua"/>
        </w:rPr>
        <w:t xml:space="preserve">. </w:t>
      </w:r>
    </w:p>
  </w:footnote>
  <w:footnote w:id="17">
    <w:p w14:paraId="719725E6" w14:textId="60075D6F" w:rsidR="001B2D50" w:rsidRPr="00D351EE" w:rsidRDefault="001B2D50">
      <w:pPr>
        <w:pStyle w:val="FootnoteText"/>
        <w:rPr>
          <w:rFonts w:ascii="Book Antiqua" w:hAnsi="Book Antiqua"/>
        </w:rPr>
      </w:pPr>
      <w:r w:rsidRPr="00D351EE">
        <w:rPr>
          <w:rStyle w:val="FootnoteReference"/>
          <w:rFonts w:ascii="Book Antiqua" w:hAnsi="Book Antiqua"/>
        </w:rPr>
        <w:footnoteRef/>
      </w:r>
      <w:r w:rsidRPr="00D351EE">
        <w:rPr>
          <w:rFonts w:ascii="Book Antiqua" w:hAnsi="Book Antiqua"/>
        </w:rPr>
        <w:t xml:space="preserve"> </w:t>
      </w:r>
      <w:r w:rsidR="003D32CC" w:rsidRPr="00D351EE">
        <w:rPr>
          <w:rFonts w:ascii="Book Antiqua" w:hAnsi="Book Antiqua"/>
        </w:rPr>
        <w:t xml:space="preserve">Root and Rebound, Comments on </w:t>
      </w:r>
      <w:r w:rsidR="00F03B88">
        <w:rPr>
          <w:rFonts w:ascii="Book Antiqua" w:hAnsi="Book Antiqua"/>
        </w:rPr>
        <w:t xml:space="preserve">OIR </w:t>
      </w:r>
      <w:r w:rsidR="003D32CC" w:rsidRPr="00D351EE">
        <w:rPr>
          <w:rFonts w:ascii="Book Antiqua" w:hAnsi="Book Antiqua"/>
        </w:rPr>
        <w:t xml:space="preserve">at 6. </w:t>
      </w:r>
    </w:p>
  </w:footnote>
  <w:footnote w:id="18">
    <w:p w14:paraId="3E3055B6" w14:textId="15985ABF" w:rsidR="00941CA2" w:rsidRPr="00072C7D" w:rsidRDefault="00941CA2">
      <w:pPr>
        <w:pStyle w:val="FootnoteText"/>
        <w:rPr>
          <w:rFonts w:ascii="Book Antiqua" w:hAnsi="Book Antiqua"/>
        </w:rPr>
      </w:pPr>
      <w:r w:rsidRPr="00D351EE">
        <w:rPr>
          <w:rStyle w:val="FootnoteReference"/>
          <w:rFonts w:ascii="Book Antiqua" w:hAnsi="Book Antiqua"/>
        </w:rPr>
        <w:footnoteRef/>
      </w:r>
      <w:r w:rsidRPr="00D351EE">
        <w:rPr>
          <w:rFonts w:ascii="Book Antiqua" w:hAnsi="Book Antiqua"/>
        </w:rPr>
        <w:t xml:space="preserve"> </w:t>
      </w:r>
      <w:r w:rsidR="00AC4BB0" w:rsidRPr="00D351EE">
        <w:rPr>
          <w:rFonts w:ascii="Book Antiqua" w:hAnsi="Book Antiqua"/>
        </w:rPr>
        <w:t xml:space="preserve">Prison Policy Institute, Comments on </w:t>
      </w:r>
      <w:r w:rsidR="00F03B88">
        <w:rPr>
          <w:rFonts w:ascii="Book Antiqua" w:hAnsi="Book Antiqua"/>
        </w:rPr>
        <w:t>OIR</w:t>
      </w:r>
      <w:r w:rsidR="00AC4BB0" w:rsidRPr="00D351EE">
        <w:rPr>
          <w:rFonts w:ascii="Book Antiqua" w:hAnsi="Book Antiqua"/>
        </w:rPr>
        <w:t>, citing First Report &amp; Order ¶¶ 39-41, 28 FCC Rcd. at 14128-30; Global Tel*Link v. FCC, 866 F.3d at 404</w:t>
      </w:r>
      <w:r w:rsidR="007D5ABA">
        <w:rPr>
          <w:rFonts w:ascii="Book Antiqua" w:hAnsi="Book Antiqua"/>
        </w:rPr>
        <w:t xml:space="preserve"> (</w:t>
      </w:r>
      <w:r w:rsidR="007D5ABA" w:rsidRPr="00472730">
        <w:rPr>
          <w:rFonts w:ascii="Book Antiqua" w:hAnsi="Book Antiqua"/>
          <w:i/>
          <w:iCs/>
          <w:szCs w:val="22"/>
        </w:rPr>
        <w:t>G</w:t>
      </w:r>
      <w:r w:rsidR="006D1CF0" w:rsidRPr="00472730">
        <w:rPr>
          <w:rFonts w:ascii="Book Antiqua" w:hAnsi="Book Antiqua"/>
          <w:i/>
          <w:iCs/>
          <w:szCs w:val="22"/>
        </w:rPr>
        <w:t>TL v. FCC</w:t>
      </w:r>
      <w:r w:rsidR="007D5ABA" w:rsidRPr="007D5ABA">
        <w:rPr>
          <w:rFonts w:ascii="Book Antiqua" w:hAnsi="Book Antiqua"/>
          <w:szCs w:val="22"/>
        </w:rPr>
        <w:t>, 866 F.3d</w:t>
      </w:r>
      <w:r w:rsidR="007D5ABA">
        <w:rPr>
          <w:rFonts w:ascii="Book Antiqua" w:hAnsi="Book Antiqua"/>
          <w:szCs w:val="22"/>
        </w:rPr>
        <w:t>)</w:t>
      </w:r>
      <w:r w:rsidR="00AC4BB0" w:rsidRPr="00D351EE">
        <w:rPr>
          <w:rFonts w:ascii="Book Antiqua" w:hAnsi="Book Antiqua"/>
        </w:rPr>
        <w:t xml:space="preserve"> (“Once a long-term, exclusive contract bid is awarded to an [</w:t>
      </w:r>
      <w:r w:rsidR="009C37CF">
        <w:rPr>
          <w:rFonts w:ascii="Book Antiqua" w:hAnsi="Book Antiqua"/>
        </w:rPr>
        <w:t>i</w:t>
      </w:r>
      <w:r w:rsidR="00AC4BB0" w:rsidRPr="00D351EE">
        <w:rPr>
          <w:rFonts w:ascii="Book Antiqua" w:hAnsi="Book Antiqua"/>
        </w:rPr>
        <w:t xml:space="preserve">nmate </w:t>
      </w:r>
      <w:r w:rsidR="009C37CF">
        <w:rPr>
          <w:rFonts w:ascii="Book Antiqua" w:hAnsi="Book Antiqua"/>
        </w:rPr>
        <w:t>c</w:t>
      </w:r>
      <w:r w:rsidR="00AC4BB0" w:rsidRPr="00D351EE">
        <w:rPr>
          <w:rFonts w:ascii="Book Antiqua" w:hAnsi="Book Antiqua"/>
        </w:rPr>
        <w:t xml:space="preserve">alling </w:t>
      </w:r>
      <w:r w:rsidR="009C37CF">
        <w:rPr>
          <w:rFonts w:ascii="Book Antiqua" w:hAnsi="Book Antiqua"/>
        </w:rPr>
        <w:t>s</w:t>
      </w:r>
      <w:r w:rsidR="00AC4BB0" w:rsidRPr="00D351EE">
        <w:rPr>
          <w:rFonts w:ascii="Book Antiqua" w:hAnsi="Book Antiqua"/>
        </w:rPr>
        <w:t xml:space="preserve">ervice] ICS provider, competition ceases for the duration of the contract and subsequent contract renewals. Winning ICS providers thus operate locational monopolies with a captive consumer </w:t>
      </w:r>
      <w:r w:rsidR="00AC4BB0" w:rsidRPr="00072C7D">
        <w:rPr>
          <w:rFonts w:ascii="Book Antiqua" w:hAnsi="Book Antiqua"/>
        </w:rPr>
        <w:t xml:space="preserve">base of inmates and the need to pay high site commissions.”); and, </w:t>
      </w:r>
      <w:r w:rsidR="00AC4BB0" w:rsidRPr="00072C7D">
        <w:rPr>
          <w:rFonts w:ascii="Book Antiqua" w:hAnsi="Book Antiqua"/>
          <w:i/>
          <w:iCs/>
        </w:rPr>
        <w:t>Id</w:t>
      </w:r>
      <w:r w:rsidR="00AC4BB0" w:rsidRPr="00072C7D">
        <w:rPr>
          <w:rFonts w:ascii="Book Antiqua" w:hAnsi="Book Antiqua"/>
        </w:rPr>
        <w:t xml:space="preserve">. at 111, 28 FCC Rcd. </w:t>
      </w:r>
      <w:r w:rsidR="00245FB8">
        <w:rPr>
          <w:rFonts w:ascii="Book Antiqua" w:hAnsi="Book Antiqua"/>
        </w:rPr>
        <w:t>a</w:t>
      </w:r>
      <w:r w:rsidR="00AC4BB0" w:rsidRPr="00072C7D">
        <w:rPr>
          <w:rFonts w:ascii="Book Antiqua" w:hAnsi="Book Antiqua"/>
        </w:rPr>
        <w:t>t</w:t>
      </w:r>
      <w:r w:rsidR="00245FB8">
        <w:rPr>
          <w:rFonts w:ascii="Book Antiqua" w:hAnsi="Book Antiqua"/>
        </w:rPr>
        <w:t> </w:t>
      </w:r>
      <w:r w:rsidR="00AC4BB0" w:rsidRPr="00072C7D">
        <w:rPr>
          <w:rFonts w:ascii="Book Antiqua" w:hAnsi="Book Antiqua"/>
        </w:rPr>
        <w:t xml:space="preserve">14217 (Ajit Pai, dissenting) (“[W]e cannot necessarily count on market competition to keep prices for inmate calling services just and reasonable”). </w:t>
      </w:r>
    </w:p>
  </w:footnote>
  <w:footnote w:id="19">
    <w:p w14:paraId="7D9E7A97" w14:textId="19752E69" w:rsidR="00941CA2" w:rsidRPr="00072C7D" w:rsidRDefault="00941CA2">
      <w:pPr>
        <w:pStyle w:val="FootnoteText"/>
        <w:rPr>
          <w:rFonts w:ascii="Book Antiqua" w:hAnsi="Book Antiqua"/>
        </w:rPr>
      </w:pPr>
      <w:r w:rsidRPr="00072C7D">
        <w:rPr>
          <w:rStyle w:val="FootnoteReference"/>
          <w:rFonts w:ascii="Book Antiqua" w:hAnsi="Book Antiqua"/>
        </w:rPr>
        <w:footnoteRef/>
      </w:r>
      <w:r w:rsidRPr="00072C7D">
        <w:rPr>
          <w:rFonts w:ascii="Book Antiqua" w:hAnsi="Book Antiqua"/>
        </w:rPr>
        <w:t xml:space="preserve"> </w:t>
      </w:r>
      <w:r w:rsidR="007B63C8" w:rsidRPr="00072C7D">
        <w:rPr>
          <w:rFonts w:ascii="Book Antiqua" w:hAnsi="Book Antiqua"/>
          <w:i/>
          <w:iCs/>
        </w:rPr>
        <w:t>See</w:t>
      </w:r>
      <w:r w:rsidR="007B63C8" w:rsidRPr="00072C7D">
        <w:rPr>
          <w:rFonts w:ascii="Book Antiqua" w:hAnsi="Book Antiqua"/>
        </w:rPr>
        <w:t xml:space="preserve"> </w:t>
      </w:r>
      <w:r w:rsidR="007753A6" w:rsidRPr="00072C7D">
        <w:rPr>
          <w:rFonts w:ascii="Book Antiqua" w:hAnsi="Book Antiqua"/>
        </w:rPr>
        <w:t xml:space="preserve">FCC </w:t>
      </w:r>
      <w:r w:rsidR="00C83378" w:rsidRPr="00072C7D">
        <w:rPr>
          <w:rFonts w:ascii="Book Antiqua" w:hAnsi="Book Antiqua"/>
        </w:rPr>
        <w:t xml:space="preserve">Third </w:t>
      </w:r>
      <w:r w:rsidR="007B63C8" w:rsidRPr="00072C7D">
        <w:rPr>
          <w:rFonts w:ascii="Book Antiqua" w:hAnsi="Book Antiqua"/>
        </w:rPr>
        <w:t>Order at ¶</w:t>
      </w:r>
      <w:r w:rsidR="009D1C75" w:rsidRPr="00072C7D">
        <w:rPr>
          <w:rFonts w:ascii="Book Antiqua" w:hAnsi="Book Antiqua"/>
        </w:rPr>
        <w:t xml:space="preserve"> 13.  </w:t>
      </w:r>
      <w:r w:rsidR="00B63B70" w:rsidRPr="00072C7D">
        <w:rPr>
          <w:rFonts w:ascii="Book Antiqua" w:hAnsi="Book Antiqua"/>
        </w:rPr>
        <w:t xml:space="preserve">The rate caps ordered by the </w:t>
      </w:r>
      <w:r w:rsidR="002B392F" w:rsidRPr="00072C7D">
        <w:rPr>
          <w:rFonts w:ascii="Book Antiqua" w:hAnsi="Book Antiqua"/>
        </w:rPr>
        <w:t xml:space="preserve">FCC </w:t>
      </w:r>
      <w:r w:rsidR="00B63B70" w:rsidRPr="00072C7D">
        <w:rPr>
          <w:rFonts w:ascii="Book Antiqua" w:hAnsi="Book Antiqua"/>
        </w:rPr>
        <w:t xml:space="preserve">are </w:t>
      </w:r>
      <w:r w:rsidR="009D1C75" w:rsidRPr="00072C7D">
        <w:rPr>
          <w:rFonts w:ascii="Book Antiqua" w:hAnsi="Book Antiqua"/>
        </w:rPr>
        <w:t xml:space="preserve">also </w:t>
      </w:r>
      <w:r w:rsidR="00B63B70" w:rsidRPr="00072C7D">
        <w:rPr>
          <w:rFonts w:ascii="Book Antiqua" w:hAnsi="Book Antiqua"/>
        </w:rPr>
        <w:t xml:space="preserve">summarized in a </w:t>
      </w:r>
      <w:r w:rsidR="002B392F" w:rsidRPr="00072C7D">
        <w:rPr>
          <w:rFonts w:ascii="Book Antiqua" w:hAnsi="Book Antiqua"/>
        </w:rPr>
        <w:t>FCC</w:t>
      </w:r>
      <w:r w:rsidR="00B63B70" w:rsidRPr="00072C7D">
        <w:rPr>
          <w:rFonts w:ascii="Book Antiqua" w:hAnsi="Book Antiqua"/>
        </w:rPr>
        <w:t xml:space="preserve"> Consumer Guide “Inmate Telephone Service,” accessed January 5, 2021, and available at </w:t>
      </w:r>
      <w:hyperlink r:id="rId9" w:history="1">
        <w:r w:rsidR="00B63B70" w:rsidRPr="00072C7D">
          <w:rPr>
            <w:rStyle w:val="Hyperlink"/>
            <w:rFonts w:ascii="Book Antiqua" w:hAnsi="Book Antiqua"/>
          </w:rPr>
          <w:t>https://www.fcc.gov/sites/default/files/inmate_telephone_service.pdf</w:t>
        </w:r>
      </w:hyperlink>
      <w:r w:rsidR="00B63B70" w:rsidRPr="00072C7D">
        <w:rPr>
          <w:rFonts w:ascii="Book Antiqua" w:hAnsi="Book Antiqua"/>
        </w:rPr>
        <w:t xml:space="preserve">. </w:t>
      </w:r>
    </w:p>
  </w:footnote>
  <w:footnote w:id="20">
    <w:p w14:paraId="7BEFEEF3" w14:textId="5BCDE64F" w:rsidR="00941CA2" w:rsidRPr="00072C7D" w:rsidRDefault="00941CA2">
      <w:pPr>
        <w:pStyle w:val="FootnoteText"/>
        <w:rPr>
          <w:rFonts w:ascii="Book Antiqua" w:hAnsi="Book Antiqua"/>
        </w:rPr>
      </w:pPr>
      <w:r w:rsidRPr="00072C7D">
        <w:rPr>
          <w:rStyle w:val="FootnoteReference"/>
          <w:rFonts w:ascii="Book Antiqua" w:hAnsi="Book Antiqua"/>
        </w:rPr>
        <w:footnoteRef/>
      </w:r>
      <w:r w:rsidRPr="00072C7D">
        <w:rPr>
          <w:rFonts w:ascii="Book Antiqua" w:hAnsi="Book Antiqua"/>
        </w:rPr>
        <w:t xml:space="preserve"> </w:t>
      </w:r>
      <w:r w:rsidR="00144C4C" w:rsidRPr="00072C7D">
        <w:rPr>
          <w:rFonts w:ascii="Book Antiqua" w:hAnsi="Book Antiqua"/>
        </w:rPr>
        <w:t xml:space="preserve">2015 </w:t>
      </w:r>
      <w:r w:rsidR="00164E74" w:rsidRPr="00072C7D">
        <w:rPr>
          <w:rFonts w:ascii="Book Antiqua" w:hAnsi="Book Antiqua"/>
        </w:rPr>
        <w:t xml:space="preserve">Order ¶¶ 3 (Nov. 5, 2015). </w:t>
      </w:r>
    </w:p>
  </w:footnote>
  <w:footnote w:id="21">
    <w:p w14:paraId="58DAA74F" w14:textId="226ABE5D" w:rsidR="00941CA2" w:rsidRPr="00072C7D" w:rsidRDefault="00941CA2">
      <w:pPr>
        <w:pStyle w:val="FootnoteText"/>
        <w:rPr>
          <w:rFonts w:ascii="Book Antiqua" w:hAnsi="Book Antiqua"/>
        </w:rPr>
      </w:pPr>
      <w:r w:rsidRPr="00072C7D">
        <w:rPr>
          <w:rStyle w:val="FootnoteReference"/>
          <w:rFonts w:ascii="Book Antiqua" w:hAnsi="Book Antiqua"/>
        </w:rPr>
        <w:footnoteRef/>
      </w:r>
      <w:r w:rsidRPr="00072C7D">
        <w:rPr>
          <w:rFonts w:ascii="Book Antiqua" w:hAnsi="Book Antiqua"/>
        </w:rPr>
        <w:t xml:space="preserve"> </w:t>
      </w:r>
      <w:r w:rsidR="00164E74" w:rsidRPr="00072C7D">
        <w:rPr>
          <w:rFonts w:ascii="Book Antiqua" w:hAnsi="Book Antiqua"/>
          <w:i/>
          <w:iCs/>
        </w:rPr>
        <w:t>Ibid.</w:t>
      </w:r>
    </w:p>
  </w:footnote>
  <w:footnote w:id="22">
    <w:p w14:paraId="24A2688A" w14:textId="35523D19" w:rsidR="00941CA2" w:rsidRPr="00072C7D" w:rsidRDefault="00941CA2" w:rsidP="00164E74">
      <w:pPr>
        <w:rPr>
          <w:rFonts w:ascii="Book Antiqua" w:hAnsi="Book Antiqua"/>
          <w:sz w:val="22"/>
          <w:szCs w:val="22"/>
        </w:rPr>
      </w:pPr>
      <w:r w:rsidRPr="00072C7D">
        <w:rPr>
          <w:rStyle w:val="FootnoteReference"/>
          <w:rFonts w:ascii="Book Antiqua" w:hAnsi="Book Antiqua"/>
          <w:sz w:val="22"/>
          <w:szCs w:val="22"/>
        </w:rPr>
        <w:footnoteRef/>
      </w:r>
      <w:r w:rsidRPr="00072C7D">
        <w:rPr>
          <w:rFonts w:ascii="Book Antiqua" w:hAnsi="Book Antiqua"/>
          <w:sz w:val="22"/>
          <w:szCs w:val="22"/>
        </w:rPr>
        <w:t xml:space="preserve"> </w:t>
      </w:r>
      <w:r w:rsidR="00F677EB" w:rsidRPr="00072C7D">
        <w:rPr>
          <w:rFonts w:ascii="Book Antiqua" w:hAnsi="Book Antiqua"/>
          <w:i/>
          <w:iCs/>
          <w:sz w:val="22"/>
          <w:szCs w:val="22"/>
        </w:rPr>
        <w:t>GTL</w:t>
      </w:r>
      <w:r w:rsidR="00EC2A5D" w:rsidRPr="00072C7D">
        <w:rPr>
          <w:rFonts w:ascii="Book Antiqua" w:hAnsi="Book Antiqua"/>
          <w:i/>
          <w:iCs/>
          <w:sz w:val="22"/>
          <w:szCs w:val="22"/>
        </w:rPr>
        <w:t xml:space="preserve"> v. FCC</w:t>
      </w:r>
      <w:r w:rsidR="00164E74" w:rsidRPr="00072C7D">
        <w:rPr>
          <w:rFonts w:ascii="Book Antiqua" w:hAnsi="Book Antiqua"/>
          <w:sz w:val="22"/>
          <w:szCs w:val="22"/>
        </w:rPr>
        <w:t xml:space="preserve"> 866 F.3d at 412</w:t>
      </w:r>
      <w:r w:rsidR="007D5ABA" w:rsidRPr="00072C7D">
        <w:rPr>
          <w:rFonts w:ascii="Book Antiqua" w:hAnsi="Book Antiqua"/>
          <w:sz w:val="22"/>
          <w:szCs w:val="22"/>
        </w:rPr>
        <w:t>.</w:t>
      </w:r>
    </w:p>
  </w:footnote>
  <w:footnote w:id="23">
    <w:p w14:paraId="73C5F55D" w14:textId="7E77A46C" w:rsidR="00C01D40" w:rsidRPr="00072C7D" w:rsidRDefault="00C01D40">
      <w:pPr>
        <w:pStyle w:val="FootnoteText"/>
        <w:rPr>
          <w:rFonts w:ascii="Book Antiqua" w:hAnsi="Book Antiqua"/>
        </w:rPr>
      </w:pPr>
      <w:r w:rsidRPr="00072C7D">
        <w:rPr>
          <w:rStyle w:val="FootnoteReference"/>
          <w:rFonts w:ascii="Book Antiqua" w:hAnsi="Book Antiqua"/>
        </w:rPr>
        <w:footnoteRef/>
      </w:r>
      <w:r w:rsidR="007753A6" w:rsidRPr="00072C7D">
        <w:rPr>
          <w:rFonts w:ascii="Book Antiqua" w:hAnsi="Book Antiqua"/>
        </w:rPr>
        <w:t xml:space="preserve"> FCC</w:t>
      </w:r>
      <w:r w:rsidRPr="00072C7D">
        <w:rPr>
          <w:rFonts w:ascii="Book Antiqua" w:hAnsi="Book Antiqua"/>
        </w:rPr>
        <w:t xml:space="preserve"> </w:t>
      </w:r>
      <w:r w:rsidR="00C83378" w:rsidRPr="00072C7D">
        <w:rPr>
          <w:rFonts w:ascii="Book Antiqua" w:hAnsi="Book Antiqua"/>
        </w:rPr>
        <w:t xml:space="preserve">Third </w:t>
      </w:r>
      <w:r w:rsidR="001A7244" w:rsidRPr="00072C7D">
        <w:rPr>
          <w:rFonts w:ascii="Book Antiqua" w:hAnsi="Book Antiqua"/>
        </w:rPr>
        <w:t>Order at ¶ 14.</w:t>
      </w:r>
    </w:p>
  </w:footnote>
  <w:footnote w:id="24">
    <w:p w14:paraId="79E686C7" w14:textId="2C093E38" w:rsidR="00AE172F" w:rsidRPr="00072C7D" w:rsidRDefault="00AE172F" w:rsidP="00AE172F">
      <w:pPr>
        <w:pStyle w:val="FootnoteText"/>
        <w:rPr>
          <w:rFonts w:ascii="Book Antiqua" w:hAnsi="Book Antiqua"/>
        </w:rPr>
      </w:pPr>
      <w:r w:rsidRPr="00072C7D">
        <w:rPr>
          <w:rStyle w:val="FootnoteReference"/>
          <w:rFonts w:ascii="Book Antiqua" w:hAnsi="Book Antiqua"/>
        </w:rPr>
        <w:footnoteRef/>
      </w:r>
      <w:r w:rsidRPr="00072C7D">
        <w:rPr>
          <w:rFonts w:ascii="Book Antiqua" w:hAnsi="Book Antiqua"/>
        </w:rPr>
        <w:t xml:space="preserve"> </w:t>
      </w:r>
      <w:r w:rsidRPr="00072C7D">
        <w:rPr>
          <w:rFonts w:ascii="Book Antiqua" w:hAnsi="Book Antiqua"/>
          <w:i/>
          <w:iCs/>
        </w:rPr>
        <w:t xml:space="preserve">FCC Report and Order on Remand and Fourth Further Notice of Proposed Rulemaking </w:t>
      </w:r>
      <w:r w:rsidRPr="00072C7D">
        <w:rPr>
          <w:rFonts w:ascii="Book Antiqua" w:hAnsi="Book Antiqua"/>
        </w:rPr>
        <w:t>(FCC 2020 Order on Remand) at ¶ 26.</w:t>
      </w:r>
    </w:p>
  </w:footnote>
  <w:footnote w:id="25">
    <w:p w14:paraId="2636FE0C" w14:textId="44D1EA7F" w:rsidR="00204AC5" w:rsidRPr="00204AC5" w:rsidRDefault="00204AC5">
      <w:pPr>
        <w:pStyle w:val="FootnoteText"/>
        <w:rPr>
          <w:rFonts w:ascii="Book Antiqua" w:hAnsi="Book Antiqua"/>
        </w:rPr>
      </w:pPr>
      <w:r w:rsidRPr="00204AC5">
        <w:rPr>
          <w:rStyle w:val="FootnoteReference"/>
          <w:rFonts w:ascii="Book Antiqua" w:hAnsi="Book Antiqua"/>
        </w:rPr>
        <w:footnoteRef/>
      </w:r>
      <w:r w:rsidRPr="00204AC5">
        <w:rPr>
          <w:rFonts w:ascii="Book Antiqua" w:hAnsi="Book Antiqua"/>
        </w:rPr>
        <w:t xml:space="preserve"> Section 3(f)(1) </w:t>
      </w:r>
      <w:r w:rsidR="00C96455">
        <w:rPr>
          <w:rFonts w:ascii="Book Antiqua" w:hAnsi="Book Antiqua"/>
        </w:rPr>
        <w:t xml:space="preserve">of </w:t>
      </w:r>
      <w:bookmarkStart w:id="6" w:name="_Hlk74304620"/>
      <w:r w:rsidR="00C96455">
        <w:rPr>
          <w:rFonts w:ascii="Book Antiqua" w:hAnsi="Book Antiqua"/>
        </w:rPr>
        <w:t xml:space="preserve">SB 555 </w:t>
      </w:r>
      <w:r w:rsidRPr="00204AC5">
        <w:rPr>
          <w:rFonts w:ascii="Book Antiqua" w:hAnsi="Book Antiqua"/>
        </w:rPr>
        <w:t>defines “commission or other payment” as any payments made to provide an incentive for the procurement o</w:t>
      </w:r>
      <w:r w:rsidR="00F92F17">
        <w:rPr>
          <w:rFonts w:ascii="Book Antiqua" w:hAnsi="Book Antiqua"/>
        </w:rPr>
        <w:t>f</w:t>
      </w:r>
      <w:r w:rsidRPr="00204AC5">
        <w:rPr>
          <w:rFonts w:ascii="Book Antiqua" w:hAnsi="Book Antiqua"/>
        </w:rPr>
        <w:t xml:space="preserve"> contracts, but does not include grants and other payments that do not increase the cost of telephone calls or communications or information services billed to consumers.”</w:t>
      </w:r>
      <w:bookmarkEnd w:id="6"/>
    </w:p>
  </w:footnote>
  <w:footnote w:id="26">
    <w:p w14:paraId="422406EE" w14:textId="0453C95E" w:rsidR="001A6E3B" w:rsidRDefault="001A6E3B">
      <w:pPr>
        <w:pStyle w:val="FootnoteText"/>
      </w:pPr>
      <w:r>
        <w:rPr>
          <w:rStyle w:val="FootnoteReference"/>
        </w:rPr>
        <w:footnoteRef/>
      </w:r>
      <w:r>
        <w:t xml:space="preserve"> </w:t>
      </w:r>
      <w:r w:rsidRPr="00ED5356">
        <w:rPr>
          <w:rFonts w:ascii="Book Antiqua" w:hAnsi="Book Antiqua"/>
        </w:rPr>
        <w:t xml:space="preserve">SB 555, Section 1(b)(3). </w:t>
      </w:r>
      <w:r w:rsidR="00F53D5F" w:rsidRPr="00ED5356">
        <w:rPr>
          <w:rFonts w:ascii="Book Antiqua" w:hAnsi="Book Antiqua"/>
        </w:rPr>
        <w:t xml:space="preserve"> </w:t>
      </w:r>
    </w:p>
  </w:footnote>
  <w:footnote w:id="27">
    <w:p w14:paraId="3E8185AD" w14:textId="77777777" w:rsidR="007E23A4" w:rsidRDefault="007E23A4" w:rsidP="007E23A4">
      <w:pPr>
        <w:pStyle w:val="FootnoteText"/>
      </w:pPr>
      <w:r w:rsidRPr="00D351EE">
        <w:rPr>
          <w:rStyle w:val="FootnoteReference"/>
          <w:rFonts w:ascii="Book Antiqua" w:hAnsi="Book Antiqua"/>
        </w:rPr>
        <w:footnoteRef/>
      </w:r>
      <w:r w:rsidRPr="00D351EE">
        <w:rPr>
          <w:rFonts w:ascii="Book Antiqua" w:hAnsi="Book Antiqua"/>
        </w:rPr>
        <w:t xml:space="preserve"> Office of the Governor, SB 555 Veto Message, September 30, 2020, available as of this writing at: </w:t>
      </w:r>
      <w:hyperlink r:id="rId10" w:history="1">
        <w:r w:rsidRPr="00D351EE">
          <w:rPr>
            <w:rStyle w:val="Hyperlink"/>
            <w:rFonts w:ascii="Book Antiqua" w:hAnsi="Book Antiqua"/>
          </w:rPr>
          <w:t>https://www.gov.ca.gov/wp-content/uploads/2020/09/SB-555.pdf</w:t>
        </w:r>
      </w:hyperlink>
      <w:r w:rsidRPr="00D351EE">
        <w:rPr>
          <w:rFonts w:ascii="Book Antiqua" w:hAnsi="Book Antiqua"/>
        </w:rPr>
        <w:t>.</w:t>
      </w:r>
      <w:r>
        <w:t xml:space="preserve"> </w:t>
      </w:r>
    </w:p>
  </w:footnote>
  <w:footnote w:id="28">
    <w:p w14:paraId="140D04E1" w14:textId="77777777" w:rsidR="000A0767" w:rsidRPr="00D351EE" w:rsidRDefault="000A0767" w:rsidP="000A0767">
      <w:pPr>
        <w:pStyle w:val="FootnoteText"/>
        <w:rPr>
          <w:rFonts w:ascii="Book Antiqua" w:hAnsi="Book Antiqua"/>
        </w:rPr>
      </w:pPr>
      <w:r w:rsidRPr="00D351EE">
        <w:rPr>
          <w:rStyle w:val="FootnoteReference"/>
          <w:rFonts w:ascii="Book Antiqua" w:hAnsi="Book Antiqua"/>
        </w:rPr>
        <w:footnoteRef/>
      </w:r>
      <w:r w:rsidRPr="00D351EE">
        <w:rPr>
          <w:rFonts w:ascii="Book Antiqua" w:hAnsi="Book Antiqua"/>
        </w:rPr>
        <w:t xml:space="preserve"> Letter from Ajit Pai to Brandon Presley (July 20, 2020), available as of this writing at: </w:t>
      </w:r>
      <w:hyperlink r:id="rId11" w:history="1">
        <w:r w:rsidRPr="00D351EE">
          <w:rPr>
            <w:rStyle w:val="Hyperlink"/>
            <w:rFonts w:ascii="Book Antiqua" w:hAnsi="Book Antiqua"/>
          </w:rPr>
          <w:t>https://docs.fcc.gov/public/attachments/DOC-365619A1.pdf</w:t>
        </w:r>
      </w:hyperlink>
      <w:r w:rsidRPr="00D351EE">
        <w:rPr>
          <w:rFonts w:ascii="Book Antiqua" w:hAnsi="Book Antiqua"/>
        </w:rPr>
        <w:t xml:space="preserve">. </w:t>
      </w:r>
    </w:p>
  </w:footnote>
  <w:footnote w:id="29">
    <w:p w14:paraId="5280F6E4" w14:textId="77777777" w:rsidR="000A0767" w:rsidRPr="0002226A" w:rsidRDefault="000A0767" w:rsidP="000A0767">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Pr="0002226A">
        <w:rPr>
          <w:rFonts w:ascii="Book Antiqua" w:hAnsi="Book Antiqua"/>
        </w:rPr>
        <w:t xml:space="preserve">Nat’l Ass’n of Reg. Util. Comm’rs, NARUC Urges Members to Review Inmate Calling Rates (July 23, 2020), available as of this writing at </w:t>
      </w:r>
      <w:hyperlink r:id="rId12" w:history="1">
        <w:r w:rsidRPr="0002226A">
          <w:rPr>
            <w:rStyle w:val="Hyperlink"/>
            <w:rFonts w:ascii="Book Antiqua" w:hAnsi="Book Antiqua"/>
          </w:rPr>
          <w:t>https://www.naruc.org/about-naruc/pressreleases/naruc-urges-members-to-review-inmate-calling-rates/</w:t>
        </w:r>
      </w:hyperlink>
      <w:r w:rsidRPr="0002226A">
        <w:rPr>
          <w:rFonts w:ascii="Book Antiqua" w:hAnsi="Book Antiqua"/>
        </w:rPr>
        <w:t xml:space="preserve">. </w:t>
      </w:r>
    </w:p>
  </w:footnote>
  <w:footnote w:id="30">
    <w:p w14:paraId="2BB64DD0" w14:textId="40D35313" w:rsidR="0074281D" w:rsidRPr="0002226A" w:rsidRDefault="0074281D" w:rsidP="0097460D">
      <w:pPr>
        <w:pStyle w:val="FootnoteText"/>
        <w:rPr>
          <w:rFonts w:ascii="Book Antiqua" w:hAnsi="Book Antiqua"/>
        </w:rPr>
      </w:pPr>
      <w:r w:rsidRPr="0002226A">
        <w:rPr>
          <w:rStyle w:val="FootnoteReference"/>
          <w:rFonts w:ascii="Book Antiqua" w:hAnsi="Book Antiqua"/>
        </w:rPr>
        <w:footnoteRef/>
      </w:r>
      <w:r w:rsidRPr="0002226A">
        <w:rPr>
          <w:rFonts w:ascii="Book Antiqua" w:hAnsi="Book Antiqua"/>
        </w:rPr>
        <w:t xml:space="preserve"> Cal Advocates, Comments on Staff Proposal at </w:t>
      </w:r>
      <w:r w:rsidR="00D66652">
        <w:rPr>
          <w:rFonts w:ascii="Book Antiqua" w:hAnsi="Book Antiqua"/>
        </w:rPr>
        <w:t>4</w:t>
      </w:r>
      <w:r w:rsidR="0097460D">
        <w:rPr>
          <w:rFonts w:ascii="Book Antiqua" w:hAnsi="Book Antiqua"/>
        </w:rPr>
        <w:t xml:space="preserve">; TURN, Comments on Staff Proposal at 12; </w:t>
      </w:r>
      <w:r w:rsidR="0097460D" w:rsidRPr="0097460D">
        <w:rPr>
          <w:rFonts w:ascii="Book Antiqua" w:hAnsi="Book Antiqua"/>
          <w:i/>
          <w:iCs/>
        </w:rPr>
        <w:t>See also</w:t>
      </w:r>
      <w:r w:rsidR="0097460D" w:rsidRPr="0097460D">
        <w:rPr>
          <w:rFonts w:ascii="Book Antiqua" w:hAnsi="Book Antiqua"/>
        </w:rPr>
        <w:t xml:space="preserve"> State of California, Department of Technology, Statewide Technology Procurement, Department of Corrections and Rehabilitation and Global Tel*Link Corporation, Agreement Number C5610009, Exhibit Tab 3 (Dec. 31, 2020) ($0.025 per minute); California Department of Corrections and Rehabilitation, “California Department of Corrections and Rehabilitation Announces Reduced Cost of Telephone Calls for Incarcerated Population,” News Release (Mar.</w:t>
      </w:r>
      <w:r w:rsidR="00245FB8">
        <w:rPr>
          <w:rFonts w:ascii="Book Antiqua" w:hAnsi="Book Antiqua"/>
        </w:rPr>
        <w:t> </w:t>
      </w:r>
      <w:r w:rsidR="0097460D" w:rsidRPr="0097460D">
        <w:rPr>
          <w:rFonts w:ascii="Book Antiqua" w:hAnsi="Book Antiqua"/>
        </w:rPr>
        <w:t xml:space="preserve">1, 2021) </w:t>
      </w:r>
      <w:hyperlink r:id="rId13" w:history="1">
        <w:r w:rsidR="00AA55EE" w:rsidRPr="00E13189">
          <w:rPr>
            <w:rStyle w:val="Hyperlink"/>
            <w:rFonts w:ascii="Book Antiqua" w:hAnsi="Book Antiqua"/>
          </w:rPr>
          <w:t>https://www.cdcr.ca.gov/news/2021/03/01/california-department-of-corrections-and-rehabilitation-announces-reduced-cost-of-telephone-calls-for-incarcerated-population/</w:t>
        </w:r>
      </w:hyperlink>
      <w:r w:rsidR="00AA55EE">
        <w:rPr>
          <w:rFonts w:ascii="Book Antiqua" w:hAnsi="Book Antiqua"/>
        </w:rPr>
        <w:t xml:space="preserve">. </w:t>
      </w:r>
      <w:r w:rsidR="002745E7">
        <w:rPr>
          <w:rFonts w:ascii="Book Antiqua" w:hAnsi="Book Antiqua"/>
        </w:rPr>
        <w:t xml:space="preserve"> C</w:t>
      </w:r>
      <w:r w:rsidR="00687AF1">
        <w:rPr>
          <w:rFonts w:ascii="Book Antiqua" w:hAnsi="Book Antiqua"/>
        </w:rPr>
        <w:t>DCR contract available here</w:t>
      </w:r>
      <w:r w:rsidR="00475076">
        <w:rPr>
          <w:rFonts w:ascii="Book Antiqua" w:hAnsi="Book Antiqua"/>
        </w:rPr>
        <w:t xml:space="preserve">: </w:t>
      </w:r>
      <w:hyperlink r:id="rId14" w:history="1">
        <w:r w:rsidR="00475076" w:rsidRPr="001F37C1">
          <w:rPr>
            <w:rStyle w:val="Hyperlink"/>
            <w:rFonts w:ascii="Book Antiqua" w:hAnsi="Book Antiqua"/>
          </w:rPr>
          <w:t>https://caleprocure.ca.gov/PSRelay/ZZ_PO.ZZ_CTR_SUP_CMP.GBL?Page=ZZ_CTR_SUP_PG&amp;Action=U&amp;SETID=STATE&amp;CNTRCT_ID=C5610009</w:t>
        </w:r>
      </w:hyperlink>
    </w:p>
  </w:footnote>
  <w:footnote w:id="31">
    <w:p w14:paraId="05B3CFD8" w14:textId="24AAF642" w:rsidR="00585188" w:rsidRPr="00121981" w:rsidRDefault="00585188">
      <w:pPr>
        <w:pStyle w:val="FootnoteText"/>
        <w:rPr>
          <w:rFonts w:ascii="Book Antiqua" w:hAnsi="Book Antiqua"/>
        </w:rPr>
      </w:pPr>
      <w:r w:rsidRPr="00121981">
        <w:rPr>
          <w:rStyle w:val="FootnoteReference"/>
          <w:rFonts w:ascii="Book Antiqua" w:hAnsi="Book Antiqua"/>
        </w:rPr>
        <w:footnoteRef/>
      </w:r>
      <w:r w:rsidRPr="00121981">
        <w:rPr>
          <w:rFonts w:ascii="Book Antiqua" w:hAnsi="Book Antiqua"/>
        </w:rPr>
        <w:t xml:space="preserve"> FCC Third Order </w:t>
      </w:r>
      <w:r w:rsidR="00FE4504" w:rsidRPr="00121981">
        <w:rPr>
          <w:rFonts w:ascii="Book Antiqua" w:hAnsi="Book Antiqua"/>
        </w:rPr>
        <w:t>at ¶</w:t>
      </w:r>
      <w:r w:rsidR="0064150B" w:rsidRPr="00121981">
        <w:rPr>
          <w:rFonts w:ascii="Book Antiqua" w:hAnsi="Book Antiqua"/>
        </w:rPr>
        <w:t xml:space="preserve">¶ 100 </w:t>
      </w:r>
      <w:r w:rsidR="0008584F" w:rsidRPr="00121981">
        <w:rPr>
          <w:rFonts w:ascii="Book Antiqua" w:hAnsi="Book Antiqua"/>
        </w:rPr>
        <w:t>–</w:t>
      </w:r>
      <w:r w:rsidR="0064150B" w:rsidRPr="00121981">
        <w:rPr>
          <w:rFonts w:ascii="Book Antiqua" w:hAnsi="Book Antiqua"/>
        </w:rPr>
        <w:t xml:space="preserve"> </w:t>
      </w:r>
      <w:r w:rsidR="000D519E" w:rsidRPr="00121981">
        <w:rPr>
          <w:rFonts w:ascii="Book Antiqua" w:hAnsi="Book Antiqua"/>
        </w:rPr>
        <w:t>168</w:t>
      </w:r>
      <w:r w:rsidR="00164C4C" w:rsidRPr="00121981">
        <w:rPr>
          <w:rFonts w:ascii="Book Antiqua" w:hAnsi="Book Antiqua"/>
        </w:rPr>
        <w:t>;</w:t>
      </w:r>
      <w:r w:rsidR="00C35CDC" w:rsidRPr="00121981">
        <w:rPr>
          <w:rFonts w:ascii="Book Antiqua" w:hAnsi="Book Antiqua"/>
        </w:rPr>
        <w:t xml:space="preserve"> </w:t>
      </w:r>
      <w:r w:rsidR="00C35CDC" w:rsidRPr="00121981">
        <w:rPr>
          <w:rFonts w:ascii="Book Antiqua" w:hAnsi="Book Antiqua"/>
          <w:i/>
        </w:rPr>
        <w:t>See also</w:t>
      </w:r>
      <w:r w:rsidR="00C35CDC" w:rsidRPr="00121981">
        <w:rPr>
          <w:rFonts w:ascii="Book Antiqua" w:hAnsi="Book Antiqua"/>
        </w:rPr>
        <w:t xml:space="preserve"> </w:t>
      </w:r>
      <w:r w:rsidR="00885439">
        <w:rPr>
          <w:rFonts w:ascii="Book Antiqua" w:hAnsi="Book Antiqua"/>
        </w:rPr>
        <w:t xml:space="preserve">FCC </w:t>
      </w:r>
      <w:r w:rsidR="00C35CDC" w:rsidRPr="00121981">
        <w:rPr>
          <w:rFonts w:ascii="Book Antiqua" w:hAnsi="Book Antiqua"/>
        </w:rPr>
        <w:t xml:space="preserve">Third Order, footnote 304, which </w:t>
      </w:r>
      <w:r w:rsidR="00F03B88">
        <w:rPr>
          <w:rFonts w:ascii="Book Antiqua" w:hAnsi="Book Antiqua"/>
        </w:rPr>
        <w:t>defines</w:t>
      </w:r>
      <w:r w:rsidR="00164C4C" w:rsidRPr="00121981">
        <w:rPr>
          <w:rFonts w:ascii="Book Antiqua" w:hAnsi="Book Antiqua"/>
        </w:rPr>
        <w:t xml:space="preserve"> “law or regulation</w:t>
      </w:r>
      <w:r w:rsidR="002918BA" w:rsidRPr="00121981">
        <w:rPr>
          <w:rFonts w:ascii="Book Antiqua" w:hAnsi="Book Antiqua"/>
        </w:rPr>
        <w:t>”</w:t>
      </w:r>
      <w:r w:rsidR="00F03B88">
        <w:rPr>
          <w:rFonts w:ascii="Book Antiqua" w:hAnsi="Book Antiqua"/>
        </w:rPr>
        <w:t xml:space="preserve"> a</w:t>
      </w:r>
      <w:r w:rsidR="00164C4C" w:rsidRPr="00121981">
        <w:rPr>
          <w:rFonts w:ascii="Book Antiqua" w:hAnsi="Book Antiqua"/>
        </w:rPr>
        <w:t xml:space="preserve">s </w:t>
      </w:r>
      <w:r w:rsidR="00C35CDC" w:rsidRPr="00121981">
        <w:rPr>
          <w:rFonts w:ascii="Book Antiqua" w:hAnsi="Book Antiqua"/>
        </w:rPr>
        <w:t xml:space="preserve">“state statutes and laws and regulations that are adopted pursuant to state administrative procedure statutes </w:t>
      </w:r>
      <w:r w:rsidR="00C35CDC" w:rsidRPr="00121981">
        <w:rPr>
          <w:rFonts w:ascii="Book Antiqua" w:hAnsi="Book Antiqua"/>
          <w:i/>
        </w:rPr>
        <w:t>where there is notice and an opportunity for public comment</w:t>
      </w:r>
      <w:r w:rsidR="00C35CDC" w:rsidRPr="00121981">
        <w:rPr>
          <w:rFonts w:ascii="Book Antiqua" w:hAnsi="Book Antiqua"/>
        </w:rPr>
        <w:t xml:space="preserve"> such as by a state public utility commission or similar regulatory body with jurisdiction to establish inmate calling rates, terms and conditions”</w:t>
      </w:r>
      <w:r w:rsidR="00F03B88">
        <w:rPr>
          <w:rFonts w:ascii="Book Antiqua" w:hAnsi="Book Antiqua"/>
        </w:rPr>
        <w:t>(emphasis added).</w:t>
      </w:r>
      <w:r w:rsidR="0036739C" w:rsidRPr="00121981">
        <w:rPr>
          <w:rFonts w:ascii="Book Antiqua" w:hAnsi="Book Antiqua"/>
        </w:rPr>
        <w:t xml:space="preserve">  </w:t>
      </w:r>
      <w:r w:rsidR="003A311C">
        <w:rPr>
          <w:rFonts w:ascii="Book Antiqua" w:hAnsi="Book Antiqua"/>
        </w:rPr>
        <w:t xml:space="preserve">FCC </w:t>
      </w:r>
      <w:r w:rsidR="0036739C" w:rsidRPr="00121981">
        <w:rPr>
          <w:rFonts w:ascii="Book Antiqua" w:hAnsi="Book Antiqua"/>
        </w:rPr>
        <w:t xml:space="preserve">Third Order at ¶ </w:t>
      </w:r>
      <w:r w:rsidR="002349B8" w:rsidRPr="00121981">
        <w:rPr>
          <w:rFonts w:ascii="Book Antiqua" w:hAnsi="Book Antiqua"/>
        </w:rPr>
        <w:t xml:space="preserve">133 </w:t>
      </w:r>
      <w:r w:rsidR="00F03B88">
        <w:rPr>
          <w:rFonts w:ascii="Book Antiqua" w:hAnsi="Book Antiqua"/>
        </w:rPr>
        <w:t xml:space="preserve">also </w:t>
      </w:r>
      <w:r w:rsidR="002349B8" w:rsidRPr="00121981">
        <w:rPr>
          <w:rFonts w:ascii="Book Antiqua" w:hAnsi="Book Antiqua"/>
        </w:rPr>
        <w:t xml:space="preserve">requires mandated site commissions to be indicated as a line item distinct from </w:t>
      </w:r>
      <w:r w:rsidR="00084970" w:rsidRPr="00121981">
        <w:rPr>
          <w:rFonts w:ascii="Book Antiqua" w:hAnsi="Book Antiqua"/>
        </w:rPr>
        <w:t xml:space="preserve">the applicable per-minute rate component. </w:t>
      </w:r>
    </w:p>
  </w:footnote>
  <w:footnote w:id="32">
    <w:p w14:paraId="16A6D7F6" w14:textId="1A092275" w:rsidR="003B6E49" w:rsidRPr="00121981" w:rsidRDefault="003B6E49" w:rsidP="003B6E49">
      <w:pPr>
        <w:pStyle w:val="FootnoteText"/>
        <w:rPr>
          <w:rFonts w:ascii="Book Antiqua" w:hAnsi="Book Antiqua"/>
        </w:rPr>
      </w:pPr>
      <w:r w:rsidRPr="00121981">
        <w:rPr>
          <w:rStyle w:val="FootnoteReference"/>
          <w:rFonts w:ascii="Book Antiqua" w:hAnsi="Book Antiqua"/>
        </w:rPr>
        <w:footnoteRef/>
      </w:r>
      <w:r w:rsidRPr="00121981">
        <w:rPr>
          <w:rFonts w:ascii="Book Antiqua" w:hAnsi="Book Antiqua"/>
        </w:rPr>
        <w:t xml:space="preserve"> </w:t>
      </w:r>
      <w:r w:rsidR="00E750D0">
        <w:rPr>
          <w:rFonts w:ascii="Book Antiqua" w:hAnsi="Book Antiqua"/>
        </w:rPr>
        <w:t xml:space="preserve">FCC </w:t>
      </w:r>
      <w:r w:rsidRPr="00121981">
        <w:rPr>
          <w:rFonts w:ascii="Book Antiqua" w:hAnsi="Book Antiqua"/>
        </w:rPr>
        <w:t xml:space="preserve">Third Order </w:t>
      </w:r>
      <w:r w:rsidR="0027049C">
        <w:rPr>
          <w:rFonts w:ascii="Book Antiqua" w:hAnsi="Book Antiqua"/>
        </w:rPr>
        <w:t xml:space="preserve">at </w:t>
      </w:r>
      <w:r w:rsidRPr="00121981">
        <w:rPr>
          <w:rFonts w:ascii="Book Antiqua" w:hAnsi="Book Antiqua"/>
        </w:rPr>
        <w:t xml:space="preserve">¶¶ 209 – 216.  </w:t>
      </w:r>
    </w:p>
  </w:footnote>
  <w:footnote w:id="33">
    <w:p w14:paraId="2ED0A44A" w14:textId="6658264C" w:rsidR="00A543F9" w:rsidRDefault="00A543F9">
      <w:pPr>
        <w:pStyle w:val="FootnoteText"/>
      </w:pPr>
      <w:r w:rsidRPr="00121981">
        <w:rPr>
          <w:rStyle w:val="FootnoteReference"/>
          <w:rFonts w:ascii="Book Antiqua" w:hAnsi="Book Antiqua"/>
        </w:rPr>
        <w:footnoteRef/>
      </w:r>
      <w:r w:rsidRPr="00121981">
        <w:rPr>
          <w:rFonts w:ascii="Book Antiqua" w:hAnsi="Book Antiqua"/>
        </w:rPr>
        <w:t xml:space="preserve"> FCC Third Order at ¶</w:t>
      </w:r>
      <w:r w:rsidR="00D80073" w:rsidRPr="00121981">
        <w:rPr>
          <w:rFonts w:ascii="Book Antiqua" w:hAnsi="Book Antiqua"/>
        </w:rPr>
        <w:t xml:space="preserve"> 171.</w:t>
      </w:r>
    </w:p>
  </w:footnote>
  <w:footnote w:id="34">
    <w:p w14:paraId="75BEA5CC" w14:textId="77777777" w:rsidR="003B6E49" w:rsidRPr="00345F93" w:rsidRDefault="003B6E49" w:rsidP="003B6E49">
      <w:pPr>
        <w:pStyle w:val="FootnoteText"/>
        <w:rPr>
          <w:rFonts w:ascii="Book Antiqua" w:hAnsi="Book Antiqua"/>
        </w:rPr>
      </w:pPr>
      <w:r w:rsidRPr="0002226A">
        <w:rPr>
          <w:rStyle w:val="FootnoteReference"/>
          <w:rFonts w:ascii="Book Antiqua" w:hAnsi="Book Antiqua"/>
        </w:rPr>
        <w:footnoteRef/>
      </w:r>
      <w:r w:rsidRPr="0002226A">
        <w:rPr>
          <w:rFonts w:ascii="Book Antiqua" w:hAnsi="Book Antiqua"/>
        </w:rPr>
        <w:t xml:space="preserve"> FCC Third Order (May 24, 2021).</w:t>
      </w:r>
      <w:r w:rsidRPr="00345F93">
        <w:rPr>
          <w:rFonts w:ascii="Book Antiqua" w:hAnsi="Book Antiqua"/>
        </w:rPr>
        <w:t xml:space="preserve"> </w:t>
      </w:r>
    </w:p>
  </w:footnote>
  <w:footnote w:id="35">
    <w:p w14:paraId="380A263C" w14:textId="2989FC9B" w:rsidR="00DC0AFA" w:rsidRPr="00345F93" w:rsidRDefault="00DC0AFA">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Parties filing opening comments on the </w:t>
      </w:r>
      <w:r w:rsidR="003A18DD">
        <w:rPr>
          <w:rFonts w:ascii="Book Antiqua" w:hAnsi="Book Antiqua"/>
        </w:rPr>
        <w:t>OIR</w:t>
      </w:r>
      <w:r w:rsidRPr="00345F93">
        <w:rPr>
          <w:rFonts w:ascii="Book Antiqua" w:hAnsi="Book Antiqua"/>
        </w:rPr>
        <w:t xml:space="preserve"> include the Californians for Jail and Prison Phone Justice Coalition (</w:t>
      </w:r>
      <w:r w:rsidR="00D07B4C" w:rsidRPr="00345F93">
        <w:rPr>
          <w:rFonts w:ascii="Book Antiqua" w:hAnsi="Book Antiqua"/>
        </w:rPr>
        <w:t>collectively</w:t>
      </w:r>
      <w:r w:rsidR="007B37CA">
        <w:rPr>
          <w:rFonts w:ascii="Book Antiqua" w:hAnsi="Book Antiqua"/>
        </w:rPr>
        <w:t xml:space="preserve">, </w:t>
      </w:r>
      <w:r w:rsidR="00A1040A" w:rsidRPr="00345F93">
        <w:rPr>
          <w:rFonts w:ascii="Book Antiqua" w:hAnsi="Book Antiqua"/>
        </w:rPr>
        <w:t xml:space="preserve">Justice Coalition, </w:t>
      </w:r>
      <w:r w:rsidRPr="00345F93">
        <w:rPr>
          <w:rFonts w:ascii="Book Antiqua" w:hAnsi="Book Antiqua"/>
        </w:rPr>
        <w:t>composed of five organizations, the Ella Baker Center for Human Rights, Friends Committee on Legislation of California, the San Francisco Financial Justice Project, Worth Rises, and the Young Women’s Freedom Center), the Center for Accessible Technologies</w:t>
      </w:r>
      <w:r w:rsidR="003C70D3" w:rsidRPr="00D351EE">
        <w:rPr>
          <w:rFonts w:ascii="Book Antiqua" w:hAnsi="Book Antiqua"/>
        </w:rPr>
        <w:t xml:space="preserve"> </w:t>
      </w:r>
      <w:r w:rsidR="003C70D3" w:rsidRPr="00345F93">
        <w:rPr>
          <w:rFonts w:ascii="Book Antiqua" w:hAnsi="Book Antiqua"/>
        </w:rPr>
        <w:t>(CforAT)</w:t>
      </w:r>
      <w:r w:rsidRPr="00345F93">
        <w:rPr>
          <w:rFonts w:ascii="Book Antiqua" w:hAnsi="Book Antiqua"/>
        </w:rPr>
        <w:t>, the Greenlining Institute, the Media Alliance, the Prison Policy Initiative, Inc.</w:t>
      </w:r>
      <w:r w:rsidR="005F238E" w:rsidRPr="00345F93">
        <w:rPr>
          <w:rFonts w:ascii="Book Antiqua" w:hAnsi="Book Antiqua"/>
        </w:rPr>
        <w:t>,</w:t>
      </w:r>
      <w:r w:rsidRPr="00345F93">
        <w:rPr>
          <w:rFonts w:ascii="Book Antiqua" w:hAnsi="Book Antiqua"/>
        </w:rPr>
        <w:t xml:space="preserve"> </w:t>
      </w:r>
      <w:r w:rsidR="00D07B4C" w:rsidRPr="00345F93">
        <w:rPr>
          <w:rFonts w:ascii="Book Antiqua" w:hAnsi="Book Antiqua"/>
        </w:rPr>
        <w:t>Cal Advocates</w:t>
      </w:r>
      <w:r w:rsidRPr="00345F93">
        <w:rPr>
          <w:rFonts w:ascii="Book Antiqua" w:hAnsi="Book Antiqua"/>
        </w:rPr>
        <w:t>, Root and Rebound, The Utility Reform Network (TURN), and the Youth Law Center. Communications services companies filing opening comments include Charter Fiberlink CA-CCO, LLC, Time Warner Cable Information Services (California), and Bright House Networks Information Services (California), LLC (Charter), Comcast Phone of California (Comcast), Cox California Telecom, LLC d/b/a Cox Communications, Global Tel*Link Corporation</w:t>
      </w:r>
      <w:r w:rsidR="00130DE4" w:rsidRPr="00345F93">
        <w:rPr>
          <w:rFonts w:ascii="Book Antiqua" w:hAnsi="Book Antiqua"/>
        </w:rPr>
        <w:t xml:space="preserve"> (GTL)</w:t>
      </w:r>
      <w:r w:rsidRPr="00345F93">
        <w:rPr>
          <w:rFonts w:ascii="Book Antiqua" w:hAnsi="Book Antiqua"/>
        </w:rPr>
        <w:t xml:space="preserve">, Inmate Calling Solutions, LLC d/b/a IC Solutions, Network Communications International Corp. d/b/a NCIC Inmate </w:t>
      </w:r>
      <w:r w:rsidR="00366BEF" w:rsidRPr="00345F93">
        <w:rPr>
          <w:rFonts w:ascii="Book Antiqua" w:hAnsi="Book Antiqua"/>
        </w:rPr>
        <w:t xml:space="preserve">Communications, and Securus Technologies, LLC (Securus). </w:t>
      </w:r>
      <w:r w:rsidR="003A18DD">
        <w:rPr>
          <w:rFonts w:ascii="Book Antiqua" w:hAnsi="Book Antiqua"/>
        </w:rPr>
        <w:t xml:space="preserve"> </w:t>
      </w:r>
      <w:r w:rsidR="00366BEF" w:rsidRPr="00345F93">
        <w:rPr>
          <w:rFonts w:ascii="Book Antiqua" w:hAnsi="Book Antiqua"/>
        </w:rPr>
        <w:t xml:space="preserve">Parties filing reply comments on the Order Instituting Rulemaking include </w:t>
      </w:r>
      <w:r w:rsidR="006F50DA">
        <w:rPr>
          <w:rFonts w:ascii="Book Antiqua" w:hAnsi="Book Antiqua"/>
        </w:rPr>
        <w:t xml:space="preserve">Cal </w:t>
      </w:r>
      <w:r w:rsidR="00366BEF" w:rsidRPr="00345F93">
        <w:rPr>
          <w:rFonts w:ascii="Book Antiqua" w:hAnsi="Book Antiqua"/>
        </w:rPr>
        <w:t>Advocates, Medial Alliance, Prison Policy Institute, Inc., TURN, the Center for Accessible Technology, and AT&amp;T Corporation (Pacific Bell Telephone Company d/b/a AT&amp;T California, AT&amp;T Corp., Teleport Communications America, LLC, and SBC Long Distance, LCC, d/b/a AT&amp;T Long Distance).</w:t>
      </w:r>
    </w:p>
  </w:footnote>
  <w:footnote w:id="36">
    <w:p w14:paraId="33B305B6" w14:textId="31405A33" w:rsidR="00DD7874" w:rsidRPr="00345F93" w:rsidRDefault="00DD7874">
      <w:pPr>
        <w:pStyle w:val="FootnoteText"/>
        <w:rPr>
          <w:rFonts w:ascii="Book Antiqua" w:eastAsiaTheme="minorHAnsi" w:hAnsi="Book Antiqua" w:cstheme="minorBidi"/>
        </w:rPr>
      </w:pPr>
      <w:r w:rsidRPr="00345F93">
        <w:rPr>
          <w:rStyle w:val="FootnoteReference"/>
          <w:rFonts w:ascii="Book Antiqua" w:hAnsi="Book Antiqua"/>
        </w:rPr>
        <w:footnoteRef/>
      </w:r>
      <w:r w:rsidRPr="00345F93">
        <w:rPr>
          <w:rFonts w:ascii="Book Antiqua" w:hAnsi="Book Antiqua"/>
        </w:rPr>
        <w:t xml:space="preserve"> Parties filing </w:t>
      </w:r>
      <w:r w:rsidR="00FC7E9B" w:rsidRPr="00345F93">
        <w:rPr>
          <w:rFonts w:ascii="Book Antiqua" w:hAnsi="Book Antiqua"/>
        </w:rPr>
        <w:t xml:space="preserve">opening </w:t>
      </w:r>
      <w:r w:rsidRPr="00345F93">
        <w:rPr>
          <w:rFonts w:ascii="Book Antiqua" w:hAnsi="Book Antiqua"/>
        </w:rPr>
        <w:t xml:space="preserve">comments included </w:t>
      </w:r>
      <w:r w:rsidR="00E37424" w:rsidRPr="00345F93">
        <w:rPr>
          <w:rFonts w:ascii="Book Antiqua" w:hAnsi="Book Antiqua"/>
        </w:rPr>
        <w:t xml:space="preserve">NCIC </w:t>
      </w:r>
      <w:r w:rsidR="00474AB8" w:rsidRPr="00345F93">
        <w:rPr>
          <w:rFonts w:ascii="Book Antiqua" w:hAnsi="Book Antiqua"/>
        </w:rPr>
        <w:t>Inmate Communications, Securus</w:t>
      </w:r>
      <w:r w:rsidR="00130DE4" w:rsidRPr="00345F93">
        <w:rPr>
          <w:rFonts w:ascii="Book Antiqua" w:hAnsi="Book Antiqua"/>
        </w:rPr>
        <w:t xml:space="preserve">, GTL, Pay </w:t>
      </w:r>
      <w:r w:rsidR="0014147A" w:rsidRPr="00345F93">
        <w:rPr>
          <w:rFonts w:ascii="Book Antiqua" w:hAnsi="Book Antiqua"/>
        </w:rPr>
        <w:t xml:space="preserve">Tel Communications Inc. (Pay Tel), </w:t>
      </w:r>
      <w:r w:rsidR="001E0C63" w:rsidRPr="00345F93">
        <w:rPr>
          <w:rFonts w:ascii="Book Antiqua" w:eastAsiaTheme="minorHAnsi" w:hAnsi="Book Antiqua" w:cstheme="minorBidi"/>
        </w:rPr>
        <w:t>MCI Communications Services LLC and MCI Metro Access Transmission Services Corp. (Verizon)</w:t>
      </w:r>
      <w:r w:rsidR="001E0C63" w:rsidRPr="00345F93">
        <w:rPr>
          <w:rFonts w:ascii="Book Antiqua" w:hAnsi="Book Antiqua"/>
        </w:rPr>
        <w:t xml:space="preserve">, </w:t>
      </w:r>
      <w:r w:rsidR="005850C0" w:rsidRPr="00345F93">
        <w:rPr>
          <w:rFonts w:ascii="Book Antiqua" w:hAnsi="Book Antiqua"/>
        </w:rPr>
        <w:t xml:space="preserve">the </w:t>
      </w:r>
      <w:r w:rsidR="001E0C63" w:rsidRPr="00345F93">
        <w:rPr>
          <w:rFonts w:ascii="Book Antiqua" w:hAnsi="Book Antiqua"/>
        </w:rPr>
        <w:t xml:space="preserve">Justice </w:t>
      </w:r>
      <w:r w:rsidR="00A4201D" w:rsidRPr="00345F93">
        <w:rPr>
          <w:rFonts w:ascii="Book Antiqua" w:hAnsi="Book Antiqua"/>
        </w:rPr>
        <w:t>Coalition</w:t>
      </w:r>
      <w:r w:rsidR="005850C0" w:rsidRPr="00345F93">
        <w:rPr>
          <w:rFonts w:ascii="Book Antiqua" w:hAnsi="Book Antiqua"/>
        </w:rPr>
        <w:t xml:space="preserve">, </w:t>
      </w:r>
      <w:r w:rsidR="00FC7E9B" w:rsidRPr="00396A6B">
        <w:rPr>
          <w:rFonts w:ascii="Book Antiqua" w:hAnsi="Book Antiqua"/>
        </w:rPr>
        <w:t xml:space="preserve">Pay Tel, </w:t>
      </w:r>
      <w:r w:rsidR="005850C0" w:rsidRPr="00396A6B">
        <w:rPr>
          <w:rFonts w:ascii="Book Antiqua" w:hAnsi="Book Antiqua"/>
        </w:rPr>
        <w:t>TURN</w:t>
      </w:r>
      <w:r w:rsidR="005850C0" w:rsidRPr="00345F93">
        <w:rPr>
          <w:rFonts w:ascii="Book Antiqua" w:hAnsi="Book Antiqua"/>
        </w:rPr>
        <w:t xml:space="preserve">, </w:t>
      </w:r>
      <w:r w:rsidR="00D07B4C" w:rsidRPr="00345F93">
        <w:rPr>
          <w:rFonts w:ascii="Book Antiqua" w:hAnsi="Book Antiqua"/>
        </w:rPr>
        <w:t xml:space="preserve">Cal Advocates, </w:t>
      </w:r>
      <w:r w:rsidR="005F238E" w:rsidRPr="00345F93">
        <w:rPr>
          <w:rFonts w:ascii="Book Antiqua" w:hAnsi="Book Antiqua"/>
        </w:rPr>
        <w:t xml:space="preserve">PPI, </w:t>
      </w:r>
      <w:r w:rsidR="003C70D3" w:rsidRPr="00345F93">
        <w:rPr>
          <w:rFonts w:ascii="Book Antiqua" w:hAnsi="Book Antiqua"/>
        </w:rPr>
        <w:t xml:space="preserve">and CforAT.  </w:t>
      </w:r>
    </w:p>
  </w:footnote>
  <w:footnote w:id="37">
    <w:p w14:paraId="089B64C8" w14:textId="4CABC079" w:rsidR="00FC7E9B" w:rsidRDefault="00FC7E9B">
      <w:pPr>
        <w:pStyle w:val="FootnoteText"/>
      </w:pPr>
      <w:r w:rsidRPr="00345F93">
        <w:rPr>
          <w:rStyle w:val="FootnoteReference"/>
          <w:rFonts w:ascii="Book Antiqua" w:hAnsi="Book Antiqua"/>
        </w:rPr>
        <w:footnoteRef/>
      </w:r>
      <w:r w:rsidRPr="00345F93">
        <w:rPr>
          <w:rFonts w:ascii="Book Antiqua" w:hAnsi="Book Antiqua"/>
        </w:rPr>
        <w:t xml:space="preserve"> Parties filing reply comments included Securus, TURN, Cal Advocates, PPI, CforAT</w:t>
      </w:r>
      <w:r w:rsidR="00D57C67" w:rsidRPr="00345F93">
        <w:rPr>
          <w:rFonts w:ascii="Book Antiqua" w:hAnsi="Book Antiqua"/>
        </w:rPr>
        <w:t>, and the Justice Coalition.</w:t>
      </w:r>
      <w:r w:rsidR="00D57C67">
        <w:t xml:space="preserve"> </w:t>
      </w:r>
    </w:p>
  </w:footnote>
  <w:footnote w:id="38">
    <w:p w14:paraId="0CEBDC1B" w14:textId="2E3587CF" w:rsidR="008208C5" w:rsidRPr="00E750D0" w:rsidRDefault="008208C5" w:rsidP="008208C5">
      <w:pPr>
        <w:pStyle w:val="FootnoteText"/>
        <w:rPr>
          <w:rFonts w:ascii="Book Antiqua" w:hAnsi="Book Antiqua"/>
        </w:rPr>
      </w:pPr>
      <w:r w:rsidRPr="00E750D0">
        <w:rPr>
          <w:rStyle w:val="FootnoteReference"/>
          <w:rFonts w:ascii="Book Antiqua" w:hAnsi="Book Antiqua"/>
        </w:rPr>
        <w:footnoteRef/>
      </w:r>
      <w:r w:rsidRPr="00E750D0">
        <w:rPr>
          <w:rFonts w:ascii="Book Antiqua" w:hAnsi="Book Antiqua"/>
        </w:rPr>
        <w:t xml:space="preserve"> </w:t>
      </w:r>
      <w:r w:rsidR="00E750D0" w:rsidRPr="00E750D0">
        <w:rPr>
          <w:rFonts w:ascii="Book Antiqua" w:hAnsi="Book Antiqua"/>
        </w:rPr>
        <w:t>As of this writing, p</w:t>
      </w:r>
      <w:r w:rsidRPr="00E750D0">
        <w:rPr>
          <w:rFonts w:ascii="Book Antiqua" w:hAnsi="Book Antiqua"/>
        </w:rPr>
        <w:t xml:space="preserve">ublic </w:t>
      </w:r>
      <w:r w:rsidR="00E750D0" w:rsidRPr="00E750D0">
        <w:rPr>
          <w:rFonts w:ascii="Book Antiqua" w:hAnsi="Book Antiqua"/>
        </w:rPr>
        <w:t>c</w:t>
      </w:r>
      <w:r w:rsidRPr="00E750D0">
        <w:rPr>
          <w:rFonts w:ascii="Book Antiqua" w:hAnsi="Book Antiqua"/>
        </w:rPr>
        <w:t xml:space="preserve">omments posted to the docket card of R.20-10-002 can be viewed here:  </w:t>
      </w:r>
      <w:hyperlink r:id="rId15" w:history="1">
        <w:r w:rsidR="001D13F1" w:rsidRPr="00E750D0">
          <w:rPr>
            <w:rStyle w:val="Hyperlink"/>
            <w:rFonts w:ascii="Book Antiqua" w:hAnsi="Book Antiqua"/>
          </w:rPr>
          <w:t>https://apps.cpuc.ca.gov/apex/f?p=401:68:0::NO</w:t>
        </w:r>
      </w:hyperlink>
      <w:r w:rsidR="001D13F1" w:rsidRPr="00E750D0">
        <w:rPr>
          <w:rFonts w:ascii="Book Antiqua" w:hAnsi="Book Antiqua"/>
        </w:rPr>
        <w:t xml:space="preserve">::: </w:t>
      </w:r>
    </w:p>
  </w:footnote>
  <w:footnote w:id="39">
    <w:p w14:paraId="4B89FCAA" w14:textId="2B621DBE" w:rsidR="006B5444" w:rsidRPr="000D2A5D" w:rsidRDefault="006B5444">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00060C67" w:rsidRPr="000D2A5D">
        <w:rPr>
          <w:rFonts w:ascii="Book Antiqua" w:hAnsi="Book Antiqua"/>
        </w:rPr>
        <w:t>Comments submitted to public comment portal.</w:t>
      </w:r>
    </w:p>
  </w:footnote>
  <w:footnote w:id="40">
    <w:p w14:paraId="5B40D54A" w14:textId="207447DD" w:rsidR="00BE21CE" w:rsidRPr="000D2A5D" w:rsidRDefault="00BE21CE">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006F4FA9" w:rsidRPr="000D2A5D">
        <w:rPr>
          <w:rFonts w:ascii="Book Antiqua" w:hAnsi="Book Antiqua"/>
        </w:rPr>
        <w:t>Public comment on R.20-10-002 Public Comment Portal, March 26, 2021</w:t>
      </w:r>
      <w:r w:rsidR="00AD00F2" w:rsidRPr="000D2A5D">
        <w:rPr>
          <w:rFonts w:ascii="Book Antiqua" w:hAnsi="Book Antiqua"/>
        </w:rPr>
        <w:t>.</w:t>
      </w:r>
    </w:p>
  </w:footnote>
  <w:footnote w:id="41">
    <w:p w14:paraId="067CBEDA" w14:textId="0FF9667C" w:rsidR="00CE51A0" w:rsidRPr="000D2A5D" w:rsidRDefault="00CE51A0">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00AD00F2" w:rsidRPr="000D2A5D">
        <w:rPr>
          <w:rFonts w:ascii="Book Antiqua" w:hAnsi="Book Antiqua"/>
          <w:i/>
          <w:iCs/>
        </w:rPr>
        <w:t>Ibid.</w:t>
      </w:r>
      <w:r w:rsidR="00AD00F2" w:rsidRPr="000D2A5D">
        <w:rPr>
          <w:rFonts w:ascii="Book Antiqua" w:hAnsi="Book Antiqua"/>
        </w:rPr>
        <w:t xml:space="preserve"> </w:t>
      </w:r>
    </w:p>
  </w:footnote>
  <w:footnote w:id="42">
    <w:p w14:paraId="20C7072A" w14:textId="289EAC9E" w:rsidR="00767323" w:rsidRDefault="00767323">
      <w:pPr>
        <w:pStyle w:val="FootnoteText"/>
      </w:pPr>
      <w:r w:rsidRPr="000D2A5D">
        <w:rPr>
          <w:rStyle w:val="FootnoteReference"/>
          <w:rFonts w:ascii="Book Antiqua" w:hAnsi="Book Antiqua"/>
        </w:rPr>
        <w:footnoteRef/>
      </w:r>
      <w:r w:rsidRPr="000D2A5D">
        <w:rPr>
          <w:rFonts w:ascii="Book Antiqua" w:hAnsi="Book Antiqua"/>
        </w:rPr>
        <w:t xml:space="preserve"> </w:t>
      </w:r>
      <w:r w:rsidR="006745DA" w:rsidRPr="000D2A5D">
        <w:rPr>
          <w:rFonts w:ascii="Book Antiqua" w:hAnsi="Book Antiqua"/>
          <w:i/>
          <w:iCs/>
        </w:rPr>
        <w:t>Id.,</w:t>
      </w:r>
      <w:r w:rsidR="006745DA" w:rsidRPr="000D2A5D">
        <w:rPr>
          <w:rFonts w:ascii="Book Antiqua" w:hAnsi="Book Antiqua"/>
        </w:rPr>
        <w:t xml:space="preserve"> April 28, 2021.</w:t>
      </w:r>
      <w:r w:rsidR="006745DA">
        <w:t xml:space="preserve"> </w:t>
      </w:r>
    </w:p>
  </w:footnote>
  <w:footnote w:id="43">
    <w:p w14:paraId="578A568E" w14:textId="32045DD6" w:rsidR="006745DA" w:rsidRDefault="006745DA">
      <w:pPr>
        <w:pStyle w:val="FootnoteText"/>
      </w:pPr>
      <w:r>
        <w:rPr>
          <w:rStyle w:val="FootnoteReference"/>
        </w:rPr>
        <w:footnoteRef/>
      </w:r>
      <w:r>
        <w:t xml:space="preserve"> </w:t>
      </w:r>
      <w:r w:rsidR="0032722C" w:rsidRPr="00472730">
        <w:rPr>
          <w:i/>
          <w:iCs/>
        </w:rPr>
        <w:t>Id</w:t>
      </w:r>
      <w:r w:rsidR="0032722C">
        <w:t>., April 21, 2021.</w:t>
      </w:r>
    </w:p>
  </w:footnote>
  <w:footnote w:id="44">
    <w:p w14:paraId="06DCA4C3" w14:textId="1FDD9998" w:rsidR="0032722C" w:rsidRDefault="0032722C">
      <w:pPr>
        <w:pStyle w:val="FootnoteText"/>
      </w:pPr>
      <w:r>
        <w:rPr>
          <w:rStyle w:val="FootnoteReference"/>
        </w:rPr>
        <w:footnoteRef/>
      </w:r>
      <w:r>
        <w:t xml:space="preserve"> </w:t>
      </w:r>
      <w:r w:rsidR="003B7477" w:rsidRPr="00472730">
        <w:rPr>
          <w:i/>
        </w:rPr>
        <w:t>Id.</w:t>
      </w:r>
      <w:r w:rsidR="003B7477">
        <w:t xml:space="preserve"> April </w:t>
      </w:r>
      <w:r w:rsidR="004A3581">
        <w:t>1, 2021.</w:t>
      </w:r>
    </w:p>
  </w:footnote>
  <w:footnote w:id="45">
    <w:p w14:paraId="61EC4E54" w14:textId="2D39B2AD" w:rsidR="00FF6FF6" w:rsidRDefault="00FF6FF6">
      <w:pPr>
        <w:pStyle w:val="FootnoteText"/>
      </w:pPr>
      <w:r>
        <w:rPr>
          <w:rStyle w:val="FootnoteReference"/>
        </w:rPr>
        <w:footnoteRef/>
      </w:r>
      <w:r>
        <w:t xml:space="preserve"> </w:t>
      </w:r>
      <w:r w:rsidRPr="00472730">
        <w:rPr>
          <w:i/>
        </w:rPr>
        <w:t xml:space="preserve">Id. </w:t>
      </w:r>
      <w:r>
        <w:t xml:space="preserve">April </w:t>
      </w:r>
      <w:r w:rsidR="00BD1F2D">
        <w:t>29, 2021.</w:t>
      </w:r>
    </w:p>
  </w:footnote>
  <w:footnote w:id="46">
    <w:p w14:paraId="5DC1184D" w14:textId="2F0645DE" w:rsidR="00141425" w:rsidRPr="00472730" w:rsidRDefault="00141425">
      <w:pPr>
        <w:pStyle w:val="FootnoteText"/>
        <w:rPr>
          <w:rFonts w:ascii="Book Antiqua" w:hAnsi="Book Antiqua"/>
        </w:rPr>
      </w:pPr>
      <w:r w:rsidRPr="00472730">
        <w:rPr>
          <w:rStyle w:val="FootnoteReference"/>
          <w:rFonts w:ascii="Book Antiqua" w:hAnsi="Book Antiqua"/>
        </w:rPr>
        <w:footnoteRef/>
      </w:r>
      <w:r w:rsidRPr="00472730">
        <w:rPr>
          <w:rFonts w:ascii="Book Antiqua" w:hAnsi="Book Antiqua"/>
        </w:rPr>
        <w:t xml:space="preserve"> </w:t>
      </w:r>
      <w:r w:rsidR="002C3170" w:rsidRPr="00472730">
        <w:rPr>
          <w:rFonts w:ascii="Book Antiqua" w:hAnsi="Book Antiqua"/>
          <w:i/>
        </w:rPr>
        <w:t>Id.,</w:t>
      </w:r>
      <w:r w:rsidR="002C3170" w:rsidRPr="00472730">
        <w:rPr>
          <w:rFonts w:ascii="Book Antiqua" w:hAnsi="Book Antiqua"/>
        </w:rPr>
        <w:t xml:space="preserve"> </w:t>
      </w:r>
      <w:r w:rsidR="00AA61D7" w:rsidRPr="00472730">
        <w:rPr>
          <w:rFonts w:ascii="Book Antiqua" w:hAnsi="Book Antiqua"/>
        </w:rPr>
        <w:t xml:space="preserve">April 28, 2021. </w:t>
      </w:r>
    </w:p>
  </w:footnote>
  <w:footnote w:id="47">
    <w:p w14:paraId="57352DFE" w14:textId="20721D66" w:rsidR="00AA61D7" w:rsidRPr="00472730" w:rsidRDefault="00AA61D7">
      <w:pPr>
        <w:pStyle w:val="FootnoteText"/>
        <w:rPr>
          <w:rFonts w:ascii="Book Antiqua" w:hAnsi="Book Antiqua"/>
        </w:rPr>
      </w:pPr>
      <w:r w:rsidRPr="00472730">
        <w:rPr>
          <w:rStyle w:val="FootnoteReference"/>
          <w:rFonts w:ascii="Book Antiqua" w:hAnsi="Book Antiqua"/>
        </w:rPr>
        <w:footnoteRef/>
      </w:r>
      <w:r w:rsidRPr="00472730">
        <w:rPr>
          <w:rFonts w:ascii="Book Antiqua" w:hAnsi="Book Antiqua"/>
        </w:rPr>
        <w:t xml:space="preserve"> </w:t>
      </w:r>
      <w:r w:rsidR="00D03BCD" w:rsidRPr="00472730">
        <w:rPr>
          <w:rFonts w:ascii="Book Antiqua" w:hAnsi="Book Antiqua"/>
          <w:i/>
        </w:rPr>
        <w:t>Id.,</w:t>
      </w:r>
      <w:r w:rsidR="00D03BCD" w:rsidRPr="00472730">
        <w:rPr>
          <w:rFonts w:ascii="Book Antiqua" w:hAnsi="Book Antiqua"/>
        </w:rPr>
        <w:t xml:space="preserve"> April 29, 2021.</w:t>
      </w:r>
    </w:p>
  </w:footnote>
  <w:footnote w:id="48">
    <w:p w14:paraId="04239113" w14:textId="3159F557" w:rsidR="00594ECA" w:rsidRPr="00472730" w:rsidRDefault="00594ECA">
      <w:pPr>
        <w:pStyle w:val="FootnoteText"/>
        <w:rPr>
          <w:rFonts w:ascii="Book Antiqua" w:hAnsi="Book Antiqua"/>
        </w:rPr>
      </w:pPr>
      <w:r w:rsidRPr="00472730">
        <w:rPr>
          <w:rStyle w:val="FootnoteReference"/>
          <w:rFonts w:ascii="Book Antiqua" w:hAnsi="Book Antiqua"/>
        </w:rPr>
        <w:footnoteRef/>
      </w:r>
      <w:r w:rsidRPr="00472730">
        <w:rPr>
          <w:rFonts w:ascii="Book Antiqua" w:hAnsi="Book Antiqua"/>
        </w:rPr>
        <w:t xml:space="preserve"> </w:t>
      </w:r>
      <w:r w:rsidR="00F36077" w:rsidRPr="00472730">
        <w:rPr>
          <w:rFonts w:ascii="Book Antiqua" w:hAnsi="Book Antiqua"/>
          <w:i/>
        </w:rPr>
        <w:t>Id</w:t>
      </w:r>
      <w:r w:rsidR="00F36077" w:rsidRPr="00472730">
        <w:rPr>
          <w:rFonts w:ascii="Book Antiqua" w:hAnsi="Book Antiqua"/>
        </w:rPr>
        <w:t xml:space="preserve">. April 28, 2021. </w:t>
      </w:r>
    </w:p>
  </w:footnote>
  <w:footnote w:id="49">
    <w:p w14:paraId="712D7758" w14:textId="674DB256" w:rsidR="001807BF" w:rsidRPr="00472730" w:rsidRDefault="001807BF">
      <w:pPr>
        <w:pStyle w:val="FootnoteText"/>
        <w:rPr>
          <w:rFonts w:ascii="Book Antiqua" w:hAnsi="Book Antiqua"/>
        </w:rPr>
      </w:pPr>
      <w:r w:rsidRPr="00472730">
        <w:rPr>
          <w:rStyle w:val="FootnoteReference"/>
          <w:rFonts w:ascii="Book Antiqua" w:hAnsi="Book Antiqua"/>
        </w:rPr>
        <w:footnoteRef/>
      </w:r>
      <w:r w:rsidRPr="00472730">
        <w:rPr>
          <w:rFonts w:ascii="Book Antiqua" w:hAnsi="Book Antiqua"/>
        </w:rPr>
        <w:t xml:space="preserve"> </w:t>
      </w:r>
      <w:r w:rsidRPr="00472730">
        <w:rPr>
          <w:rFonts w:ascii="Book Antiqua" w:hAnsi="Book Antiqua"/>
          <w:i/>
        </w:rPr>
        <w:t>Id</w:t>
      </w:r>
      <w:r w:rsidRPr="00472730">
        <w:rPr>
          <w:rFonts w:ascii="Book Antiqua" w:hAnsi="Book Antiqua"/>
        </w:rPr>
        <w:t xml:space="preserve">., April </w:t>
      </w:r>
      <w:r w:rsidR="00101469" w:rsidRPr="00472730">
        <w:rPr>
          <w:rFonts w:ascii="Book Antiqua" w:hAnsi="Book Antiqua"/>
        </w:rPr>
        <w:t xml:space="preserve">13, 2021. </w:t>
      </w:r>
    </w:p>
  </w:footnote>
  <w:footnote w:id="50">
    <w:p w14:paraId="1DFF8949" w14:textId="3D42C46A" w:rsidR="00EC5EBA" w:rsidRPr="00472730" w:rsidRDefault="00EC5EBA">
      <w:pPr>
        <w:pStyle w:val="FootnoteText"/>
        <w:rPr>
          <w:rFonts w:ascii="Book Antiqua" w:hAnsi="Book Antiqua"/>
        </w:rPr>
      </w:pPr>
      <w:r w:rsidRPr="00472730">
        <w:rPr>
          <w:rStyle w:val="FootnoteReference"/>
          <w:rFonts w:ascii="Book Antiqua" w:hAnsi="Book Antiqua"/>
        </w:rPr>
        <w:footnoteRef/>
      </w:r>
      <w:r w:rsidRPr="00472730">
        <w:rPr>
          <w:rFonts w:ascii="Book Antiqua" w:hAnsi="Book Antiqua"/>
        </w:rPr>
        <w:t xml:space="preserve"> R</w:t>
      </w:r>
      <w:r w:rsidR="00E67FED" w:rsidRPr="00472730">
        <w:rPr>
          <w:rFonts w:ascii="Book Antiqua" w:hAnsi="Book Antiqua"/>
        </w:rPr>
        <w:t>eport</w:t>
      </w:r>
      <w:r w:rsidR="00362533" w:rsidRPr="00472730">
        <w:rPr>
          <w:rFonts w:ascii="Book Antiqua" w:hAnsi="Book Antiqua"/>
        </w:rPr>
        <w:t>er’s Transcript (RT)</w:t>
      </w:r>
      <w:r w:rsidR="0056585C" w:rsidRPr="00472730">
        <w:rPr>
          <w:rFonts w:ascii="Book Antiqua" w:hAnsi="Book Antiqua"/>
        </w:rPr>
        <w:t xml:space="preserve"> </w:t>
      </w:r>
      <w:r w:rsidR="00920809" w:rsidRPr="00472730">
        <w:rPr>
          <w:rFonts w:ascii="Book Antiqua" w:hAnsi="Book Antiqua"/>
        </w:rPr>
        <w:t>188</w:t>
      </w:r>
      <w:r w:rsidR="007A63F8" w:rsidRPr="00472730">
        <w:rPr>
          <w:rFonts w:ascii="Book Antiqua" w:hAnsi="Book Antiqua"/>
        </w:rPr>
        <w:t>:</w:t>
      </w:r>
      <w:r w:rsidR="00920809" w:rsidRPr="00472730">
        <w:rPr>
          <w:rFonts w:ascii="Book Antiqua" w:hAnsi="Book Antiqua"/>
        </w:rPr>
        <w:t xml:space="preserve">12. </w:t>
      </w:r>
    </w:p>
  </w:footnote>
  <w:footnote w:id="51">
    <w:p w14:paraId="07AD6C87" w14:textId="1B131F6D" w:rsidR="00D8547C" w:rsidRDefault="00D8547C">
      <w:pPr>
        <w:pStyle w:val="FootnoteText"/>
      </w:pPr>
      <w:r w:rsidRPr="00472730">
        <w:rPr>
          <w:rStyle w:val="FootnoteReference"/>
          <w:rFonts w:ascii="Book Antiqua" w:hAnsi="Book Antiqua"/>
        </w:rPr>
        <w:footnoteRef/>
      </w:r>
      <w:r w:rsidRPr="00472730">
        <w:rPr>
          <w:rFonts w:ascii="Book Antiqua" w:hAnsi="Book Antiqua"/>
        </w:rPr>
        <w:t xml:space="preserve"> R</w:t>
      </w:r>
      <w:r w:rsidR="007A63F8" w:rsidRPr="00472730">
        <w:rPr>
          <w:rFonts w:ascii="Book Antiqua" w:hAnsi="Book Antiqua"/>
        </w:rPr>
        <w:t>T</w:t>
      </w:r>
      <w:r w:rsidRPr="00472730">
        <w:rPr>
          <w:rFonts w:ascii="Book Antiqua" w:hAnsi="Book Antiqua"/>
        </w:rPr>
        <w:t xml:space="preserve"> 196</w:t>
      </w:r>
      <w:r w:rsidR="007A63F8" w:rsidRPr="00472730">
        <w:rPr>
          <w:rFonts w:ascii="Book Antiqua" w:hAnsi="Book Antiqua"/>
        </w:rPr>
        <w:t>:</w:t>
      </w:r>
      <w:r w:rsidRPr="00472730">
        <w:rPr>
          <w:rFonts w:ascii="Book Antiqua" w:hAnsi="Book Antiqua"/>
        </w:rPr>
        <w:t xml:space="preserve"> 11.</w:t>
      </w:r>
      <w:r>
        <w:t xml:space="preserve"> </w:t>
      </w:r>
    </w:p>
  </w:footnote>
  <w:footnote w:id="52">
    <w:p w14:paraId="4244C7B4" w14:textId="732FA0CC" w:rsidR="00D8547C" w:rsidRDefault="00D8547C">
      <w:pPr>
        <w:pStyle w:val="FootnoteText"/>
      </w:pPr>
      <w:r>
        <w:rPr>
          <w:rStyle w:val="FootnoteReference"/>
        </w:rPr>
        <w:footnoteRef/>
      </w:r>
      <w:r>
        <w:t xml:space="preserve"> </w:t>
      </w:r>
      <w:r w:rsidR="0025442B">
        <w:t>R</w:t>
      </w:r>
      <w:r w:rsidR="007A63F8">
        <w:t>T</w:t>
      </w:r>
      <w:r w:rsidR="0025442B">
        <w:t xml:space="preserve"> 206</w:t>
      </w:r>
      <w:r w:rsidR="007A63F8">
        <w:t>:</w:t>
      </w:r>
      <w:r w:rsidR="0025442B">
        <w:t xml:space="preserve"> 12. </w:t>
      </w:r>
    </w:p>
  </w:footnote>
  <w:footnote w:id="53">
    <w:p w14:paraId="66CF4726" w14:textId="3E61C129" w:rsidR="0025442B" w:rsidRDefault="0025442B">
      <w:pPr>
        <w:pStyle w:val="FootnoteText"/>
      </w:pPr>
      <w:r>
        <w:rPr>
          <w:rStyle w:val="FootnoteReference"/>
        </w:rPr>
        <w:footnoteRef/>
      </w:r>
      <w:r>
        <w:t xml:space="preserve"> </w:t>
      </w:r>
      <w:r w:rsidR="00274BC1">
        <w:t>R</w:t>
      </w:r>
      <w:r w:rsidR="007A63F8">
        <w:t>T</w:t>
      </w:r>
      <w:r w:rsidR="00274BC1">
        <w:t xml:space="preserve"> </w:t>
      </w:r>
      <w:r w:rsidR="00D05459">
        <w:t>239</w:t>
      </w:r>
      <w:r w:rsidR="007A63F8">
        <w:t>:</w:t>
      </w:r>
      <w:r w:rsidR="00D05459">
        <w:t>24</w:t>
      </w:r>
      <w:r w:rsidR="00695AC3">
        <w:t>.</w:t>
      </w:r>
    </w:p>
  </w:footnote>
  <w:footnote w:id="54">
    <w:p w14:paraId="7A0EF48E" w14:textId="75302B74" w:rsidR="00452258" w:rsidRDefault="00452258">
      <w:pPr>
        <w:pStyle w:val="FootnoteText"/>
      </w:pPr>
      <w:r>
        <w:rPr>
          <w:rStyle w:val="FootnoteReference"/>
        </w:rPr>
        <w:footnoteRef/>
      </w:r>
      <w:r>
        <w:t xml:space="preserve"> R</w:t>
      </w:r>
      <w:r w:rsidR="007A63F8">
        <w:t>T</w:t>
      </w:r>
      <w:r>
        <w:t xml:space="preserve"> 203</w:t>
      </w:r>
      <w:r w:rsidR="007A63F8">
        <w:t>:</w:t>
      </w:r>
      <w:r>
        <w:t>8.</w:t>
      </w:r>
    </w:p>
  </w:footnote>
  <w:footnote w:id="55">
    <w:p w14:paraId="6D6B7864" w14:textId="1177FFEB" w:rsidR="005B6E3C" w:rsidRDefault="005B6E3C">
      <w:pPr>
        <w:pStyle w:val="FootnoteText"/>
      </w:pPr>
      <w:r>
        <w:rPr>
          <w:rStyle w:val="FootnoteReference"/>
        </w:rPr>
        <w:footnoteRef/>
      </w:r>
      <w:r>
        <w:t xml:space="preserve"> R</w:t>
      </w:r>
      <w:r w:rsidR="007D5745">
        <w:t>T</w:t>
      </w:r>
      <w:r>
        <w:t xml:space="preserve"> 73</w:t>
      </w:r>
      <w:r w:rsidR="007D5745">
        <w:t>:</w:t>
      </w:r>
      <w:r>
        <w:t>15</w:t>
      </w:r>
      <w:r w:rsidR="00D91347">
        <w:t xml:space="preserve">, </w:t>
      </w:r>
      <w:r w:rsidR="0057126C">
        <w:t>119</w:t>
      </w:r>
      <w:r w:rsidR="00476ED1">
        <w:t>:</w:t>
      </w:r>
      <w:r w:rsidR="0057126C">
        <w:t>9-11</w:t>
      </w:r>
      <w:r w:rsidR="00476ED1">
        <w:t xml:space="preserve">, and </w:t>
      </w:r>
      <w:r w:rsidR="00B86F6A">
        <w:t>233</w:t>
      </w:r>
      <w:r w:rsidR="00476ED1">
        <w:t>:</w:t>
      </w:r>
      <w:r w:rsidR="00B93315">
        <w:t>6-11</w:t>
      </w:r>
      <w:r w:rsidR="00476ED1">
        <w:t>.</w:t>
      </w:r>
      <w:r w:rsidR="00B93315">
        <w:t xml:space="preserve"> </w:t>
      </w:r>
    </w:p>
  </w:footnote>
  <w:footnote w:id="56">
    <w:p w14:paraId="603DBB81" w14:textId="7A2854AC" w:rsidR="007660F4" w:rsidRDefault="007660F4">
      <w:pPr>
        <w:pStyle w:val="FootnoteText"/>
      </w:pPr>
      <w:r>
        <w:rPr>
          <w:rStyle w:val="FootnoteReference"/>
        </w:rPr>
        <w:footnoteRef/>
      </w:r>
      <w:r>
        <w:t xml:space="preserve"> </w:t>
      </w:r>
      <w:r w:rsidR="00011DBC">
        <w:t>R</w:t>
      </w:r>
      <w:r w:rsidR="00476ED1">
        <w:t xml:space="preserve">T </w:t>
      </w:r>
      <w:r w:rsidR="00011DBC">
        <w:t>230</w:t>
      </w:r>
      <w:r w:rsidR="00476ED1">
        <w:t>:</w:t>
      </w:r>
      <w:r w:rsidR="002D0E64">
        <w:t xml:space="preserve">4 </w:t>
      </w:r>
    </w:p>
  </w:footnote>
  <w:footnote w:id="57">
    <w:p w14:paraId="65C7AB6E" w14:textId="25A584B6" w:rsidR="000C1829" w:rsidRDefault="000C1829">
      <w:pPr>
        <w:pStyle w:val="FootnoteText"/>
      </w:pPr>
      <w:r>
        <w:rPr>
          <w:rStyle w:val="FootnoteReference"/>
        </w:rPr>
        <w:footnoteRef/>
      </w:r>
      <w:r>
        <w:t xml:space="preserve"> R</w:t>
      </w:r>
      <w:r w:rsidR="00476ED1">
        <w:t>T</w:t>
      </w:r>
      <w:r w:rsidR="00022227">
        <w:t xml:space="preserve"> 100</w:t>
      </w:r>
      <w:r w:rsidR="00476ED1">
        <w:t>:</w:t>
      </w:r>
      <w:r w:rsidR="0047010C">
        <w:t>16 – 26.</w:t>
      </w:r>
    </w:p>
  </w:footnote>
  <w:footnote w:id="58">
    <w:p w14:paraId="44C43225" w14:textId="7D9F51F0" w:rsidR="000B0B29" w:rsidRDefault="000B0B29">
      <w:pPr>
        <w:pStyle w:val="FootnoteText"/>
      </w:pPr>
      <w:r>
        <w:rPr>
          <w:rStyle w:val="FootnoteReference"/>
        </w:rPr>
        <w:footnoteRef/>
      </w:r>
      <w:r>
        <w:t xml:space="preserve"> R</w:t>
      </w:r>
      <w:r w:rsidR="00476ED1">
        <w:t>T</w:t>
      </w:r>
      <w:r>
        <w:t xml:space="preserve"> 104</w:t>
      </w:r>
      <w:r w:rsidR="00476ED1">
        <w:t>:</w:t>
      </w:r>
      <w:r w:rsidR="008E0195">
        <w:t xml:space="preserve">4 – 14. </w:t>
      </w:r>
    </w:p>
  </w:footnote>
  <w:footnote w:id="59">
    <w:p w14:paraId="141CC446" w14:textId="0F4179AC" w:rsidR="00305D26" w:rsidRPr="00345F93" w:rsidRDefault="00305D26">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00D85511" w:rsidRPr="00345F93">
        <w:rPr>
          <w:rFonts w:ascii="Book Antiqua" w:hAnsi="Book Antiqua"/>
        </w:rPr>
        <w:t xml:space="preserve">Cal. Const., art. XII, §§ 3, 6; </w:t>
      </w:r>
      <w:r w:rsidR="00D85511" w:rsidRPr="00233058">
        <w:rPr>
          <w:rFonts w:ascii="Book Antiqua" w:hAnsi="Book Antiqua"/>
          <w:i/>
          <w:iCs/>
        </w:rPr>
        <w:t>see</w:t>
      </w:r>
      <w:r w:rsidR="00D85511" w:rsidRPr="00345F93">
        <w:rPr>
          <w:rFonts w:ascii="Book Antiqua" w:hAnsi="Book Antiqua"/>
        </w:rPr>
        <w:t xml:space="preserve"> also Pub. Util. Code, § 216, subd. (b) (“Whenever any . . . telephone corporation . . . performs a service for, or delivers a commodity to, the public or any portion thereof for which any compensation or payment whatsoever is received, that . . . telephone corporation . . . is a public utility subject to the jurisdiction, control, and regulation of the commission and the provisions of this part.”).</w:t>
      </w:r>
    </w:p>
  </w:footnote>
  <w:footnote w:id="60">
    <w:p w14:paraId="59D62556" w14:textId="0B45EAE2" w:rsidR="00305D26" w:rsidRPr="00345F93" w:rsidRDefault="00305D26">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006F782E" w:rsidRPr="00345F93">
        <w:rPr>
          <w:rFonts w:ascii="Book Antiqua" w:hAnsi="Book Antiqua"/>
        </w:rPr>
        <w:t>Pub. Util. Code, § 234, subd. a.</w:t>
      </w:r>
    </w:p>
  </w:footnote>
  <w:footnote w:id="61">
    <w:p w14:paraId="62A9DAFB" w14:textId="71EC88A6" w:rsidR="00305D26" w:rsidRPr="00345F93" w:rsidRDefault="00305D26">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00F72BA1" w:rsidRPr="00345F93">
        <w:rPr>
          <w:rFonts w:ascii="Book Antiqua" w:hAnsi="Book Antiqua"/>
        </w:rPr>
        <w:t>Pub. Util. Code, § 233.</w:t>
      </w:r>
    </w:p>
  </w:footnote>
  <w:footnote w:id="62">
    <w:p w14:paraId="7EAE1336" w14:textId="74E0C7EA" w:rsidR="00C63947" w:rsidRPr="00345F93" w:rsidRDefault="00C63947">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Pub. Util. Code </w:t>
      </w:r>
      <w:r w:rsidR="00400E0A" w:rsidRPr="00345F93">
        <w:rPr>
          <w:rFonts w:ascii="Book Antiqua" w:hAnsi="Book Antiqua"/>
        </w:rPr>
        <w:t>§</w:t>
      </w:r>
      <w:r w:rsidR="00E36652" w:rsidRPr="00345F93">
        <w:rPr>
          <w:rFonts w:ascii="Book Antiqua" w:hAnsi="Book Antiqua"/>
        </w:rPr>
        <w:t>§</w:t>
      </w:r>
      <w:r w:rsidR="00400E0A" w:rsidRPr="00345F93">
        <w:rPr>
          <w:rFonts w:ascii="Book Antiqua" w:hAnsi="Book Antiqua"/>
        </w:rPr>
        <w:t xml:space="preserve"> </w:t>
      </w:r>
      <w:r w:rsidR="00E36652" w:rsidRPr="00345F93">
        <w:rPr>
          <w:rFonts w:ascii="Book Antiqua" w:hAnsi="Book Antiqua"/>
        </w:rPr>
        <w:t>451, 454</w:t>
      </w:r>
      <w:r w:rsidR="0030621A" w:rsidRPr="00345F93">
        <w:rPr>
          <w:rFonts w:ascii="Book Antiqua" w:hAnsi="Book Antiqua"/>
        </w:rPr>
        <w:t xml:space="preserve">, subd. </w:t>
      </w:r>
      <w:r w:rsidR="00E36652" w:rsidRPr="00345F93">
        <w:rPr>
          <w:rFonts w:ascii="Book Antiqua" w:hAnsi="Book Antiqua"/>
        </w:rPr>
        <w:t>a.</w:t>
      </w:r>
    </w:p>
  </w:footnote>
  <w:footnote w:id="63">
    <w:p w14:paraId="5554874F" w14:textId="093BF0D8" w:rsidR="00256B4B" w:rsidRDefault="00256B4B">
      <w:pPr>
        <w:pStyle w:val="FootnoteText"/>
      </w:pPr>
      <w:r w:rsidRPr="00345F93">
        <w:rPr>
          <w:rStyle w:val="FootnoteReference"/>
          <w:rFonts w:ascii="Book Antiqua" w:hAnsi="Book Antiqua"/>
        </w:rPr>
        <w:footnoteRef/>
      </w:r>
      <w:r w:rsidRPr="00345F93">
        <w:rPr>
          <w:rFonts w:ascii="Book Antiqua" w:hAnsi="Book Antiqua"/>
        </w:rPr>
        <w:t xml:space="preserve"> Pub. Util. Code § 728.</w:t>
      </w:r>
    </w:p>
  </w:footnote>
  <w:footnote w:id="64">
    <w:p w14:paraId="3F5CAD62" w14:textId="10E9CEF3" w:rsidR="006857D7" w:rsidRPr="00345F93" w:rsidRDefault="006857D7">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006933CF" w:rsidRPr="00345F93">
        <w:rPr>
          <w:rFonts w:ascii="Book Antiqua" w:hAnsi="Book Antiqua"/>
        </w:rPr>
        <w:t xml:space="preserve">Pub. Util. Code, § 701. The Commission may not, of course, exercise its authority where preempted by federal law, </w:t>
      </w:r>
      <w:r w:rsidR="006933CF" w:rsidRPr="00233058">
        <w:rPr>
          <w:rFonts w:ascii="Book Antiqua" w:hAnsi="Book Antiqua"/>
          <w:i/>
          <w:iCs/>
        </w:rPr>
        <w:t>see</w:t>
      </w:r>
      <w:r w:rsidR="006933CF" w:rsidRPr="00345F93">
        <w:rPr>
          <w:rFonts w:ascii="Book Antiqua" w:hAnsi="Book Antiqua"/>
        </w:rPr>
        <w:t xml:space="preserve"> U.S. Const., art. VI, cl. 2, or where to do so would expressly contradict state law, </w:t>
      </w:r>
      <w:r w:rsidR="006933CF" w:rsidRPr="00233058">
        <w:rPr>
          <w:rFonts w:ascii="Book Antiqua" w:hAnsi="Book Antiqua"/>
          <w:i/>
          <w:iCs/>
        </w:rPr>
        <w:t>see</w:t>
      </w:r>
      <w:r w:rsidR="006933CF" w:rsidRPr="00345F93">
        <w:rPr>
          <w:rFonts w:ascii="Book Antiqua" w:hAnsi="Book Antiqua"/>
        </w:rPr>
        <w:t xml:space="preserve"> Assembly v. Pub. Util. Com. (1995) 12 Cal. 4th 90, 103.</w:t>
      </w:r>
    </w:p>
  </w:footnote>
  <w:footnote w:id="65">
    <w:p w14:paraId="720BA54D" w14:textId="77777777" w:rsidR="00666C0C" w:rsidRPr="00345F93" w:rsidRDefault="00666C0C" w:rsidP="00666C0C">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Pub. Util. Code, §§ 1001-1013.</w:t>
      </w:r>
    </w:p>
  </w:footnote>
  <w:footnote w:id="66">
    <w:p w14:paraId="5489CC30" w14:textId="74917E0C" w:rsidR="00640ED8" w:rsidRPr="00345F93" w:rsidRDefault="00640ED8" w:rsidP="00640ED8">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Pr="00345F93">
        <w:rPr>
          <w:rFonts w:ascii="Book Antiqua" w:hAnsi="Book Antiqua"/>
          <w:i/>
          <w:iCs/>
        </w:rPr>
        <w:t xml:space="preserve">See </w:t>
      </w:r>
      <w:r w:rsidRPr="00345F93">
        <w:rPr>
          <w:rFonts w:ascii="Book Antiqua" w:hAnsi="Book Antiqua"/>
        </w:rPr>
        <w:t>D.01-02-025, Order ## 5, 6;</w:t>
      </w:r>
      <w:r>
        <w:rPr>
          <w:rFonts w:ascii="Book Antiqua" w:hAnsi="Book Antiqua"/>
        </w:rPr>
        <w:t xml:space="preserve"> </w:t>
      </w:r>
      <w:r w:rsidRPr="00345F93">
        <w:rPr>
          <w:rFonts w:ascii="Book Antiqua" w:hAnsi="Book Antiqua"/>
        </w:rPr>
        <w:t xml:space="preserve">D.04-05- 049, Order # 3; D.06-06-017, Order ## 1, 3.  </w:t>
      </w:r>
      <w:r w:rsidRPr="00233058">
        <w:rPr>
          <w:rFonts w:ascii="Book Antiqua" w:hAnsi="Book Antiqua"/>
          <w:i/>
          <w:iCs/>
        </w:rPr>
        <w:t>See</w:t>
      </w:r>
      <w:r w:rsidRPr="00345F93">
        <w:rPr>
          <w:rFonts w:ascii="Book Antiqua" w:hAnsi="Book Antiqua"/>
        </w:rPr>
        <w:t xml:space="preserve"> also 47 C.F.R. § 51.903(a). “A Competitive local exchange carrier is any local exchange carrier, as defined in § 51.5, that is not an incumbent local exchange carrier.” </w:t>
      </w:r>
      <w:r w:rsidR="00516016">
        <w:rPr>
          <w:rFonts w:ascii="Book Antiqua" w:hAnsi="Book Antiqua"/>
        </w:rPr>
        <w:t xml:space="preserve"> </w:t>
      </w:r>
      <w:r w:rsidRPr="00345F93">
        <w:rPr>
          <w:rFonts w:ascii="Book Antiqua" w:hAnsi="Book Antiqua"/>
        </w:rPr>
        <w:t>The Commission has previously defined carriers in similar categories, including a competitive local carrier and a nondominant interexchange carrier.</w:t>
      </w:r>
    </w:p>
  </w:footnote>
  <w:footnote w:id="67">
    <w:p w14:paraId="456B2554" w14:textId="56A7D07D" w:rsidR="00640ED8" w:rsidRPr="00345F93" w:rsidRDefault="00640ED8" w:rsidP="00640ED8">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Pr="00516016">
        <w:rPr>
          <w:rFonts w:ascii="Book Antiqua" w:hAnsi="Book Antiqua"/>
          <w:i/>
          <w:iCs/>
        </w:rPr>
        <w:t>See</w:t>
      </w:r>
      <w:r w:rsidRPr="00345F93">
        <w:rPr>
          <w:rFonts w:ascii="Book Antiqua" w:hAnsi="Book Antiqua"/>
        </w:rPr>
        <w:t xml:space="preserve"> D.94-09-065, 1994 Cal. PUC LEXIS 681</w:t>
      </w:r>
      <w:r w:rsidR="008454A2">
        <w:rPr>
          <w:rFonts w:ascii="Book Antiqua" w:hAnsi="Book Antiqua"/>
        </w:rPr>
        <w:t xml:space="preserve"> </w:t>
      </w:r>
      <w:r w:rsidRPr="00345F93">
        <w:rPr>
          <w:rFonts w:ascii="Book Antiqua" w:hAnsi="Book Antiqua"/>
        </w:rPr>
        <w:t>at 50-51.</w:t>
      </w:r>
    </w:p>
  </w:footnote>
  <w:footnote w:id="68">
    <w:p w14:paraId="3A83E3D4" w14:textId="77777777" w:rsidR="00640ED8" w:rsidRPr="00345F93" w:rsidRDefault="00640ED8" w:rsidP="00640ED8">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D.06-08-030, Order 13.  </w:t>
      </w:r>
      <w:r w:rsidRPr="00345F93">
        <w:rPr>
          <w:rFonts w:ascii="Book Antiqua" w:hAnsi="Book Antiqua"/>
          <w:i/>
          <w:iCs/>
        </w:rPr>
        <w:t>See also</w:t>
      </w:r>
      <w:r w:rsidRPr="00345F93">
        <w:rPr>
          <w:rFonts w:ascii="Book Antiqua" w:hAnsi="Book Antiqua"/>
        </w:rPr>
        <w:t xml:space="preserve"> D.07-09-019, Appendix A (Telecommunications Industry Rules), Rule 1.14.</w:t>
      </w:r>
    </w:p>
  </w:footnote>
  <w:footnote w:id="69">
    <w:p w14:paraId="70C80D76" w14:textId="3A4F9559" w:rsidR="00640ED8" w:rsidRPr="00345F93" w:rsidRDefault="00640ED8" w:rsidP="00640ED8">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Pr="00345F93">
        <w:rPr>
          <w:rFonts w:ascii="Book Antiqua" w:hAnsi="Book Antiqua"/>
          <w:i/>
          <w:iCs/>
        </w:rPr>
        <w:t>Id.</w:t>
      </w:r>
      <w:r w:rsidRPr="00345F93">
        <w:rPr>
          <w:rFonts w:ascii="Book Antiqua" w:hAnsi="Book Antiqua"/>
        </w:rPr>
        <w:t xml:space="preserve"> at Conclusion of Law 32. </w:t>
      </w:r>
    </w:p>
  </w:footnote>
  <w:footnote w:id="70">
    <w:p w14:paraId="58228D2D" w14:textId="7F228CC7" w:rsidR="0066743C" w:rsidRDefault="0066743C">
      <w:pPr>
        <w:pStyle w:val="FootnoteText"/>
      </w:pPr>
      <w:r>
        <w:rPr>
          <w:rStyle w:val="FootnoteReference"/>
        </w:rPr>
        <w:footnoteRef/>
      </w:r>
      <w:r>
        <w:t xml:space="preserve"> </w:t>
      </w:r>
      <w:r w:rsidRPr="00472730">
        <w:rPr>
          <w:i/>
          <w:iCs/>
        </w:rPr>
        <w:t>Id.</w:t>
      </w:r>
      <w:r>
        <w:t xml:space="preserve"> at 52. </w:t>
      </w:r>
    </w:p>
  </w:footnote>
  <w:footnote w:id="71">
    <w:p w14:paraId="58A72260" w14:textId="61DACB59" w:rsidR="00EC16AF" w:rsidRPr="00345F93" w:rsidRDefault="00EC16AF">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003F3B77" w:rsidRPr="00516016">
        <w:rPr>
          <w:rFonts w:ascii="Book Antiqua" w:hAnsi="Book Antiqua"/>
          <w:i/>
          <w:iCs/>
        </w:rPr>
        <w:t>See</w:t>
      </w:r>
      <w:r w:rsidR="003F3B77" w:rsidRPr="00345F93">
        <w:rPr>
          <w:rFonts w:ascii="Book Antiqua" w:hAnsi="Book Antiqua"/>
        </w:rPr>
        <w:t xml:space="preserve"> D.19-08-025 at 9-10, citing Pub. Util. Code </w:t>
      </w:r>
      <w:r w:rsidR="00A81E4A" w:rsidRPr="00345F93">
        <w:rPr>
          <w:rFonts w:ascii="Book Antiqua" w:hAnsi="Book Antiqua"/>
        </w:rPr>
        <w:t>§§ 216, 234, 701</w:t>
      </w:r>
      <w:r w:rsidR="006911AB" w:rsidRPr="00345F93">
        <w:rPr>
          <w:rFonts w:ascii="Book Antiqua" w:hAnsi="Book Antiqua"/>
        </w:rPr>
        <w:t xml:space="preserve"> and </w:t>
      </w:r>
      <w:r w:rsidR="006911AB" w:rsidRPr="00345F93">
        <w:rPr>
          <w:rFonts w:ascii="Book Antiqua" w:hAnsi="Book Antiqua"/>
          <w:i/>
          <w:iCs/>
        </w:rPr>
        <w:t xml:space="preserve">Id. </w:t>
      </w:r>
      <w:r w:rsidR="009375F5" w:rsidRPr="00345F93">
        <w:rPr>
          <w:rFonts w:ascii="Book Antiqua" w:hAnsi="Book Antiqua"/>
        </w:rPr>
        <w:t>a</w:t>
      </w:r>
      <w:r w:rsidR="006911AB" w:rsidRPr="00345F93">
        <w:rPr>
          <w:rFonts w:ascii="Book Antiqua" w:hAnsi="Book Antiqua"/>
        </w:rPr>
        <w:t>t 32</w:t>
      </w:r>
      <w:r w:rsidR="009375F5" w:rsidRPr="00345F93">
        <w:rPr>
          <w:rFonts w:ascii="Book Antiqua" w:hAnsi="Book Antiqua"/>
        </w:rPr>
        <w:t xml:space="preserve"> and Conclusion of Law 6.</w:t>
      </w:r>
      <w:r w:rsidR="009375F5" w:rsidRPr="00345F93">
        <w:rPr>
          <w:rFonts w:ascii="Book Antiqua" w:hAnsi="Book Antiqua"/>
          <w:i/>
          <w:iCs/>
        </w:rPr>
        <w:t xml:space="preserve"> </w:t>
      </w:r>
    </w:p>
  </w:footnote>
  <w:footnote w:id="72">
    <w:p w14:paraId="5E2D7F53" w14:textId="1A9D3803" w:rsidR="002A461D" w:rsidRDefault="002A461D">
      <w:pPr>
        <w:pStyle w:val="FootnoteText"/>
      </w:pPr>
      <w:r w:rsidRPr="00345F93">
        <w:rPr>
          <w:rStyle w:val="FootnoteReference"/>
          <w:rFonts w:ascii="Book Antiqua" w:hAnsi="Book Antiqua"/>
        </w:rPr>
        <w:footnoteRef/>
      </w:r>
      <w:r w:rsidRPr="00345F93">
        <w:rPr>
          <w:rFonts w:ascii="Book Antiqua" w:hAnsi="Book Antiqua"/>
        </w:rPr>
        <w:t xml:space="preserve"> </w:t>
      </w:r>
      <w:r w:rsidR="003E177B" w:rsidRPr="00345F93">
        <w:rPr>
          <w:rFonts w:ascii="Book Antiqua" w:hAnsi="Book Antiqua"/>
        </w:rPr>
        <w:t>D.20-09-012 at 31- 41.</w:t>
      </w:r>
      <w:r w:rsidR="003E177B">
        <w:t xml:space="preserve"> </w:t>
      </w:r>
    </w:p>
  </w:footnote>
  <w:footnote w:id="73">
    <w:p w14:paraId="3E49D100" w14:textId="7BE9D182" w:rsidR="00DA53BB" w:rsidRPr="00345F93" w:rsidRDefault="00DA53BB">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Scoping Memo at </w:t>
      </w:r>
      <w:r w:rsidR="000A7EE5" w:rsidRPr="00345F93">
        <w:rPr>
          <w:rFonts w:ascii="Book Antiqua" w:hAnsi="Book Antiqua"/>
        </w:rPr>
        <w:t>23.</w:t>
      </w:r>
    </w:p>
  </w:footnote>
  <w:footnote w:id="74">
    <w:p w14:paraId="2AAFA6C9" w14:textId="4DB619F1" w:rsidR="008165B7" w:rsidRPr="00345F93" w:rsidRDefault="008165B7">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Revised Staff Proposal</w:t>
      </w:r>
      <w:r w:rsidR="005C4F30" w:rsidRPr="00345F93">
        <w:rPr>
          <w:rFonts w:ascii="Book Antiqua" w:hAnsi="Book Antiqua"/>
        </w:rPr>
        <w:t xml:space="preserve"> at 1</w:t>
      </w:r>
      <w:r w:rsidR="00203EDB">
        <w:rPr>
          <w:rFonts w:ascii="Book Antiqua" w:hAnsi="Book Antiqua"/>
        </w:rPr>
        <w:t>, provided in Appendix A of this decision.</w:t>
      </w:r>
    </w:p>
  </w:footnote>
  <w:footnote w:id="75">
    <w:p w14:paraId="0C5AA2C6" w14:textId="0746399E" w:rsidR="007A258F" w:rsidRDefault="007A258F">
      <w:pPr>
        <w:pStyle w:val="FootnoteText"/>
      </w:pPr>
      <w:r w:rsidRPr="00345F93">
        <w:rPr>
          <w:rStyle w:val="FootnoteReference"/>
          <w:rFonts w:ascii="Book Antiqua" w:hAnsi="Book Antiqua"/>
        </w:rPr>
        <w:footnoteRef/>
      </w:r>
      <w:r w:rsidRPr="00345F93">
        <w:rPr>
          <w:rFonts w:ascii="Book Antiqua" w:hAnsi="Book Antiqua"/>
        </w:rPr>
        <w:t xml:space="preserve"> </w:t>
      </w:r>
      <w:r w:rsidR="00203EDB" w:rsidRPr="00345F93">
        <w:rPr>
          <w:rFonts w:ascii="Book Antiqua" w:hAnsi="Book Antiqua"/>
          <w:i/>
          <w:iCs/>
        </w:rPr>
        <w:t>Ruling Providing Staff Interim Rate Relief Proposal for Comment</w:t>
      </w:r>
      <w:r w:rsidR="00203EDB" w:rsidRPr="00345F93">
        <w:rPr>
          <w:rFonts w:ascii="Book Antiqua" w:hAnsi="Book Antiqua"/>
        </w:rPr>
        <w:t>, Attachment A, April 2, 2021 (Staff Proposal)</w:t>
      </w:r>
      <w:r w:rsidR="00285744">
        <w:rPr>
          <w:rFonts w:ascii="Book Antiqua" w:hAnsi="Book Antiqua"/>
        </w:rPr>
        <w:t>.</w:t>
      </w:r>
      <w:r w:rsidR="00550B6C">
        <w:rPr>
          <w:rFonts w:ascii="Book Antiqua" w:hAnsi="Book Antiqua"/>
        </w:rPr>
        <w:t xml:space="preserve"> </w:t>
      </w:r>
    </w:p>
  </w:footnote>
  <w:footnote w:id="76">
    <w:p w14:paraId="68B88F26" w14:textId="72406C3E" w:rsidR="00A26212" w:rsidRPr="00345F93" w:rsidRDefault="00A26212">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00996539" w:rsidRPr="00345F93">
        <w:rPr>
          <w:rFonts w:ascii="Book Antiqua" w:hAnsi="Book Antiqua"/>
        </w:rPr>
        <w:t xml:space="preserve">Securus, </w:t>
      </w:r>
      <w:r w:rsidR="00D010B8">
        <w:rPr>
          <w:rFonts w:ascii="Book Antiqua" w:hAnsi="Book Antiqua"/>
        </w:rPr>
        <w:t xml:space="preserve">Comments on Staff Proposal at 6; </w:t>
      </w:r>
      <w:r w:rsidR="00996539" w:rsidRPr="00345F93">
        <w:rPr>
          <w:rFonts w:ascii="Book Antiqua" w:hAnsi="Book Antiqua"/>
        </w:rPr>
        <w:t>GTL</w:t>
      </w:r>
      <w:r w:rsidR="000C13FB">
        <w:rPr>
          <w:rFonts w:ascii="Book Antiqua" w:hAnsi="Book Antiqua"/>
        </w:rPr>
        <w:t xml:space="preserve"> Comments on Staff Proposal at 3. </w:t>
      </w:r>
    </w:p>
  </w:footnote>
  <w:footnote w:id="77">
    <w:p w14:paraId="42644C14" w14:textId="7071150E" w:rsidR="003A40EA" w:rsidRPr="00345F93" w:rsidRDefault="003A40EA">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NCIC Inmate Communications Comments on Staff Proposal at 3.</w:t>
      </w:r>
    </w:p>
  </w:footnote>
  <w:footnote w:id="78">
    <w:p w14:paraId="74F63150" w14:textId="77777777" w:rsidR="00651995" w:rsidRPr="00F50E71" w:rsidRDefault="00651995" w:rsidP="00651995">
      <w:pPr>
        <w:pStyle w:val="FootnoteText"/>
        <w:rPr>
          <w:rFonts w:ascii="Book Antiqua" w:hAnsi="Book Antiqua"/>
        </w:rPr>
      </w:pPr>
      <w:r>
        <w:rPr>
          <w:rStyle w:val="FootnoteReference"/>
        </w:rPr>
        <w:footnoteRef/>
      </w:r>
      <w:r>
        <w:t xml:space="preserve"> </w:t>
      </w:r>
      <w:r w:rsidRPr="00F50E71">
        <w:rPr>
          <w:rFonts w:ascii="Book Antiqua" w:hAnsi="Book Antiqua"/>
        </w:rPr>
        <w:t>Legacy Inmate Communications is in the process of exiting the IPCS market.</w:t>
      </w:r>
    </w:p>
  </w:footnote>
  <w:footnote w:id="79">
    <w:p w14:paraId="496632D4" w14:textId="57D209FD" w:rsidR="008C420D" w:rsidRDefault="008C420D">
      <w:pPr>
        <w:pStyle w:val="FootnoteText"/>
      </w:pPr>
      <w:r w:rsidRPr="00345F93">
        <w:rPr>
          <w:rStyle w:val="FootnoteReference"/>
          <w:rFonts w:ascii="Book Antiqua" w:hAnsi="Book Antiqua"/>
        </w:rPr>
        <w:footnoteRef/>
      </w:r>
      <w:r w:rsidRPr="00345F93">
        <w:rPr>
          <w:rFonts w:ascii="Book Antiqua" w:hAnsi="Book Antiqua"/>
        </w:rPr>
        <w:t xml:space="preserve"> </w:t>
      </w:r>
      <w:r w:rsidR="00F771AC" w:rsidRPr="00345F93">
        <w:rPr>
          <w:rFonts w:ascii="Book Antiqua" w:hAnsi="Book Antiqua"/>
        </w:rPr>
        <w:t>Staff Proposal</w:t>
      </w:r>
      <w:r w:rsidR="00203EDB">
        <w:rPr>
          <w:rFonts w:ascii="Book Antiqua" w:hAnsi="Book Antiqua"/>
        </w:rPr>
        <w:t xml:space="preserve">, Attachment A; </w:t>
      </w:r>
      <w:r w:rsidR="00FB494A" w:rsidRPr="00345F93">
        <w:rPr>
          <w:rFonts w:ascii="Book Antiqua" w:hAnsi="Book Antiqua"/>
        </w:rPr>
        <w:t>Revised Staff Proposal, provided in Appendix 1</w:t>
      </w:r>
      <w:r w:rsidR="00A61961">
        <w:rPr>
          <w:rFonts w:ascii="Book Antiqua" w:hAnsi="Book Antiqua"/>
        </w:rPr>
        <w:t xml:space="preserve"> to this decision, Attachment A</w:t>
      </w:r>
      <w:r w:rsidR="00FB494A" w:rsidRPr="00345F93">
        <w:rPr>
          <w:rFonts w:ascii="Book Antiqua" w:hAnsi="Book Antiqua"/>
        </w:rPr>
        <w:t>.</w:t>
      </w:r>
      <w:r w:rsidR="00FB494A">
        <w:t xml:space="preserve">  </w:t>
      </w:r>
    </w:p>
  </w:footnote>
  <w:footnote w:id="80">
    <w:p w14:paraId="5FC6D653" w14:textId="79C37F2C" w:rsidR="00ED4D93" w:rsidRPr="00345F93" w:rsidRDefault="00ED4D93">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Staff Proposal, Attachment B. </w:t>
      </w:r>
    </w:p>
  </w:footnote>
  <w:footnote w:id="81">
    <w:p w14:paraId="1029B6EF" w14:textId="68AC2E1B" w:rsidR="0013155C" w:rsidRPr="00345F93" w:rsidRDefault="0013155C">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Staff Proposal at 2.</w:t>
      </w:r>
    </w:p>
  </w:footnote>
  <w:footnote w:id="82">
    <w:p w14:paraId="2C058954" w14:textId="4F717064" w:rsidR="00FD04D0" w:rsidRDefault="00FD04D0">
      <w:pPr>
        <w:pStyle w:val="FootnoteText"/>
      </w:pPr>
      <w:r w:rsidRPr="00345F93">
        <w:rPr>
          <w:rStyle w:val="FootnoteReference"/>
          <w:rFonts w:ascii="Book Antiqua" w:hAnsi="Book Antiqua"/>
        </w:rPr>
        <w:footnoteRef/>
      </w:r>
      <w:r w:rsidRPr="00345F93">
        <w:rPr>
          <w:rFonts w:ascii="Book Antiqua" w:hAnsi="Book Antiqua"/>
        </w:rPr>
        <w:t xml:space="preserve"> </w:t>
      </w:r>
      <w:r w:rsidRPr="00345F93">
        <w:rPr>
          <w:rFonts w:ascii="Book Antiqua" w:hAnsi="Book Antiqua"/>
          <w:i/>
          <w:iCs/>
        </w:rPr>
        <w:t>Ibid.</w:t>
      </w:r>
    </w:p>
  </w:footnote>
  <w:footnote w:id="83">
    <w:p w14:paraId="16AB6496" w14:textId="1699E6C0" w:rsidR="0013155C" w:rsidRPr="00345F93" w:rsidRDefault="0013155C">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Pr="00345F93">
        <w:rPr>
          <w:rFonts w:ascii="Book Antiqua" w:hAnsi="Book Antiqua"/>
          <w:i/>
          <w:iCs/>
        </w:rPr>
        <w:t>Ibid.</w:t>
      </w:r>
      <w:r w:rsidRPr="00345F93">
        <w:rPr>
          <w:rFonts w:ascii="Book Antiqua" w:hAnsi="Book Antiqua"/>
        </w:rPr>
        <w:t xml:space="preserve"> </w:t>
      </w:r>
    </w:p>
  </w:footnote>
  <w:footnote w:id="84">
    <w:p w14:paraId="4DF56034" w14:textId="7A053219" w:rsidR="00DA6A65" w:rsidRPr="00520E4E" w:rsidRDefault="00DA6A65" w:rsidP="00DA6A65">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Cal Advocates, Comments on Staff Proposal at </w:t>
      </w:r>
      <w:r w:rsidR="00592686" w:rsidRPr="00520E4E">
        <w:rPr>
          <w:rFonts w:ascii="Book Antiqua" w:hAnsi="Book Antiqua"/>
        </w:rPr>
        <w:t>6</w:t>
      </w:r>
      <w:r w:rsidR="00A61961" w:rsidRPr="00520E4E">
        <w:rPr>
          <w:rFonts w:ascii="Book Antiqua" w:hAnsi="Book Antiqua"/>
        </w:rPr>
        <w:t>; figures provided by Cal Advocates are as of April 2021.</w:t>
      </w:r>
    </w:p>
  </w:footnote>
  <w:footnote w:id="85">
    <w:p w14:paraId="0D129239" w14:textId="2273975C" w:rsidR="00EC6AF8" w:rsidRPr="00520E4E" w:rsidRDefault="00EC6AF8">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w:t>
      </w:r>
      <w:r w:rsidRPr="00520E4E">
        <w:rPr>
          <w:rFonts w:ascii="Book Antiqua" w:hAnsi="Book Antiqua"/>
          <w:i/>
          <w:iCs/>
        </w:rPr>
        <w:t>Ibid.</w:t>
      </w:r>
    </w:p>
  </w:footnote>
  <w:footnote w:id="86">
    <w:p w14:paraId="0480D3D2" w14:textId="7AF318D0" w:rsidR="00DA6A65" w:rsidRDefault="00DA6A65" w:rsidP="00DA6A65">
      <w:pPr>
        <w:pStyle w:val="FootnoteText"/>
      </w:pPr>
      <w:r w:rsidRPr="00425FD3">
        <w:rPr>
          <w:rStyle w:val="FootnoteReference"/>
          <w:rFonts w:ascii="Book Antiqua" w:hAnsi="Book Antiqua"/>
        </w:rPr>
        <w:footnoteRef/>
      </w:r>
      <w:r w:rsidRPr="00425FD3">
        <w:rPr>
          <w:rFonts w:ascii="Book Antiqua" w:hAnsi="Book Antiqua"/>
        </w:rPr>
        <w:t xml:space="preserve"> Cal Advocates, Comments on Staff Proposal</w:t>
      </w:r>
      <w:r w:rsidR="003742EC">
        <w:rPr>
          <w:rFonts w:ascii="Book Antiqua" w:hAnsi="Book Antiqua"/>
        </w:rPr>
        <w:t xml:space="preserve"> </w:t>
      </w:r>
      <w:r w:rsidRPr="00425FD3">
        <w:rPr>
          <w:rFonts w:ascii="Book Antiqua" w:hAnsi="Book Antiqua"/>
        </w:rPr>
        <w:t>at 6, April 30, 2021.</w:t>
      </w:r>
      <w:r>
        <w:t xml:space="preserve"> </w:t>
      </w:r>
    </w:p>
  </w:footnote>
  <w:footnote w:id="87">
    <w:p w14:paraId="33F294D8" w14:textId="77777777" w:rsidR="003165FE" w:rsidRDefault="003165FE" w:rsidP="003165FE">
      <w:pPr>
        <w:pStyle w:val="FootnoteText"/>
      </w:pPr>
      <w:r w:rsidRPr="00425FD3">
        <w:rPr>
          <w:rStyle w:val="FootnoteReference"/>
          <w:rFonts w:ascii="Book Antiqua" w:hAnsi="Book Antiqua"/>
        </w:rPr>
        <w:footnoteRef/>
      </w:r>
      <w:r w:rsidRPr="00425FD3">
        <w:rPr>
          <w:rFonts w:ascii="Book Antiqua" w:hAnsi="Book Antiqua"/>
        </w:rPr>
        <w:t xml:space="preserve"> Cal Advocates, Comments on Staff Proposal</w:t>
      </w:r>
      <w:r>
        <w:rPr>
          <w:rFonts w:ascii="Book Antiqua" w:hAnsi="Book Antiqua"/>
        </w:rPr>
        <w:t xml:space="preserve"> </w:t>
      </w:r>
      <w:r w:rsidRPr="00425FD3">
        <w:rPr>
          <w:rFonts w:ascii="Book Antiqua" w:hAnsi="Book Antiqua"/>
        </w:rPr>
        <w:t>at 6, April 30, 2021.</w:t>
      </w:r>
      <w:r>
        <w:t xml:space="preserve"> </w:t>
      </w:r>
    </w:p>
  </w:footnote>
  <w:footnote w:id="88">
    <w:p w14:paraId="5D4AC1FB" w14:textId="57C7AA36" w:rsidR="00DA6A65" w:rsidRPr="00520E4E" w:rsidRDefault="00DA6A65" w:rsidP="00DA6A65">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w:t>
      </w:r>
      <w:r w:rsidR="003742EC" w:rsidRPr="00520E4E">
        <w:rPr>
          <w:rFonts w:ascii="Book Antiqua" w:hAnsi="Book Antiqua"/>
          <w:i/>
          <w:iCs/>
        </w:rPr>
        <w:t>Ibid.</w:t>
      </w:r>
    </w:p>
  </w:footnote>
  <w:footnote w:id="89">
    <w:p w14:paraId="02A003E9" w14:textId="2010523B" w:rsidR="00BA312E" w:rsidRPr="00520E4E" w:rsidRDefault="00BA312E">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w:t>
      </w:r>
      <w:r w:rsidR="00EC6AF8" w:rsidRPr="00520E4E">
        <w:rPr>
          <w:rFonts w:ascii="Book Antiqua" w:hAnsi="Book Antiqua"/>
          <w:i/>
          <w:iCs/>
        </w:rPr>
        <w:t>Ibid.</w:t>
      </w:r>
    </w:p>
  </w:footnote>
  <w:footnote w:id="90">
    <w:p w14:paraId="2756F0C8" w14:textId="2DAC7FEE" w:rsidR="0087423F" w:rsidRDefault="0087423F" w:rsidP="0087423F">
      <w:pPr>
        <w:pStyle w:val="FootnoteText"/>
      </w:pPr>
      <w:r w:rsidRPr="00520E4E">
        <w:rPr>
          <w:rStyle w:val="FootnoteReference"/>
          <w:rFonts w:ascii="Book Antiqua" w:hAnsi="Book Antiqua"/>
        </w:rPr>
        <w:footnoteRef/>
      </w:r>
      <w:r w:rsidRPr="00520E4E">
        <w:rPr>
          <w:rFonts w:ascii="Book Antiqua" w:hAnsi="Book Antiqua"/>
        </w:rPr>
        <w:t xml:space="preserve"> </w:t>
      </w:r>
      <w:r w:rsidR="00EA4AEC" w:rsidRPr="00520E4E">
        <w:rPr>
          <w:rFonts w:ascii="Book Antiqua" w:hAnsi="Book Antiqua"/>
          <w:i/>
          <w:iCs/>
        </w:rPr>
        <w:t>Id.</w:t>
      </w:r>
      <w:r w:rsidR="00D46ECE">
        <w:rPr>
          <w:rFonts w:ascii="Book Antiqua" w:hAnsi="Book Antiqua"/>
          <w:i/>
          <w:iCs/>
        </w:rPr>
        <w:t xml:space="preserve"> </w:t>
      </w:r>
      <w:r w:rsidR="00D46ECE" w:rsidRPr="00D46ECE">
        <w:rPr>
          <w:rFonts w:ascii="Book Antiqua" w:hAnsi="Book Antiqua"/>
        </w:rPr>
        <w:t>at 6.</w:t>
      </w:r>
    </w:p>
  </w:footnote>
  <w:footnote w:id="91">
    <w:p w14:paraId="795E4744" w14:textId="6048192A" w:rsidR="00016192" w:rsidRPr="002468CC" w:rsidRDefault="00016192">
      <w:pPr>
        <w:pStyle w:val="FootnoteText"/>
        <w:rPr>
          <w:rFonts w:ascii="Book Antiqua" w:hAnsi="Book Antiqua"/>
        </w:rPr>
      </w:pPr>
      <w:r w:rsidRPr="002468CC">
        <w:rPr>
          <w:rStyle w:val="FootnoteReference"/>
          <w:rFonts w:ascii="Book Antiqua" w:hAnsi="Book Antiqua"/>
        </w:rPr>
        <w:footnoteRef/>
      </w:r>
      <w:r w:rsidRPr="002468CC">
        <w:rPr>
          <w:rFonts w:ascii="Book Antiqua" w:hAnsi="Book Antiqua"/>
        </w:rPr>
        <w:t xml:space="preserve"> </w:t>
      </w:r>
      <w:r w:rsidRPr="00844433">
        <w:rPr>
          <w:rFonts w:ascii="Book Antiqua" w:hAnsi="Book Antiqua"/>
          <w:i/>
          <w:iCs/>
        </w:rPr>
        <w:t>See</w:t>
      </w:r>
      <w:r w:rsidRPr="002468CC">
        <w:rPr>
          <w:rFonts w:ascii="Book Antiqua" w:hAnsi="Book Antiqua"/>
        </w:rPr>
        <w:t xml:space="preserve"> discussion in section 1 of this decision. </w:t>
      </w:r>
    </w:p>
  </w:footnote>
  <w:footnote w:id="92">
    <w:p w14:paraId="70EDF807" w14:textId="232C1456" w:rsidR="00C242DB" w:rsidRPr="002468CC" w:rsidRDefault="00C242DB" w:rsidP="00C242DB">
      <w:pPr>
        <w:pStyle w:val="FootnoteText"/>
        <w:rPr>
          <w:rFonts w:ascii="Book Antiqua" w:hAnsi="Book Antiqua"/>
        </w:rPr>
      </w:pPr>
      <w:r w:rsidRPr="00425FD3">
        <w:rPr>
          <w:rStyle w:val="FootnoteReference"/>
          <w:rFonts w:ascii="Book Antiqua" w:hAnsi="Book Antiqua"/>
        </w:rPr>
        <w:footnoteRef/>
      </w:r>
      <w:r w:rsidRPr="00425FD3">
        <w:rPr>
          <w:rFonts w:ascii="Book Antiqua" w:hAnsi="Book Antiqua"/>
        </w:rPr>
        <w:t xml:space="preserve"> </w:t>
      </w:r>
      <w:r w:rsidRPr="003F31D8">
        <w:rPr>
          <w:rFonts w:ascii="Book Antiqua" w:hAnsi="Book Antiqua"/>
        </w:rPr>
        <w:t xml:space="preserve">Securus, Comments on Staff Proposal at </w:t>
      </w:r>
      <w:r w:rsidR="003F31D8" w:rsidRPr="003F31D8">
        <w:rPr>
          <w:rFonts w:ascii="Book Antiqua" w:hAnsi="Book Antiqua"/>
        </w:rPr>
        <w:t>3-</w:t>
      </w:r>
      <w:r w:rsidR="00CD1257" w:rsidRPr="003F31D8">
        <w:rPr>
          <w:rFonts w:ascii="Book Antiqua" w:hAnsi="Book Antiqua"/>
        </w:rPr>
        <w:t xml:space="preserve">5, </w:t>
      </w:r>
      <w:r w:rsidR="003F31D8" w:rsidRPr="003F31D8">
        <w:rPr>
          <w:rFonts w:ascii="Book Antiqua" w:hAnsi="Book Antiqua"/>
        </w:rPr>
        <w:t>8-9.</w:t>
      </w:r>
    </w:p>
  </w:footnote>
  <w:footnote w:id="93">
    <w:p w14:paraId="480906C7" w14:textId="2FD62526" w:rsidR="002C273C" w:rsidRPr="002468CC" w:rsidRDefault="002C273C" w:rsidP="002C273C">
      <w:pPr>
        <w:pStyle w:val="FootnoteText"/>
        <w:rPr>
          <w:rFonts w:ascii="Book Antiqua" w:hAnsi="Book Antiqua"/>
        </w:rPr>
      </w:pPr>
      <w:r w:rsidRPr="002468CC">
        <w:rPr>
          <w:rStyle w:val="FootnoteReference"/>
          <w:rFonts w:ascii="Book Antiqua" w:hAnsi="Book Antiqua"/>
        </w:rPr>
        <w:footnoteRef/>
      </w:r>
      <w:r w:rsidRPr="002468CC">
        <w:rPr>
          <w:rFonts w:ascii="Book Antiqua" w:hAnsi="Book Antiqua"/>
        </w:rPr>
        <w:t xml:space="preserve"> </w:t>
      </w:r>
      <w:r w:rsidR="00E60800" w:rsidRPr="003311BA">
        <w:rPr>
          <w:rFonts w:ascii="Book Antiqua" w:hAnsi="Book Antiqua"/>
          <w:i/>
          <w:iCs/>
        </w:rPr>
        <w:t>Id.</w:t>
      </w:r>
      <w:r w:rsidR="00E60800">
        <w:rPr>
          <w:rFonts w:ascii="Book Antiqua" w:hAnsi="Book Antiqua"/>
        </w:rPr>
        <w:t xml:space="preserve"> </w:t>
      </w:r>
      <w:r w:rsidRPr="00425FD3">
        <w:rPr>
          <w:rFonts w:ascii="Book Antiqua" w:hAnsi="Book Antiqua"/>
        </w:rPr>
        <w:t xml:space="preserve">at </w:t>
      </w:r>
      <w:r>
        <w:rPr>
          <w:rFonts w:ascii="Book Antiqua" w:hAnsi="Book Antiqua"/>
        </w:rPr>
        <w:t>12.</w:t>
      </w:r>
    </w:p>
  </w:footnote>
  <w:footnote w:id="94">
    <w:p w14:paraId="443323A5" w14:textId="77777777" w:rsidR="00674AAD" w:rsidRPr="00425FD3" w:rsidRDefault="00674AAD" w:rsidP="00674AAD">
      <w:pPr>
        <w:pStyle w:val="FootnoteText"/>
        <w:rPr>
          <w:rFonts w:ascii="Book Antiqua" w:hAnsi="Book Antiqua"/>
        </w:rPr>
      </w:pPr>
      <w:r w:rsidRPr="00425FD3">
        <w:rPr>
          <w:rStyle w:val="FootnoteReference"/>
          <w:rFonts w:ascii="Book Antiqua" w:hAnsi="Book Antiqua"/>
        </w:rPr>
        <w:footnoteRef/>
      </w:r>
      <w:r w:rsidRPr="00425FD3">
        <w:rPr>
          <w:rFonts w:ascii="Book Antiqua" w:hAnsi="Book Antiqua"/>
        </w:rPr>
        <w:t xml:space="preserve"> </w:t>
      </w:r>
      <w:r w:rsidRPr="00352640">
        <w:rPr>
          <w:rFonts w:ascii="Book Antiqua" w:hAnsi="Book Antiqua"/>
          <w:i/>
          <w:iCs/>
        </w:rPr>
        <w:t>Id.</w:t>
      </w:r>
      <w:r>
        <w:rPr>
          <w:rFonts w:ascii="Book Antiqua" w:hAnsi="Book Antiqua"/>
        </w:rPr>
        <w:t xml:space="preserve"> at 14. </w:t>
      </w:r>
    </w:p>
  </w:footnote>
  <w:footnote w:id="95">
    <w:p w14:paraId="143B9F31" w14:textId="77777777" w:rsidR="00D54ECA" w:rsidRDefault="00D54ECA" w:rsidP="00D54ECA">
      <w:pPr>
        <w:pStyle w:val="FootnoteText"/>
      </w:pPr>
      <w:r>
        <w:rPr>
          <w:rStyle w:val="FootnoteReference"/>
        </w:rPr>
        <w:footnoteRef/>
      </w:r>
      <w:r>
        <w:t xml:space="preserve"> </w:t>
      </w:r>
      <w:r w:rsidRPr="001775E3">
        <w:rPr>
          <w:i/>
          <w:iCs/>
        </w:rPr>
        <w:t>Id.</w:t>
      </w:r>
      <w:r>
        <w:t xml:space="preserve"> at 3. </w:t>
      </w:r>
    </w:p>
  </w:footnote>
  <w:footnote w:id="96">
    <w:p w14:paraId="6E9EC099" w14:textId="455BEE68" w:rsidR="007D086B" w:rsidRPr="002468CC" w:rsidRDefault="007D086B" w:rsidP="007D086B">
      <w:pPr>
        <w:pStyle w:val="FootnoteText"/>
        <w:rPr>
          <w:rFonts w:ascii="Book Antiqua" w:hAnsi="Book Antiqua"/>
        </w:rPr>
      </w:pPr>
      <w:r w:rsidRPr="002468CC">
        <w:rPr>
          <w:rStyle w:val="FootnoteReference"/>
          <w:rFonts w:ascii="Book Antiqua" w:hAnsi="Book Antiqua"/>
        </w:rPr>
        <w:footnoteRef/>
      </w:r>
      <w:r w:rsidRPr="002468CC">
        <w:rPr>
          <w:rFonts w:ascii="Book Antiqua" w:hAnsi="Book Antiqua"/>
        </w:rPr>
        <w:t xml:space="preserve"> </w:t>
      </w:r>
      <w:r w:rsidR="004138AB" w:rsidRPr="002468CC">
        <w:rPr>
          <w:rFonts w:ascii="Book Antiqua" w:hAnsi="Book Antiqua"/>
          <w:i/>
        </w:rPr>
        <w:t xml:space="preserve">Id. </w:t>
      </w:r>
      <w:r w:rsidR="004138AB" w:rsidRPr="002468CC">
        <w:rPr>
          <w:rFonts w:ascii="Book Antiqua" w:hAnsi="Book Antiqua"/>
        </w:rPr>
        <w:t>at 14.</w:t>
      </w:r>
      <w:r w:rsidR="0035050D" w:rsidRPr="002468CC">
        <w:rPr>
          <w:rFonts w:ascii="Book Antiqua" w:hAnsi="Book Antiqua"/>
        </w:rPr>
        <w:t xml:space="preserve"> Securus provides no summary data to bolster this claim</w:t>
      </w:r>
      <w:r w:rsidR="001D414D" w:rsidRPr="002468CC">
        <w:rPr>
          <w:rFonts w:ascii="Book Antiqua" w:hAnsi="Book Antiqua"/>
        </w:rPr>
        <w:t xml:space="preserve"> </w:t>
      </w:r>
      <w:r w:rsidR="0035050D" w:rsidRPr="002468CC">
        <w:rPr>
          <w:rFonts w:ascii="Book Antiqua" w:hAnsi="Book Antiqua"/>
        </w:rPr>
        <w:t xml:space="preserve">but may be referring to its own statement that </w:t>
      </w:r>
      <w:r w:rsidR="005927FF" w:rsidRPr="002468CC">
        <w:rPr>
          <w:rFonts w:ascii="Book Antiqua" w:hAnsi="Book Antiqua"/>
        </w:rPr>
        <w:t xml:space="preserve">it has “invested in new technologies and infrastructure that have substantially reduced its reliance on third-party </w:t>
      </w:r>
      <w:r w:rsidR="00B43C2C">
        <w:rPr>
          <w:rFonts w:ascii="Book Antiqua" w:hAnsi="Book Antiqua"/>
        </w:rPr>
        <w:t>single-call</w:t>
      </w:r>
      <w:r w:rsidR="005927FF" w:rsidRPr="002468CC">
        <w:rPr>
          <w:rFonts w:ascii="Book Antiqua" w:hAnsi="Book Antiqua"/>
        </w:rPr>
        <w:t xml:space="preserve"> services, saving an average of 30</w:t>
      </w:r>
      <w:r w:rsidR="00E966B2">
        <w:rPr>
          <w:rFonts w:ascii="Book Antiqua" w:hAnsi="Book Antiqua"/>
        </w:rPr>
        <w:t> </w:t>
      </w:r>
      <w:r w:rsidR="005927FF" w:rsidRPr="002468CC">
        <w:rPr>
          <w:rFonts w:ascii="Book Antiqua" w:hAnsi="Book Antiqua"/>
        </w:rPr>
        <w:t>percent in total costs of each call”</w:t>
      </w:r>
      <w:r w:rsidR="001D414D" w:rsidRPr="002468CC">
        <w:rPr>
          <w:rFonts w:ascii="Book Antiqua" w:hAnsi="Book Antiqua"/>
        </w:rPr>
        <w:t xml:space="preserve"> (</w:t>
      </w:r>
      <w:r w:rsidR="001D414D" w:rsidRPr="002468CC">
        <w:rPr>
          <w:rFonts w:ascii="Book Antiqua" w:hAnsi="Book Antiqua"/>
          <w:i/>
        </w:rPr>
        <w:t>Id.</w:t>
      </w:r>
      <w:r w:rsidR="001D414D" w:rsidRPr="002468CC">
        <w:rPr>
          <w:rFonts w:ascii="Book Antiqua" w:hAnsi="Book Antiqua"/>
        </w:rPr>
        <w:t xml:space="preserve"> at 2). </w:t>
      </w:r>
    </w:p>
  </w:footnote>
  <w:footnote w:id="97">
    <w:p w14:paraId="18A1A826" w14:textId="58AA4F96" w:rsidR="002F2EA1" w:rsidRPr="007304AE" w:rsidRDefault="002F2EA1">
      <w:pPr>
        <w:pStyle w:val="FootnoteText"/>
        <w:rPr>
          <w:rFonts w:ascii="Book Antiqua" w:hAnsi="Book Antiqua"/>
        </w:rPr>
      </w:pPr>
      <w:r w:rsidRPr="007304AE">
        <w:rPr>
          <w:rStyle w:val="FootnoteReference"/>
          <w:rFonts w:ascii="Book Antiqua" w:hAnsi="Book Antiqua"/>
        </w:rPr>
        <w:footnoteRef/>
      </w:r>
      <w:r w:rsidRPr="007304AE">
        <w:rPr>
          <w:rFonts w:ascii="Book Antiqua" w:hAnsi="Book Antiqua"/>
        </w:rPr>
        <w:t xml:space="preserve"> Securus, Comments on Proposed Decision at </w:t>
      </w:r>
      <w:r w:rsidR="007304AE" w:rsidRPr="007304AE">
        <w:rPr>
          <w:rFonts w:ascii="Book Antiqua" w:hAnsi="Book Antiqua"/>
        </w:rPr>
        <w:t>5.</w:t>
      </w:r>
    </w:p>
  </w:footnote>
  <w:footnote w:id="98">
    <w:p w14:paraId="2A258BBC" w14:textId="4E37C4FB" w:rsidR="00F64767" w:rsidRPr="006A4221" w:rsidRDefault="00F64767">
      <w:pPr>
        <w:pStyle w:val="FootnoteText"/>
        <w:rPr>
          <w:rFonts w:ascii="Book Antiqua" w:hAnsi="Book Antiqua"/>
        </w:rPr>
      </w:pPr>
      <w:r w:rsidRPr="006A4221">
        <w:rPr>
          <w:rStyle w:val="FootnoteReference"/>
          <w:rFonts w:ascii="Book Antiqua" w:hAnsi="Book Antiqua"/>
        </w:rPr>
        <w:footnoteRef/>
      </w:r>
      <w:r w:rsidRPr="006A4221">
        <w:rPr>
          <w:rFonts w:ascii="Book Antiqua" w:hAnsi="Book Antiqua"/>
        </w:rPr>
        <w:t xml:space="preserve"> GTL, Comments on Proposed Decision at </w:t>
      </w:r>
      <w:r w:rsidR="006A4221" w:rsidRPr="006A4221">
        <w:rPr>
          <w:rFonts w:ascii="Book Antiqua" w:hAnsi="Book Antiqua"/>
        </w:rPr>
        <w:t>7.</w:t>
      </w:r>
    </w:p>
  </w:footnote>
  <w:footnote w:id="99">
    <w:p w14:paraId="0750174F" w14:textId="755998AB" w:rsidR="001C0B1B" w:rsidRPr="001C0B1B" w:rsidRDefault="001C0B1B">
      <w:pPr>
        <w:pStyle w:val="FootnoteText"/>
        <w:rPr>
          <w:rFonts w:ascii="Book Antiqua" w:hAnsi="Book Antiqua"/>
        </w:rPr>
      </w:pPr>
      <w:r w:rsidRPr="001C0B1B">
        <w:rPr>
          <w:rStyle w:val="FootnoteReference"/>
          <w:rFonts w:ascii="Book Antiqua" w:hAnsi="Book Antiqua"/>
        </w:rPr>
        <w:footnoteRef/>
      </w:r>
      <w:r w:rsidRPr="001C0B1B">
        <w:rPr>
          <w:rFonts w:ascii="Book Antiqua" w:hAnsi="Book Antiqua"/>
        </w:rPr>
        <w:t xml:space="preserve"> Securus, Comments on Proposed Decision at 6</w:t>
      </w:r>
      <w:r w:rsidR="006F6232">
        <w:rPr>
          <w:rFonts w:ascii="Book Antiqua" w:hAnsi="Book Antiqua"/>
        </w:rPr>
        <w:t xml:space="preserve">, citing </w:t>
      </w:r>
      <w:r w:rsidR="00597B39" w:rsidRPr="00597B39">
        <w:rPr>
          <w:rFonts w:ascii="Book Antiqua" w:hAnsi="Book Antiqua"/>
        </w:rPr>
        <w:t>Global Tel*LinkvFCC, 866 F.3d 397, 413 (D.C. Cir. 2017)</w:t>
      </w:r>
      <w:r w:rsidR="00597B39">
        <w:rPr>
          <w:rFonts w:ascii="Book Antiqua" w:hAnsi="Book Antiqua"/>
        </w:rPr>
        <w:t>.</w:t>
      </w:r>
    </w:p>
  </w:footnote>
  <w:footnote w:id="100">
    <w:p w14:paraId="440C16BE" w14:textId="797EC2F6" w:rsidR="00FB00DC" w:rsidRPr="00425FD3" w:rsidRDefault="00FB00DC" w:rsidP="00FB00DC">
      <w:pPr>
        <w:pStyle w:val="FootnoteText"/>
        <w:rPr>
          <w:rFonts w:ascii="Book Antiqua" w:hAnsi="Book Antiqua"/>
        </w:rPr>
      </w:pPr>
      <w:r w:rsidRPr="00AB0392">
        <w:rPr>
          <w:rStyle w:val="FootnoteReference"/>
          <w:rFonts w:ascii="Book Antiqua" w:hAnsi="Book Antiqua"/>
        </w:rPr>
        <w:footnoteRef/>
      </w:r>
      <w:r w:rsidRPr="00AB0392">
        <w:rPr>
          <w:rFonts w:ascii="Book Antiqua" w:hAnsi="Book Antiqua"/>
        </w:rPr>
        <w:t xml:space="preserve"> </w:t>
      </w:r>
      <w:r w:rsidRPr="00AB0392">
        <w:rPr>
          <w:rFonts w:ascii="Book Antiqua" w:hAnsi="Book Antiqua"/>
          <w:i/>
          <w:iCs/>
        </w:rPr>
        <w:t>Id</w:t>
      </w:r>
      <w:r w:rsidRPr="00AB0392">
        <w:rPr>
          <w:rFonts w:ascii="Book Antiqua" w:hAnsi="Book Antiqua"/>
        </w:rPr>
        <w:t>. at 13.</w:t>
      </w:r>
      <w:r w:rsidR="007E1953">
        <w:rPr>
          <w:rFonts w:ascii="Book Antiqua" w:hAnsi="Book Antiqua"/>
        </w:rPr>
        <w:t xml:space="preserve"> </w:t>
      </w:r>
      <w:r>
        <w:rPr>
          <w:rFonts w:ascii="Book Antiqua" w:hAnsi="Book Antiqua"/>
        </w:rPr>
        <w:t xml:space="preserve"> </w:t>
      </w:r>
    </w:p>
  </w:footnote>
  <w:footnote w:id="101">
    <w:p w14:paraId="66CC49A0" w14:textId="2E6F06D9" w:rsidR="00674AAD" w:rsidRPr="00425FD3" w:rsidRDefault="00674AAD" w:rsidP="00674AAD">
      <w:pPr>
        <w:pStyle w:val="FootnoteText"/>
        <w:rPr>
          <w:rFonts w:ascii="Book Antiqua" w:hAnsi="Book Antiqua"/>
        </w:rPr>
      </w:pPr>
      <w:r w:rsidRPr="00425FD3">
        <w:rPr>
          <w:rStyle w:val="FootnoteReference"/>
          <w:rFonts w:ascii="Book Antiqua" w:hAnsi="Book Antiqua"/>
        </w:rPr>
        <w:footnoteRef/>
      </w:r>
      <w:r w:rsidRPr="00425FD3">
        <w:rPr>
          <w:rFonts w:ascii="Book Antiqua" w:hAnsi="Book Antiqua"/>
        </w:rPr>
        <w:t xml:space="preserve"> GTL, Comments on Staff Proposal at </w:t>
      </w:r>
      <w:r w:rsidR="00D87F0E">
        <w:rPr>
          <w:rFonts w:ascii="Book Antiqua" w:hAnsi="Book Antiqua"/>
        </w:rPr>
        <w:t>15</w:t>
      </w:r>
      <w:r w:rsidRPr="00425FD3">
        <w:rPr>
          <w:rFonts w:ascii="Book Antiqua" w:hAnsi="Book Antiqua"/>
        </w:rPr>
        <w:t xml:space="preserve">. </w:t>
      </w:r>
    </w:p>
  </w:footnote>
  <w:footnote w:id="102">
    <w:p w14:paraId="64F186B7" w14:textId="146C2434" w:rsidR="00232F12" w:rsidRPr="002468CC" w:rsidRDefault="00232F12">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00E60800">
        <w:rPr>
          <w:rFonts w:ascii="Book Antiqua" w:hAnsi="Book Antiqua"/>
        </w:rPr>
        <w:t xml:space="preserve">CforAT, Comments on Staff Proposal at 3. </w:t>
      </w:r>
    </w:p>
  </w:footnote>
  <w:footnote w:id="103">
    <w:p w14:paraId="77D11644" w14:textId="13B58C60" w:rsidR="00CD19CB" w:rsidRPr="002468CC" w:rsidRDefault="00CD19CB">
      <w:pPr>
        <w:pStyle w:val="FootnoteText"/>
        <w:rPr>
          <w:rFonts w:ascii="Book Antiqua" w:hAnsi="Book Antiqua"/>
        </w:rPr>
      </w:pPr>
      <w:r w:rsidRPr="002468CC">
        <w:rPr>
          <w:rStyle w:val="FootnoteReference"/>
          <w:rFonts w:ascii="Book Antiqua" w:hAnsi="Book Antiqua"/>
        </w:rPr>
        <w:footnoteRef/>
      </w:r>
      <w:r w:rsidRPr="002468CC">
        <w:rPr>
          <w:rFonts w:ascii="Book Antiqua" w:hAnsi="Book Antiqua"/>
        </w:rPr>
        <w:t xml:space="preserve"> </w:t>
      </w:r>
      <w:r w:rsidR="00A70744" w:rsidRPr="002468CC">
        <w:rPr>
          <w:rFonts w:ascii="Book Antiqua" w:hAnsi="Book Antiqua"/>
          <w:i/>
        </w:rPr>
        <w:t>Id.</w:t>
      </w:r>
      <w:r w:rsidR="00A70744" w:rsidRPr="002468CC">
        <w:rPr>
          <w:rFonts w:ascii="Book Antiqua" w:hAnsi="Book Antiqua"/>
        </w:rPr>
        <w:t xml:space="preserve"> at 3-4. </w:t>
      </w:r>
      <w:r w:rsidR="00E966B2">
        <w:rPr>
          <w:rFonts w:ascii="Book Antiqua" w:hAnsi="Book Antiqua"/>
        </w:rPr>
        <w:t xml:space="preserve"> </w:t>
      </w:r>
      <w:r w:rsidR="00E60800">
        <w:rPr>
          <w:rFonts w:ascii="Book Antiqua" w:hAnsi="Book Antiqua"/>
        </w:rPr>
        <w:t>CforAT states that t</w:t>
      </w:r>
      <w:r w:rsidR="00A70744" w:rsidRPr="002468CC">
        <w:rPr>
          <w:rFonts w:ascii="Book Antiqua" w:hAnsi="Book Antiqua"/>
        </w:rPr>
        <w:t>he Federal Trade Commission undertook work to identify the “relevant market” for a product, which it defined as all goods that are "reasonably interchangeable" with a product, meaning that consumers view the other products as substitutes for each other and would switch among those products in response to a change in price.</w:t>
      </w:r>
    </w:p>
  </w:footnote>
  <w:footnote w:id="104">
    <w:p w14:paraId="4E72F037" w14:textId="2262213B" w:rsidR="00982B8C" w:rsidRPr="002468CC" w:rsidRDefault="00982B8C">
      <w:pPr>
        <w:pStyle w:val="FootnoteText"/>
        <w:rPr>
          <w:rFonts w:ascii="Book Antiqua" w:hAnsi="Book Antiqua"/>
        </w:rPr>
      </w:pPr>
      <w:r w:rsidRPr="002468CC">
        <w:rPr>
          <w:rStyle w:val="FootnoteReference"/>
          <w:rFonts w:ascii="Book Antiqua" w:hAnsi="Book Antiqua"/>
        </w:rPr>
        <w:footnoteRef/>
      </w:r>
      <w:r w:rsidRPr="002468CC">
        <w:rPr>
          <w:rFonts w:ascii="Book Antiqua" w:hAnsi="Book Antiqua"/>
        </w:rPr>
        <w:t xml:space="preserve"> </w:t>
      </w:r>
      <w:r w:rsidRPr="002468CC">
        <w:rPr>
          <w:rFonts w:ascii="Book Antiqua" w:hAnsi="Book Antiqua"/>
          <w:i/>
        </w:rPr>
        <w:t>I</w:t>
      </w:r>
      <w:r w:rsidR="00A26EBA" w:rsidRPr="002468CC">
        <w:rPr>
          <w:rFonts w:ascii="Book Antiqua" w:hAnsi="Book Antiqua"/>
          <w:i/>
        </w:rPr>
        <w:t>d. at 3-5.</w:t>
      </w:r>
    </w:p>
  </w:footnote>
  <w:footnote w:id="105">
    <w:p w14:paraId="27067E91" w14:textId="734B4A68" w:rsidR="00431C03" w:rsidRPr="002468CC" w:rsidRDefault="00431C03">
      <w:pPr>
        <w:pStyle w:val="FootnoteText"/>
        <w:rPr>
          <w:rFonts w:ascii="Book Antiqua" w:hAnsi="Book Antiqua"/>
        </w:rPr>
      </w:pPr>
      <w:r w:rsidRPr="002468CC">
        <w:rPr>
          <w:rStyle w:val="FootnoteReference"/>
          <w:rFonts w:ascii="Book Antiqua" w:hAnsi="Book Antiqua"/>
        </w:rPr>
        <w:footnoteRef/>
      </w:r>
      <w:r w:rsidRPr="002468CC">
        <w:rPr>
          <w:rFonts w:ascii="Book Antiqua" w:hAnsi="Book Antiqua"/>
        </w:rPr>
        <w:t xml:space="preserve"> </w:t>
      </w:r>
      <w:r w:rsidRPr="002468CC">
        <w:rPr>
          <w:rFonts w:ascii="Book Antiqua" w:hAnsi="Book Antiqua"/>
          <w:i/>
        </w:rPr>
        <w:t>Id.</w:t>
      </w:r>
      <w:r w:rsidRPr="002468CC">
        <w:rPr>
          <w:rFonts w:ascii="Book Antiqua" w:hAnsi="Book Antiqua"/>
        </w:rPr>
        <w:t xml:space="preserve"> at </w:t>
      </w:r>
      <w:r w:rsidR="00051552" w:rsidRPr="002468CC">
        <w:rPr>
          <w:rFonts w:ascii="Book Antiqua" w:hAnsi="Book Antiqua"/>
        </w:rPr>
        <w:t xml:space="preserve">4-5. </w:t>
      </w:r>
    </w:p>
  </w:footnote>
  <w:footnote w:id="106">
    <w:p w14:paraId="00E08D09" w14:textId="77777777" w:rsidR="00D23065" w:rsidRPr="00345F93" w:rsidRDefault="00D23065" w:rsidP="00D23065">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Verizon, Comments on Staff Proposal at </w:t>
      </w:r>
      <w:r>
        <w:rPr>
          <w:rFonts w:ascii="Book Antiqua" w:hAnsi="Book Antiqua"/>
        </w:rPr>
        <w:t>3</w:t>
      </w:r>
      <w:r w:rsidRPr="00345F93">
        <w:rPr>
          <w:rFonts w:ascii="Book Antiqua" w:hAnsi="Book Antiqua"/>
        </w:rPr>
        <w:t xml:space="preserve">. </w:t>
      </w:r>
    </w:p>
  </w:footnote>
  <w:footnote w:id="107">
    <w:p w14:paraId="401E2EBF" w14:textId="42439D72" w:rsidR="00232F12" w:rsidRPr="00345F93" w:rsidRDefault="00232F12" w:rsidP="00232F12">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TURN, Comments </w:t>
      </w:r>
      <w:r w:rsidR="001F72AB" w:rsidRPr="00345F93">
        <w:rPr>
          <w:rFonts w:ascii="Book Antiqua" w:hAnsi="Book Antiqua"/>
        </w:rPr>
        <w:t xml:space="preserve">on Staff Proposal </w:t>
      </w:r>
      <w:r w:rsidRPr="00345F93">
        <w:rPr>
          <w:rFonts w:ascii="Book Antiqua" w:hAnsi="Book Antiqua"/>
        </w:rPr>
        <w:t>at 5, citing Global Tel*Link v. Fed. Comm. Comm’n., 866</w:t>
      </w:r>
      <w:r w:rsidR="00E966B2">
        <w:rPr>
          <w:rFonts w:ascii="Book Antiqua" w:hAnsi="Book Antiqua"/>
        </w:rPr>
        <w:t> </w:t>
      </w:r>
      <w:r w:rsidRPr="00345F93">
        <w:rPr>
          <w:rFonts w:ascii="Book Antiqua" w:hAnsi="Book Antiqua"/>
        </w:rPr>
        <w:t>F.3d 397, 404</w:t>
      </w:r>
      <w:r w:rsidR="00D87F0E">
        <w:rPr>
          <w:rFonts w:ascii="Book Antiqua" w:hAnsi="Book Antiqua"/>
        </w:rPr>
        <w:t xml:space="preserve"> </w:t>
      </w:r>
      <w:r w:rsidRPr="00345F93">
        <w:rPr>
          <w:rFonts w:ascii="Book Antiqua" w:hAnsi="Book Antiqua"/>
        </w:rPr>
        <w:t>(D.C. Cir. 2017).</w:t>
      </w:r>
    </w:p>
  </w:footnote>
  <w:footnote w:id="108">
    <w:p w14:paraId="54A3A9C7" w14:textId="36D6FC2B" w:rsidR="0094518B" w:rsidRPr="00345F93" w:rsidRDefault="0094518B" w:rsidP="0094518B">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TURN, Comments on Staff Proposal at 5. </w:t>
      </w:r>
    </w:p>
  </w:footnote>
  <w:footnote w:id="109">
    <w:p w14:paraId="409D2AE6" w14:textId="10968CD5" w:rsidR="008B02E7" w:rsidRPr="00345F93" w:rsidRDefault="008B02E7" w:rsidP="008B02E7">
      <w:pPr>
        <w:pStyle w:val="FootnoteText"/>
        <w:rPr>
          <w:rFonts w:ascii="Book Antiqua" w:hAnsi="Book Antiqua"/>
        </w:rPr>
      </w:pPr>
      <w:r w:rsidRPr="00345F93">
        <w:rPr>
          <w:rStyle w:val="FootnoteReference"/>
          <w:rFonts w:ascii="Book Antiqua" w:hAnsi="Book Antiqua"/>
        </w:rPr>
        <w:footnoteRef/>
      </w:r>
      <w:r w:rsidRPr="00345F93">
        <w:rPr>
          <w:rFonts w:ascii="Book Antiqua" w:hAnsi="Book Antiqua"/>
        </w:rPr>
        <w:t xml:space="preserve"> </w:t>
      </w:r>
      <w:r w:rsidR="00BD3EFB">
        <w:rPr>
          <w:rFonts w:ascii="Book Antiqua" w:hAnsi="Book Antiqua"/>
        </w:rPr>
        <w:t xml:space="preserve">CforAT, Reply Comments on Staff Proposal at </w:t>
      </w:r>
      <w:r w:rsidR="00317451">
        <w:rPr>
          <w:rFonts w:ascii="Book Antiqua" w:hAnsi="Book Antiqua"/>
        </w:rPr>
        <w:t>5</w:t>
      </w:r>
      <w:r w:rsidR="00BD3EFB">
        <w:rPr>
          <w:rFonts w:ascii="Book Antiqua" w:hAnsi="Book Antiqua"/>
        </w:rPr>
        <w:t xml:space="preserve">, citing </w:t>
      </w:r>
      <w:r w:rsidRPr="00345F93">
        <w:rPr>
          <w:rFonts w:ascii="Book Antiqua" w:hAnsi="Book Antiqua"/>
        </w:rPr>
        <w:t xml:space="preserve">Pay Tel, Comments on Staff Proposal at 2. </w:t>
      </w:r>
    </w:p>
  </w:footnote>
  <w:footnote w:id="110">
    <w:p w14:paraId="564F9470" w14:textId="21BD92BE" w:rsidR="00FA4ED1" w:rsidRPr="00425FD3" w:rsidRDefault="00FA4ED1" w:rsidP="00FA4ED1">
      <w:pPr>
        <w:pStyle w:val="FootnoteText"/>
        <w:rPr>
          <w:rFonts w:ascii="Book Antiqua" w:hAnsi="Book Antiqua"/>
        </w:rPr>
      </w:pPr>
      <w:r w:rsidRPr="00425FD3">
        <w:rPr>
          <w:rStyle w:val="FootnoteReference"/>
          <w:rFonts w:ascii="Book Antiqua" w:hAnsi="Book Antiqua"/>
        </w:rPr>
        <w:footnoteRef/>
      </w:r>
      <w:r w:rsidRPr="00425FD3">
        <w:rPr>
          <w:rFonts w:ascii="Book Antiqua" w:hAnsi="Book Antiqua"/>
        </w:rPr>
        <w:t xml:space="preserve"> CforAT, Reply Comments on Staff Proposal at 6</w:t>
      </w:r>
      <w:r>
        <w:rPr>
          <w:rFonts w:ascii="Book Antiqua" w:hAnsi="Book Antiqua"/>
        </w:rPr>
        <w:t xml:space="preserve">, citing </w:t>
      </w:r>
      <w:r w:rsidRPr="00425FD3">
        <w:rPr>
          <w:rFonts w:ascii="Book Antiqua" w:hAnsi="Book Antiqua"/>
        </w:rPr>
        <w:t>Securus, Comments on Staff Proposal at 3, emphasis added</w:t>
      </w:r>
      <w:r w:rsidR="008360EC">
        <w:rPr>
          <w:rFonts w:ascii="Book Antiqua" w:hAnsi="Book Antiqua"/>
        </w:rPr>
        <w:t xml:space="preserve"> by CforAT.</w:t>
      </w:r>
    </w:p>
  </w:footnote>
  <w:footnote w:id="111">
    <w:p w14:paraId="2CD32A24" w14:textId="4541CBBA" w:rsidR="00035E41" w:rsidRPr="00425FD3" w:rsidRDefault="00035E41">
      <w:pPr>
        <w:pStyle w:val="FootnoteText"/>
        <w:rPr>
          <w:rFonts w:ascii="Book Antiqua" w:hAnsi="Book Antiqua"/>
        </w:rPr>
      </w:pPr>
      <w:r w:rsidRPr="00425FD3">
        <w:rPr>
          <w:rStyle w:val="FootnoteReference"/>
          <w:rFonts w:ascii="Book Antiqua" w:hAnsi="Book Antiqua"/>
        </w:rPr>
        <w:footnoteRef/>
      </w:r>
      <w:r w:rsidRPr="00425FD3">
        <w:rPr>
          <w:rFonts w:ascii="Book Antiqua" w:hAnsi="Book Antiqua"/>
        </w:rPr>
        <w:t xml:space="preserve"> </w:t>
      </w:r>
      <w:r w:rsidR="002A3842" w:rsidRPr="002A3842">
        <w:rPr>
          <w:rFonts w:ascii="Book Antiqua" w:hAnsi="Book Antiqua"/>
          <w:i/>
          <w:iCs/>
        </w:rPr>
        <w:t>Ibid.</w:t>
      </w:r>
      <w:r w:rsidRPr="00425FD3">
        <w:rPr>
          <w:rFonts w:ascii="Book Antiqua" w:hAnsi="Book Antiqua"/>
        </w:rPr>
        <w:t xml:space="preserve"> </w:t>
      </w:r>
    </w:p>
  </w:footnote>
  <w:footnote w:id="112">
    <w:p w14:paraId="615950A9" w14:textId="7094C76C" w:rsidR="001E64F8" w:rsidRPr="003200BF" w:rsidRDefault="001E64F8">
      <w:pPr>
        <w:pStyle w:val="FootnoteText"/>
        <w:rPr>
          <w:rFonts w:ascii="Book Antiqua" w:hAnsi="Book Antiqua"/>
        </w:rPr>
      </w:pPr>
      <w:r w:rsidRPr="002468CC">
        <w:rPr>
          <w:rStyle w:val="FootnoteReference"/>
          <w:rFonts w:ascii="Book Antiqua" w:hAnsi="Book Antiqua"/>
        </w:rPr>
        <w:footnoteRef/>
      </w:r>
      <w:r w:rsidRPr="002468CC">
        <w:rPr>
          <w:rFonts w:ascii="Book Antiqua" w:hAnsi="Book Antiqua"/>
        </w:rPr>
        <w:t xml:space="preserve"> </w:t>
      </w:r>
      <w:r w:rsidR="002A3842" w:rsidRPr="002468CC">
        <w:rPr>
          <w:rFonts w:ascii="Book Antiqua" w:hAnsi="Book Antiqua"/>
          <w:i/>
        </w:rPr>
        <w:t>Id.</w:t>
      </w:r>
      <w:r w:rsidR="002A3842" w:rsidRPr="002468CC">
        <w:rPr>
          <w:rFonts w:ascii="Book Antiqua" w:hAnsi="Book Antiqua"/>
        </w:rPr>
        <w:t xml:space="preserve"> </w:t>
      </w:r>
      <w:r w:rsidRPr="002468CC">
        <w:rPr>
          <w:rFonts w:ascii="Book Antiqua" w:hAnsi="Book Antiqua"/>
        </w:rPr>
        <w:t xml:space="preserve">at 5, citing U.S. Department of Justice and the Federal Trade Commission, Horizontal Merger Guidelines, </w:t>
      </w:r>
      <w:r w:rsidR="00E966B2">
        <w:rPr>
          <w:rFonts w:ascii="Book Antiqua" w:hAnsi="Book Antiqua"/>
        </w:rPr>
        <w:t>at</w:t>
      </w:r>
      <w:r w:rsidRPr="002468CC">
        <w:rPr>
          <w:rFonts w:ascii="Book Antiqua" w:hAnsi="Book Antiqua"/>
        </w:rPr>
        <w:t xml:space="preserve"> 7 (August 19, 2010), available</w:t>
      </w:r>
      <w:r w:rsidR="006A1102">
        <w:rPr>
          <w:rFonts w:ascii="Book Antiqua" w:hAnsi="Book Antiqua"/>
        </w:rPr>
        <w:t xml:space="preserve"> as of this writing</w:t>
      </w:r>
      <w:r w:rsidRPr="002468CC">
        <w:rPr>
          <w:rFonts w:ascii="Book Antiqua" w:hAnsi="Book Antiqua"/>
        </w:rPr>
        <w:t xml:space="preserve"> at </w:t>
      </w:r>
      <w:hyperlink r:id="rId16" w:history="1">
        <w:r w:rsidR="00E60800" w:rsidRPr="00DC0648">
          <w:rPr>
            <w:rStyle w:val="Hyperlink"/>
            <w:rFonts w:ascii="Book Antiqua" w:hAnsi="Book Antiqua"/>
          </w:rPr>
          <w:t>http://www.justice.gov/atr/public/guidelines/hmg-2010.pdf</w:t>
        </w:r>
      </w:hyperlink>
      <w:r w:rsidRPr="002468CC">
        <w:rPr>
          <w:rFonts w:ascii="Book Antiqua" w:hAnsi="Book Antiqua"/>
        </w:rPr>
        <w:t xml:space="preserve">; </w:t>
      </w:r>
      <w:r w:rsidR="00CE14C0" w:rsidRPr="002468CC">
        <w:rPr>
          <w:rFonts w:ascii="Book Antiqua" w:hAnsi="Book Antiqua"/>
        </w:rPr>
        <w:t>D.16-12-025 at p. 44; and, Joint Application for Approval Pursuant to Section 854(a) of Transfer of Control over Tracfone Wireless, Inc., In the Matter of the Joint Application of TracFone Wireless, Inc. (U4321C), America Movil, S.A.B. de C.V., and Verizon</w:t>
      </w:r>
      <w:r w:rsidR="00CE14C0" w:rsidRPr="003200BF">
        <w:rPr>
          <w:rFonts w:ascii="Book Antiqua" w:hAnsi="Book Antiqua"/>
        </w:rPr>
        <w:t xml:space="preserve"> Communications, Inc. for Approval of Transfer of Control Over TracFone Wireless, Inc., A</w:t>
      </w:r>
      <w:r w:rsidR="00E966B2">
        <w:rPr>
          <w:rFonts w:ascii="Book Antiqua" w:hAnsi="Book Antiqua"/>
        </w:rPr>
        <w:t>.</w:t>
      </w:r>
      <w:r w:rsidR="00CE14C0" w:rsidRPr="003200BF">
        <w:rPr>
          <w:rFonts w:ascii="Book Antiqua" w:hAnsi="Book Antiqua"/>
        </w:rPr>
        <w:t>20</w:t>
      </w:r>
      <w:r w:rsidR="00E966B2">
        <w:rPr>
          <w:rFonts w:ascii="Book Antiqua" w:hAnsi="Book Antiqua"/>
        </w:rPr>
        <w:noBreakHyphen/>
      </w:r>
      <w:r w:rsidR="00CE14C0" w:rsidRPr="003200BF">
        <w:rPr>
          <w:rFonts w:ascii="Book Antiqua" w:hAnsi="Book Antiqua"/>
        </w:rPr>
        <w:t>11-001 (Nov. 5, 2020).</w:t>
      </w:r>
    </w:p>
  </w:footnote>
  <w:footnote w:id="113">
    <w:p w14:paraId="0B470C98" w14:textId="243416D1" w:rsidR="009E78D3" w:rsidRPr="00425FD3" w:rsidRDefault="009E78D3">
      <w:pPr>
        <w:pStyle w:val="FootnoteText"/>
        <w:rPr>
          <w:rFonts w:ascii="Book Antiqua" w:hAnsi="Book Antiqua"/>
        </w:rPr>
      </w:pPr>
      <w:r w:rsidRPr="00425FD3">
        <w:rPr>
          <w:rStyle w:val="FootnoteReference"/>
          <w:rFonts w:ascii="Book Antiqua" w:hAnsi="Book Antiqua"/>
        </w:rPr>
        <w:footnoteRef/>
      </w:r>
      <w:r w:rsidRPr="00425FD3">
        <w:rPr>
          <w:rFonts w:ascii="Book Antiqua" w:hAnsi="Book Antiqua"/>
        </w:rPr>
        <w:t xml:space="preserve"> </w:t>
      </w:r>
      <w:r w:rsidR="004771D5" w:rsidRPr="004771D5">
        <w:rPr>
          <w:rFonts w:ascii="Book Antiqua" w:hAnsi="Book Antiqua"/>
          <w:i/>
          <w:iCs/>
        </w:rPr>
        <w:t>Id</w:t>
      </w:r>
      <w:r w:rsidR="004771D5">
        <w:rPr>
          <w:rFonts w:ascii="Book Antiqua" w:hAnsi="Book Antiqua"/>
        </w:rPr>
        <w:t xml:space="preserve">. at 3. </w:t>
      </w:r>
      <w:r w:rsidRPr="00425FD3">
        <w:rPr>
          <w:rFonts w:ascii="Book Antiqua" w:hAnsi="Book Antiqua"/>
        </w:rPr>
        <w:t xml:space="preserve">  </w:t>
      </w:r>
    </w:p>
  </w:footnote>
  <w:footnote w:id="114">
    <w:p w14:paraId="0EFE8C16" w14:textId="3645EEFB" w:rsidR="00414F82" w:rsidRPr="003200BF" w:rsidRDefault="00414F82" w:rsidP="00D953AA">
      <w:pPr>
        <w:pStyle w:val="FootnoteText"/>
        <w:rPr>
          <w:rFonts w:ascii="Book Antiqua" w:hAnsi="Book Antiqua"/>
        </w:rPr>
      </w:pPr>
      <w:r w:rsidRPr="003200BF">
        <w:rPr>
          <w:rStyle w:val="FootnoteReference"/>
          <w:rFonts w:ascii="Book Antiqua" w:hAnsi="Book Antiqua"/>
        </w:rPr>
        <w:footnoteRef/>
      </w:r>
      <w:r w:rsidRPr="003200BF">
        <w:rPr>
          <w:rFonts w:ascii="Book Antiqua" w:hAnsi="Book Antiqua"/>
        </w:rPr>
        <w:t xml:space="preserve"> </w:t>
      </w:r>
      <w:r w:rsidR="00474561" w:rsidRPr="003200BF">
        <w:rPr>
          <w:rFonts w:ascii="Book Antiqua" w:hAnsi="Book Antiqua"/>
        </w:rPr>
        <w:t>Securus, Comments on Staff Proposal at 15, citing</w:t>
      </w:r>
      <w:r w:rsidR="003E3D4F" w:rsidRPr="003200BF">
        <w:rPr>
          <w:rFonts w:ascii="Book Antiqua" w:hAnsi="Book Antiqua"/>
        </w:rPr>
        <w:t xml:space="preserve"> 2013 Order at</w:t>
      </w:r>
      <w:r w:rsidR="00D953AA" w:rsidRPr="003200BF">
        <w:rPr>
          <w:rFonts w:ascii="Book Antiqua" w:hAnsi="Book Antiqua"/>
        </w:rPr>
        <w:t xml:space="preserve"> ¶ 34</w:t>
      </w:r>
      <w:r w:rsidR="003E3D4F" w:rsidRPr="003200BF">
        <w:rPr>
          <w:rFonts w:ascii="Book Antiqua" w:hAnsi="Book Antiqua"/>
        </w:rPr>
        <w:t>.</w:t>
      </w:r>
    </w:p>
  </w:footnote>
  <w:footnote w:id="115">
    <w:p w14:paraId="28C0A34A" w14:textId="431FA402" w:rsidR="00066F32" w:rsidRPr="00F53329" w:rsidRDefault="00066F32" w:rsidP="00FB5544">
      <w:pPr>
        <w:pStyle w:val="FootnoteText"/>
        <w:rPr>
          <w:rFonts w:ascii="Book Antiqua" w:hAnsi="Book Antiqua"/>
        </w:rPr>
      </w:pPr>
      <w:r w:rsidRPr="003200BF">
        <w:rPr>
          <w:rStyle w:val="FootnoteReference"/>
          <w:rFonts w:ascii="Book Antiqua" w:hAnsi="Book Antiqua"/>
        </w:rPr>
        <w:footnoteRef/>
      </w:r>
      <w:r w:rsidRPr="003200BF">
        <w:rPr>
          <w:rFonts w:ascii="Book Antiqua" w:hAnsi="Book Antiqua"/>
        </w:rPr>
        <w:t xml:space="preserve"> </w:t>
      </w:r>
      <w:r w:rsidR="00FA77FC">
        <w:rPr>
          <w:rFonts w:ascii="Book Antiqua" w:hAnsi="Book Antiqua"/>
        </w:rPr>
        <w:t>Cal. Pen. Code, §</w:t>
      </w:r>
      <w:r w:rsidR="00E22D8B" w:rsidRPr="003200BF">
        <w:rPr>
          <w:rFonts w:ascii="Book Antiqua" w:hAnsi="Book Antiqua"/>
        </w:rPr>
        <w:t xml:space="preserve"> 4025</w:t>
      </w:r>
      <w:r w:rsidR="00977498" w:rsidRPr="003200BF">
        <w:rPr>
          <w:rFonts w:ascii="Book Antiqua" w:hAnsi="Book Antiqua"/>
        </w:rPr>
        <w:t xml:space="preserve">: </w:t>
      </w:r>
      <w:r w:rsidR="00B626A3">
        <w:rPr>
          <w:rFonts w:ascii="Book Antiqua" w:hAnsi="Book Antiqua"/>
        </w:rPr>
        <w:t>“</w:t>
      </w:r>
      <w:r w:rsidR="005B5FEC" w:rsidRPr="003200BF">
        <w:rPr>
          <w:rFonts w:ascii="Book Antiqua" w:hAnsi="Book Antiqua"/>
        </w:rPr>
        <w:t>(a) The sheriff of each county may establish</w:t>
      </w:r>
      <w:r w:rsidR="00990488" w:rsidRPr="003200BF">
        <w:rPr>
          <w:rFonts w:ascii="Book Antiqua" w:hAnsi="Book Antiqua"/>
        </w:rPr>
        <w:t xml:space="preserve"> [an inmate welfare </w:t>
      </w:r>
      <w:r w:rsidR="00146985" w:rsidRPr="003200BF">
        <w:rPr>
          <w:rFonts w:ascii="Book Antiqua" w:hAnsi="Book Antiqua"/>
        </w:rPr>
        <w:t>fund] …</w:t>
      </w:r>
      <w:r w:rsidR="002E54AC">
        <w:rPr>
          <w:rFonts w:ascii="Book Antiqua" w:hAnsi="Book Antiqua"/>
        </w:rPr>
        <w:t xml:space="preserve"> </w:t>
      </w:r>
      <w:r w:rsidR="0051282B" w:rsidRPr="003200BF">
        <w:rPr>
          <w:rFonts w:ascii="Book Antiqua" w:hAnsi="Book Antiqua"/>
        </w:rPr>
        <w:t xml:space="preserve">(d) </w:t>
      </w:r>
      <w:r w:rsidR="00E22D8B" w:rsidRPr="003200BF">
        <w:rPr>
          <w:rFonts w:ascii="Book Antiqua" w:hAnsi="Book Antiqua"/>
        </w:rPr>
        <w:t>There shall be deposited in the inmate welfare fund any money, refund, rebate, or commission received from a telephone company or pay telephone provider when the money, refund, rebate, or commission is attributable to the use of pay telephones which are primarily used by inmates while incarcerated. (e) The money and property deposited in the inmate welfare fund shall be expended by the sheriff primarily for the benefit, education, and welfare of the inmates confined within the jail. Any funds that are not needed for the welfare of the inmates may be expended for the maintenance of county jail</w:t>
      </w:r>
      <w:r w:rsidR="00E22D8B" w:rsidRPr="00F53329">
        <w:rPr>
          <w:rFonts w:ascii="Book Antiqua" w:hAnsi="Book Antiqua"/>
        </w:rPr>
        <w:t xml:space="preserve"> facilities. Maintenance of county jail facilities may include, but is not limited to, the salary and benefits of personnel used in the programs to benefit the inmates, including, but not limited to, education, drug and alcohol treatment, welfare, library, accounting, and other programs deemed appropriate by the sheriff. Inmate welfare funds shall not be used to pay required county expenses of confining inmates in a local detention system, such as meals, clothing, housing, or medical services or expenses, except that inmate welfare funds may be used to augment those required county expenses as determined by the sheriff to be in the best interests of inmates. An itemized report of these expenditures shall be submitted annually to the board of supervisors.</w:t>
      </w:r>
      <w:r w:rsidR="003A2C58" w:rsidRPr="00F53329">
        <w:rPr>
          <w:rFonts w:ascii="Book Antiqua" w:hAnsi="Book Antiqua"/>
        </w:rPr>
        <w:t>”</w:t>
      </w:r>
    </w:p>
  </w:footnote>
  <w:footnote w:id="116">
    <w:p w14:paraId="50305125" w14:textId="16303BB7" w:rsidR="007B5A90" w:rsidRDefault="007B5A90" w:rsidP="007B5A90">
      <w:pPr>
        <w:pStyle w:val="FootnoteText"/>
      </w:pPr>
      <w:r>
        <w:rPr>
          <w:rStyle w:val="FootnoteReference"/>
        </w:rPr>
        <w:footnoteRef/>
      </w:r>
      <w:r>
        <w:t xml:space="preserve"> </w:t>
      </w:r>
      <w:r w:rsidR="0021410A" w:rsidRPr="00AF618C">
        <w:rPr>
          <w:rFonts w:ascii="Book Antiqua" w:hAnsi="Book Antiqua"/>
        </w:rPr>
        <w:t xml:space="preserve">FCC Third Order at 31. </w:t>
      </w:r>
      <w:r w:rsidR="0021410A" w:rsidRPr="00AC501A">
        <w:rPr>
          <w:rFonts w:ascii="Book Antiqua" w:hAnsi="Book Antiqua"/>
        </w:rPr>
        <w:t>See 2002 Pay Telephone Order, 17 FCC Rcd at 3252-53, para. 10; see also GTL v. FCC, 866 F.3d at 404 (“Winning [inmate calling services] providers thus operate locational monopolies with a captive consumer base of inmates . . . .”).</w:t>
      </w:r>
      <w:r w:rsidRPr="006B1490">
        <w:t xml:space="preserve">  </w:t>
      </w:r>
    </w:p>
  </w:footnote>
  <w:footnote w:id="117">
    <w:p w14:paraId="0D5923C6" w14:textId="3AA61C91" w:rsidR="00901AB6" w:rsidRPr="009C465A" w:rsidRDefault="00901AB6">
      <w:pPr>
        <w:pStyle w:val="FootnoteText"/>
        <w:rPr>
          <w:rFonts w:ascii="Book Antiqua" w:hAnsi="Book Antiqua"/>
        </w:rPr>
      </w:pPr>
      <w:r w:rsidRPr="009C465A">
        <w:rPr>
          <w:rStyle w:val="FootnoteReference"/>
          <w:rFonts w:ascii="Book Antiqua" w:hAnsi="Book Antiqua"/>
        </w:rPr>
        <w:footnoteRef/>
      </w:r>
      <w:r w:rsidRPr="009C465A">
        <w:rPr>
          <w:rFonts w:ascii="Book Antiqua" w:hAnsi="Book Antiqua"/>
        </w:rPr>
        <w:t xml:space="preserve"> </w:t>
      </w:r>
      <w:r w:rsidR="008F091B" w:rsidRPr="009C465A">
        <w:rPr>
          <w:rFonts w:ascii="Book Antiqua" w:hAnsi="Book Antiqua"/>
        </w:rPr>
        <w:t xml:space="preserve">GTL, Comments on Staff Proposal at </w:t>
      </w:r>
      <w:r w:rsidR="00291EB3" w:rsidRPr="009C465A">
        <w:rPr>
          <w:rFonts w:ascii="Book Antiqua" w:hAnsi="Book Antiqua"/>
        </w:rPr>
        <w:t>12</w:t>
      </w:r>
      <w:r w:rsidR="008F091B" w:rsidRPr="009C465A">
        <w:rPr>
          <w:rFonts w:ascii="Book Antiqua" w:hAnsi="Book Antiqua"/>
        </w:rPr>
        <w:t xml:space="preserve">. </w:t>
      </w:r>
    </w:p>
  </w:footnote>
  <w:footnote w:id="118">
    <w:p w14:paraId="2F7ED8EF" w14:textId="53DF11B4" w:rsidR="00F643F5" w:rsidRPr="009C465A" w:rsidRDefault="00F643F5">
      <w:pPr>
        <w:pStyle w:val="FootnoteText"/>
        <w:rPr>
          <w:rFonts w:ascii="Book Antiqua" w:hAnsi="Book Antiqua"/>
        </w:rPr>
      </w:pPr>
      <w:r w:rsidRPr="009C465A">
        <w:rPr>
          <w:rStyle w:val="FootnoteReference"/>
          <w:rFonts w:ascii="Book Antiqua" w:hAnsi="Book Antiqua"/>
        </w:rPr>
        <w:footnoteRef/>
      </w:r>
      <w:r w:rsidRPr="009C465A">
        <w:rPr>
          <w:rFonts w:ascii="Book Antiqua" w:hAnsi="Book Antiqua"/>
        </w:rPr>
        <w:t xml:space="preserve"> </w:t>
      </w:r>
      <w:r w:rsidR="008C1281" w:rsidRPr="009C465A">
        <w:rPr>
          <w:rFonts w:ascii="Book Antiqua" w:hAnsi="Book Antiqua"/>
          <w:i/>
          <w:iCs/>
        </w:rPr>
        <w:t>See</w:t>
      </w:r>
      <w:r w:rsidR="008C1281" w:rsidRPr="009C465A">
        <w:rPr>
          <w:rFonts w:ascii="Book Antiqua" w:hAnsi="Book Antiqua"/>
        </w:rPr>
        <w:t xml:space="preserve"> </w:t>
      </w:r>
      <w:r w:rsidR="00341CE2" w:rsidRPr="009C465A">
        <w:rPr>
          <w:rFonts w:ascii="Book Antiqua" w:hAnsi="Book Antiqua"/>
        </w:rPr>
        <w:t xml:space="preserve">D.19-05-023 at </w:t>
      </w:r>
      <w:r w:rsidR="00097FAB" w:rsidRPr="009C465A">
        <w:rPr>
          <w:rFonts w:ascii="Book Antiqua" w:hAnsi="Book Antiqua"/>
        </w:rPr>
        <w:t>17-19</w:t>
      </w:r>
      <w:r w:rsidR="00341CE2" w:rsidRPr="009C465A">
        <w:rPr>
          <w:rFonts w:ascii="Book Antiqua" w:hAnsi="Book Antiqua"/>
        </w:rPr>
        <w:t xml:space="preserve">. </w:t>
      </w:r>
    </w:p>
  </w:footnote>
  <w:footnote w:id="119">
    <w:p w14:paraId="1D0CCF3B" w14:textId="23D89B3A" w:rsidR="008C1281" w:rsidRPr="009C465A" w:rsidRDefault="008C1281">
      <w:pPr>
        <w:pStyle w:val="FootnoteText"/>
        <w:rPr>
          <w:rFonts w:ascii="Book Antiqua" w:hAnsi="Book Antiqua"/>
        </w:rPr>
      </w:pPr>
      <w:r w:rsidRPr="009C465A">
        <w:rPr>
          <w:rStyle w:val="FootnoteReference"/>
          <w:rFonts w:ascii="Book Antiqua" w:hAnsi="Book Antiqua"/>
        </w:rPr>
        <w:footnoteRef/>
      </w:r>
      <w:r w:rsidRPr="009C465A">
        <w:rPr>
          <w:rFonts w:ascii="Book Antiqua" w:hAnsi="Book Antiqua"/>
        </w:rPr>
        <w:t xml:space="preserve"> </w:t>
      </w:r>
      <w:r w:rsidRPr="009C465A">
        <w:rPr>
          <w:rFonts w:ascii="Book Antiqua" w:hAnsi="Book Antiqua"/>
          <w:i/>
          <w:iCs/>
        </w:rPr>
        <w:t>See</w:t>
      </w:r>
      <w:r w:rsidRPr="009C465A">
        <w:rPr>
          <w:rFonts w:ascii="Book Antiqua" w:hAnsi="Book Antiqua"/>
        </w:rPr>
        <w:t xml:space="preserve"> </w:t>
      </w:r>
      <w:r w:rsidR="0063770F" w:rsidRPr="009C465A">
        <w:rPr>
          <w:rFonts w:ascii="Book Antiqua" w:hAnsi="Book Antiqua"/>
        </w:rPr>
        <w:t>D.04-05</w:t>
      </w:r>
      <w:r w:rsidR="00ED2B81" w:rsidRPr="009C465A">
        <w:rPr>
          <w:rFonts w:ascii="Book Antiqua" w:hAnsi="Book Antiqua"/>
        </w:rPr>
        <w:t>-020 at 41</w:t>
      </w:r>
      <w:r w:rsidR="007E688B" w:rsidRPr="009C465A">
        <w:rPr>
          <w:rFonts w:ascii="Book Antiqua" w:hAnsi="Book Antiqua"/>
        </w:rPr>
        <w:t>.</w:t>
      </w:r>
    </w:p>
  </w:footnote>
  <w:footnote w:id="120">
    <w:p w14:paraId="64C1D607" w14:textId="07C494C0" w:rsidR="00FD57C2" w:rsidRDefault="00FD57C2">
      <w:pPr>
        <w:pStyle w:val="FootnoteText"/>
      </w:pPr>
      <w:r>
        <w:rPr>
          <w:rStyle w:val="FootnoteReference"/>
        </w:rPr>
        <w:footnoteRef/>
      </w:r>
      <w:r>
        <w:t xml:space="preserve"> </w:t>
      </w:r>
      <w:r w:rsidRPr="00FD57C2">
        <w:rPr>
          <w:i/>
          <w:iCs/>
        </w:rPr>
        <w:t>Ibid.</w:t>
      </w:r>
    </w:p>
  </w:footnote>
  <w:footnote w:id="121">
    <w:p w14:paraId="218B2864" w14:textId="06FEBA26" w:rsidR="00A14A1F" w:rsidRPr="00955B5F" w:rsidRDefault="00A14A1F" w:rsidP="00A14A1F">
      <w:pPr>
        <w:pStyle w:val="FootnoteText"/>
        <w:rPr>
          <w:rFonts w:ascii="Book Antiqua" w:hAnsi="Book Antiqua"/>
        </w:rPr>
      </w:pPr>
      <w:r w:rsidRPr="009C465A">
        <w:rPr>
          <w:rStyle w:val="FootnoteReference"/>
          <w:rFonts w:ascii="Book Antiqua" w:hAnsi="Book Antiqua"/>
        </w:rPr>
        <w:footnoteRef/>
      </w:r>
      <w:r w:rsidRPr="009C465A">
        <w:rPr>
          <w:rFonts w:ascii="Book Antiqua" w:hAnsi="Book Antiqua"/>
        </w:rPr>
        <w:t xml:space="preserve"> 14 FCC Rcd 2545, 2547, 2562; Implementation of Pay Telephone Reclassification &amp; Compensation Provisions of the Telecommunications Act of 1996, CC Docket No. 96-128, Order on Remand and Notice of Proposed Rulemaking, 17 FCC Rcd 3248, 3262 ¶ 38, 3252-3253 ¶¶ 10, 12, (2002); </w:t>
      </w:r>
      <w:r w:rsidRPr="009C465A">
        <w:rPr>
          <w:rFonts w:ascii="Book Antiqua" w:hAnsi="Book Antiqua"/>
          <w:i/>
          <w:iCs/>
        </w:rPr>
        <w:t>See also</w:t>
      </w:r>
      <w:r w:rsidRPr="009C465A">
        <w:rPr>
          <w:rFonts w:ascii="Book Antiqua" w:hAnsi="Book Antiqua"/>
        </w:rPr>
        <w:t xml:space="preserve"> GTL v. FCC 866 F. 3</w:t>
      </w:r>
      <w:r w:rsidRPr="009C465A">
        <w:rPr>
          <w:rFonts w:ascii="Book Antiqua" w:hAnsi="Book Antiqua"/>
          <w:vertAlign w:val="superscript"/>
        </w:rPr>
        <w:t>rd</w:t>
      </w:r>
      <w:r w:rsidRPr="009C465A">
        <w:rPr>
          <w:rFonts w:ascii="Book Antiqua" w:hAnsi="Book Antiqua"/>
        </w:rPr>
        <w:t xml:space="preserve"> at 404; </w:t>
      </w:r>
      <w:r w:rsidRPr="009C465A">
        <w:rPr>
          <w:rFonts w:ascii="Book Antiqua" w:hAnsi="Book Antiqua"/>
          <w:i/>
          <w:iCs/>
        </w:rPr>
        <w:t>See also</w:t>
      </w:r>
      <w:r w:rsidRPr="009C465A">
        <w:rPr>
          <w:rFonts w:ascii="Book Antiqua" w:hAnsi="Book Antiqua"/>
        </w:rPr>
        <w:t xml:space="preserve"> FCC Third Order at ¶¶ 7, 31, 107, 115, </w:t>
      </w:r>
      <w:r w:rsidRPr="00955B5F">
        <w:rPr>
          <w:rFonts w:ascii="Book Antiqua" w:hAnsi="Book Antiqua"/>
        </w:rPr>
        <w:t>147, 312.</w:t>
      </w:r>
      <w:r w:rsidR="001032BF" w:rsidRPr="00955B5F">
        <w:rPr>
          <w:rFonts w:ascii="Book Antiqua" w:hAnsi="Book Antiqua"/>
        </w:rPr>
        <w:t xml:space="preserve"> </w:t>
      </w:r>
    </w:p>
  </w:footnote>
  <w:footnote w:id="122">
    <w:p w14:paraId="12376C50" w14:textId="6E10D853" w:rsidR="00AA67DB" w:rsidRPr="00955B5F" w:rsidRDefault="00AA67DB">
      <w:pPr>
        <w:pStyle w:val="FootnoteText"/>
        <w:rPr>
          <w:rFonts w:ascii="Book Antiqua" w:hAnsi="Book Antiqua"/>
        </w:rPr>
      </w:pPr>
      <w:r w:rsidRPr="00955B5F">
        <w:rPr>
          <w:rStyle w:val="FootnoteReference"/>
          <w:rFonts w:ascii="Book Antiqua" w:hAnsi="Book Antiqua"/>
        </w:rPr>
        <w:footnoteRef/>
      </w:r>
      <w:r w:rsidRPr="00955B5F">
        <w:rPr>
          <w:rFonts w:ascii="Book Antiqua" w:hAnsi="Book Antiqua"/>
        </w:rPr>
        <w:t xml:space="preserve"> Securus, Comments on Proposed Decision at 5.</w:t>
      </w:r>
    </w:p>
  </w:footnote>
  <w:footnote w:id="123">
    <w:p w14:paraId="2878AB83" w14:textId="62DFF8B3" w:rsidR="00AA67DB" w:rsidRDefault="00AA67DB">
      <w:pPr>
        <w:pStyle w:val="FootnoteText"/>
      </w:pPr>
      <w:r w:rsidRPr="00955B5F">
        <w:rPr>
          <w:rStyle w:val="FootnoteReference"/>
          <w:rFonts w:ascii="Book Antiqua" w:hAnsi="Book Antiqua"/>
        </w:rPr>
        <w:footnoteRef/>
      </w:r>
      <w:r w:rsidRPr="00955B5F">
        <w:rPr>
          <w:rFonts w:ascii="Book Antiqua" w:hAnsi="Book Antiqua"/>
        </w:rPr>
        <w:t xml:space="preserve"> GTL, Comments on Proposed Decision at 7.</w:t>
      </w:r>
    </w:p>
  </w:footnote>
  <w:footnote w:id="124">
    <w:p w14:paraId="4586D9FB" w14:textId="770C233D" w:rsidR="00C109AD" w:rsidRPr="000D000A" w:rsidRDefault="00C109AD">
      <w:pPr>
        <w:pStyle w:val="FootnoteText"/>
        <w:rPr>
          <w:rFonts w:ascii="Book Antiqua" w:hAnsi="Book Antiqua"/>
        </w:rPr>
      </w:pPr>
      <w:r w:rsidRPr="000D000A">
        <w:rPr>
          <w:rStyle w:val="FootnoteReference"/>
          <w:rFonts w:ascii="Book Antiqua" w:hAnsi="Book Antiqua"/>
        </w:rPr>
        <w:footnoteRef/>
      </w:r>
      <w:r w:rsidRPr="000D000A">
        <w:rPr>
          <w:rFonts w:ascii="Book Antiqua" w:hAnsi="Book Antiqua"/>
        </w:rPr>
        <w:t xml:space="preserve"> </w:t>
      </w:r>
      <w:r w:rsidR="00A535B9" w:rsidRPr="000D2A5D">
        <w:rPr>
          <w:rFonts w:ascii="Book Antiqua" w:hAnsi="Book Antiqua"/>
          <w:i/>
          <w:iCs/>
        </w:rPr>
        <w:t>See</w:t>
      </w:r>
      <w:r w:rsidR="00A535B9" w:rsidRPr="000D000A">
        <w:rPr>
          <w:rFonts w:ascii="Book Antiqua" w:hAnsi="Book Antiqua"/>
        </w:rPr>
        <w:t xml:space="preserve"> </w:t>
      </w:r>
      <w:r w:rsidR="00194A72">
        <w:rPr>
          <w:rFonts w:ascii="Book Antiqua" w:hAnsi="Book Antiqua"/>
        </w:rPr>
        <w:t xml:space="preserve">FCC </w:t>
      </w:r>
      <w:r w:rsidR="00A535B9" w:rsidRPr="000D000A">
        <w:rPr>
          <w:rFonts w:ascii="Book Antiqua" w:hAnsi="Book Antiqua"/>
        </w:rPr>
        <w:t>Third Order at ¶ 112</w:t>
      </w:r>
      <w:r w:rsidR="00425A6D" w:rsidRPr="000D000A">
        <w:rPr>
          <w:rFonts w:ascii="Book Antiqua" w:hAnsi="Book Antiqua"/>
        </w:rPr>
        <w:t>. “</w:t>
      </w:r>
      <w:r w:rsidR="00A535B9" w:rsidRPr="000D000A">
        <w:rPr>
          <w:rFonts w:ascii="Book Antiqua" w:hAnsi="Book Antiqua"/>
        </w:rPr>
        <w:t>Without effective regulation, providers bidding for a facility’s monopoly franchise compete to offer the highest site commission payments, which they then recover through correspondingly higher rates charged to incarcerated people and their families</w:t>
      </w:r>
      <w:r w:rsidR="00425A6D" w:rsidRPr="000D000A">
        <w:rPr>
          <w:rFonts w:ascii="Book Antiqua" w:hAnsi="Book Antiqua"/>
        </w:rPr>
        <w:t>.”</w:t>
      </w:r>
      <w:r w:rsidR="00BA41C2">
        <w:rPr>
          <w:rFonts w:ascii="Book Antiqua" w:hAnsi="Book Antiqua"/>
        </w:rPr>
        <w:t xml:space="preserve"> </w:t>
      </w:r>
    </w:p>
  </w:footnote>
  <w:footnote w:id="125">
    <w:p w14:paraId="758585F1" w14:textId="0110985F" w:rsidR="006F6232" w:rsidRPr="0039501E" w:rsidRDefault="006F6232">
      <w:pPr>
        <w:pStyle w:val="FootnoteText"/>
        <w:rPr>
          <w:rFonts w:ascii="Book Antiqua" w:hAnsi="Book Antiqua"/>
        </w:rPr>
      </w:pPr>
      <w:r w:rsidRPr="0039501E">
        <w:rPr>
          <w:rStyle w:val="FootnoteReference"/>
          <w:rFonts w:ascii="Book Antiqua" w:hAnsi="Book Antiqua"/>
        </w:rPr>
        <w:footnoteRef/>
      </w:r>
      <w:r w:rsidRPr="0039501E">
        <w:rPr>
          <w:rFonts w:ascii="Book Antiqua" w:hAnsi="Book Antiqua"/>
        </w:rPr>
        <w:t xml:space="preserve"> Securus, Comments on Proposed Decision at 6. </w:t>
      </w:r>
    </w:p>
  </w:footnote>
  <w:footnote w:id="126">
    <w:p w14:paraId="50732477" w14:textId="2D12A419" w:rsidR="0039501E" w:rsidRDefault="0039501E">
      <w:pPr>
        <w:pStyle w:val="FootnoteText"/>
      </w:pPr>
      <w:r w:rsidRPr="0039501E">
        <w:rPr>
          <w:rStyle w:val="FootnoteReference"/>
          <w:rFonts w:ascii="Book Antiqua" w:hAnsi="Book Antiqua"/>
        </w:rPr>
        <w:footnoteRef/>
      </w:r>
      <w:r w:rsidRPr="0039501E">
        <w:rPr>
          <w:rFonts w:ascii="Book Antiqua" w:hAnsi="Book Antiqua"/>
        </w:rPr>
        <w:t xml:space="preserve"> GTL v. FCC, 866 F.3d at 414.</w:t>
      </w:r>
    </w:p>
  </w:footnote>
  <w:footnote w:id="127">
    <w:p w14:paraId="35EA584C" w14:textId="32C09A95" w:rsidR="005029AB" w:rsidRDefault="005029AB" w:rsidP="005029AB">
      <w:pPr>
        <w:pStyle w:val="FootnoteText"/>
      </w:pPr>
      <w:r>
        <w:rPr>
          <w:rStyle w:val="FootnoteReference"/>
        </w:rPr>
        <w:footnoteRef/>
      </w:r>
      <w:r>
        <w:t xml:space="preserve"> </w:t>
      </w:r>
      <w:r w:rsidRPr="00263624">
        <w:rPr>
          <w:rFonts w:ascii="Book Antiqua" w:hAnsi="Book Antiqua"/>
        </w:rPr>
        <w:t>FCC Third Order at 107.</w:t>
      </w:r>
      <w:r>
        <w:rPr>
          <w:rFonts w:ascii="Book Antiqua" w:hAnsi="Book Antiqua"/>
        </w:rPr>
        <w:t xml:space="preserve">  </w:t>
      </w:r>
    </w:p>
  </w:footnote>
  <w:footnote w:id="128">
    <w:p w14:paraId="5198F8D8" w14:textId="77777777" w:rsidR="00611756" w:rsidRPr="00B91539" w:rsidRDefault="00611756" w:rsidP="00611756">
      <w:pPr>
        <w:pStyle w:val="FootnoteText"/>
        <w:rPr>
          <w:rFonts w:ascii="Book Antiqua" w:hAnsi="Book Antiqua"/>
        </w:rPr>
      </w:pPr>
      <w:r w:rsidRPr="00B91539">
        <w:rPr>
          <w:rStyle w:val="FootnoteReference"/>
          <w:rFonts w:ascii="Book Antiqua" w:hAnsi="Book Antiqua"/>
        </w:rPr>
        <w:footnoteRef/>
      </w:r>
      <w:r w:rsidRPr="00B91539">
        <w:rPr>
          <w:rFonts w:ascii="Book Antiqua" w:hAnsi="Book Antiqua"/>
        </w:rPr>
        <w:t xml:space="preserve"> FCC Third Order at 127. </w:t>
      </w:r>
    </w:p>
  </w:footnote>
  <w:footnote w:id="129">
    <w:p w14:paraId="748F5A32" w14:textId="4EBF3B44" w:rsidR="00611756" w:rsidRDefault="00611756" w:rsidP="00611756">
      <w:pPr>
        <w:pStyle w:val="FootnoteText"/>
      </w:pPr>
      <w:r>
        <w:rPr>
          <w:rStyle w:val="FootnoteReference"/>
        </w:rPr>
        <w:footnoteRef/>
      </w:r>
      <w:r>
        <w:t xml:space="preserve"> </w:t>
      </w:r>
      <w:r w:rsidRPr="00B22C0B">
        <w:rPr>
          <w:rFonts w:ascii="Book Antiqua" w:hAnsi="Book Antiqua"/>
        </w:rPr>
        <w:t>FCC Third Order at 120</w:t>
      </w:r>
      <w:r w:rsidR="00AD504A">
        <w:rPr>
          <w:rFonts w:ascii="Book Antiqua" w:hAnsi="Book Antiqua"/>
        </w:rPr>
        <w:t xml:space="preserve">, emphasis added. </w:t>
      </w:r>
    </w:p>
  </w:footnote>
  <w:footnote w:id="130">
    <w:p w14:paraId="5E96A52E" w14:textId="5CD2F639" w:rsidR="0083155D" w:rsidRPr="00425FD3" w:rsidRDefault="0083155D" w:rsidP="000B63B3">
      <w:pPr>
        <w:pStyle w:val="FootnoteText"/>
        <w:rPr>
          <w:rFonts w:ascii="Book Antiqua" w:hAnsi="Book Antiqua"/>
        </w:rPr>
      </w:pPr>
      <w:r w:rsidRPr="000A7282">
        <w:rPr>
          <w:rStyle w:val="FootnoteReference"/>
          <w:rFonts w:ascii="Book Antiqua" w:hAnsi="Book Antiqua"/>
        </w:rPr>
        <w:footnoteRef/>
      </w:r>
      <w:r w:rsidRPr="000A7282">
        <w:rPr>
          <w:rFonts w:ascii="Book Antiqua" w:hAnsi="Book Antiqua"/>
        </w:rPr>
        <w:t xml:space="preserve"> Prison Policy Institute, Comments on Order Instituting Rulemaking, citing First Report &amp; Order ¶¶ 39-41, 28 FCC Rcd. at 14128-30; </w:t>
      </w:r>
      <w:r w:rsidRPr="00472730">
        <w:rPr>
          <w:rFonts w:ascii="Book Antiqua" w:hAnsi="Book Antiqua"/>
          <w:i/>
          <w:iCs/>
        </w:rPr>
        <w:t>G</w:t>
      </w:r>
      <w:r w:rsidR="003E4692" w:rsidRPr="00472730">
        <w:rPr>
          <w:rFonts w:ascii="Book Antiqua" w:hAnsi="Book Antiqua"/>
          <w:i/>
          <w:iCs/>
        </w:rPr>
        <w:t>TL</w:t>
      </w:r>
      <w:r w:rsidRPr="00472730">
        <w:rPr>
          <w:rFonts w:ascii="Book Antiqua" w:hAnsi="Book Antiqua"/>
          <w:i/>
          <w:iCs/>
        </w:rPr>
        <w:t xml:space="preserve"> v. FCC</w:t>
      </w:r>
      <w:r w:rsidRPr="000A7282">
        <w:rPr>
          <w:rFonts w:ascii="Book Antiqua" w:hAnsi="Book Antiqua"/>
        </w:rPr>
        <w:t>, 866 F.3d at 404 (“Once a long-term, exclusive contract bid is awarded to an ICS provider, competition ceases for the duration of the contract and subsequent contract renewals. Winning I</w:t>
      </w:r>
      <w:r w:rsidR="00A14097">
        <w:rPr>
          <w:rFonts w:ascii="Book Antiqua" w:hAnsi="Book Antiqua"/>
        </w:rPr>
        <w:t>[P]</w:t>
      </w:r>
      <w:r w:rsidRPr="000A7282">
        <w:rPr>
          <w:rFonts w:ascii="Book Antiqua" w:hAnsi="Book Antiqua"/>
        </w:rPr>
        <w:t>CS providers thus operate locational monopolies with a captive consumer base of inmates and the need to pay high site commissions.”); and,</w:t>
      </w:r>
      <w:r w:rsidRPr="000D000A">
        <w:rPr>
          <w:rFonts w:ascii="Book Antiqua" w:hAnsi="Book Antiqua"/>
        </w:rPr>
        <w:t xml:space="preserve"> </w:t>
      </w:r>
      <w:r w:rsidRPr="000D000A">
        <w:rPr>
          <w:rFonts w:ascii="Book Antiqua" w:hAnsi="Book Antiqua"/>
          <w:i/>
        </w:rPr>
        <w:t>Id.</w:t>
      </w:r>
      <w:r w:rsidRPr="000D000A">
        <w:rPr>
          <w:rFonts w:ascii="Book Antiqua" w:hAnsi="Book Antiqua"/>
        </w:rPr>
        <w:t xml:space="preserve"> at 111, 28 FCC Rcd. at 14217 (Ajit Pai, dissenting) </w:t>
      </w:r>
      <w:r w:rsidRPr="000A7282">
        <w:rPr>
          <w:rFonts w:ascii="Book Antiqua" w:hAnsi="Book Antiqua"/>
        </w:rPr>
        <w:t>(“[W]e cannot necessarily count on market competition to keep prices for inmate calling services just and reasonable.”).</w:t>
      </w:r>
      <w:r w:rsidRPr="00425FD3">
        <w:rPr>
          <w:rFonts w:ascii="Book Antiqua" w:hAnsi="Book Antiqua"/>
        </w:rPr>
        <w:t xml:space="preserve"> </w:t>
      </w:r>
      <w:r w:rsidR="0087209D">
        <w:rPr>
          <w:rFonts w:ascii="Book Antiqua" w:hAnsi="Book Antiqua"/>
        </w:rPr>
        <w:t xml:space="preserve"> </w:t>
      </w:r>
      <w:r w:rsidR="0087209D" w:rsidRPr="000B63B3">
        <w:rPr>
          <w:rFonts w:ascii="Book Antiqua" w:hAnsi="Book Antiqua"/>
          <w:i/>
          <w:iCs/>
        </w:rPr>
        <w:t>See also</w:t>
      </w:r>
      <w:r w:rsidR="0087209D">
        <w:rPr>
          <w:rFonts w:ascii="Book Antiqua" w:hAnsi="Book Antiqua"/>
        </w:rPr>
        <w:t xml:space="preserve"> FCC Third Order at ¶ 7, “[b]ecause correctional </w:t>
      </w:r>
      <w:r w:rsidR="000B63B3" w:rsidRPr="000B63B3">
        <w:rPr>
          <w:rFonts w:ascii="Book Antiqua" w:hAnsi="Book Antiqua"/>
        </w:rPr>
        <w:t xml:space="preserve">facilities generally grant exclusive rights to service providers, incarcerated people must purchase service from </w:t>
      </w:r>
      <w:r w:rsidR="000B63B3">
        <w:rPr>
          <w:rFonts w:ascii="Book Antiqua" w:hAnsi="Book Antiqua"/>
        </w:rPr>
        <w:t>‘</w:t>
      </w:r>
      <w:r w:rsidR="000B63B3" w:rsidRPr="000B63B3">
        <w:rPr>
          <w:rFonts w:ascii="Book Antiqua" w:hAnsi="Book Antiqua"/>
        </w:rPr>
        <w:t>locational monopolies</w:t>
      </w:r>
      <w:r w:rsidR="000B63B3">
        <w:rPr>
          <w:rFonts w:ascii="Book Antiqua" w:hAnsi="Book Antiqua"/>
        </w:rPr>
        <w:t>’</w:t>
      </w:r>
      <w:r w:rsidR="000B63B3" w:rsidRPr="000B63B3">
        <w:rPr>
          <w:rFonts w:ascii="Book Antiqua" w:hAnsi="Book Antiqua"/>
        </w:rPr>
        <w:t xml:space="preserve"> and subsequently face rates far higher than those charged to other Americans</w:t>
      </w:r>
      <w:r w:rsidR="000B63B3">
        <w:rPr>
          <w:rFonts w:ascii="Book Antiqua" w:hAnsi="Book Antiqua"/>
        </w:rPr>
        <w:t>.”</w:t>
      </w:r>
    </w:p>
  </w:footnote>
  <w:footnote w:id="131">
    <w:p w14:paraId="544BB206" w14:textId="2853F519" w:rsidR="0083155D" w:rsidRDefault="0083155D" w:rsidP="0083155D">
      <w:pPr>
        <w:pStyle w:val="FootnoteText"/>
      </w:pPr>
      <w:r w:rsidRPr="00425FD3">
        <w:rPr>
          <w:rStyle w:val="FootnoteReference"/>
          <w:rFonts w:ascii="Book Antiqua" w:hAnsi="Book Antiqua"/>
        </w:rPr>
        <w:footnoteRef/>
      </w:r>
      <w:r w:rsidRPr="00425FD3">
        <w:rPr>
          <w:rFonts w:ascii="Book Antiqua" w:hAnsi="Book Antiqua"/>
        </w:rPr>
        <w:t xml:space="preserve"> </w:t>
      </w:r>
      <w:r w:rsidR="006745AF">
        <w:rPr>
          <w:rFonts w:ascii="Book Antiqua" w:hAnsi="Book Antiqua"/>
        </w:rPr>
        <w:t xml:space="preserve">FCC </w:t>
      </w:r>
      <w:r w:rsidRPr="00425FD3">
        <w:rPr>
          <w:rFonts w:ascii="Book Antiqua" w:hAnsi="Book Antiqua"/>
        </w:rPr>
        <w:t>Third Order</w:t>
      </w:r>
      <w:r w:rsidR="0004300C">
        <w:rPr>
          <w:rFonts w:ascii="Book Antiqua" w:hAnsi="Book Antiqua"/>
        </w:rPr>
        <w:t xml:space="preserve"> at</w:t>
      </w:r>
      <w:r w:rsidRPr="00425FD3">
        <w:rPr>
          <w:rFonts w:ascii="Book Antiqua" w:hAnsi="Book Antiqua"/>
        </w:rPr>
        <w:t xml:space="preserve"> </w:t>
      </w:r>
      <w:bookmarkStart w:id="38" w:name="_Hlk74141812"/>
      <w:r w:rsidR="005D4F9C">
        <w:rPr>
          <w:rFonts w:ascii="Book Antiqua" w:hAnsi="Book Antiqua"/>
        </w:rPr>
        <w:t>¶</w:t>
      </w:r>
      <w:bookmarkEnd w:id="38"/>
      <w:r w:rsidRPr="00425FD3">
        <w:rPr>
          <w:rFonts w:ascii="Book Antiqua" w:hAnsi="Book Antiqua"/>
        </w:rPr>
        <w:t xml:space="preserve"> 29.</w:t>
      </w:r>
    </w:p>
  </w:footnote>
  <w:footnote w:id="132">
    <w:p w14:paraId="76F961A0" w14:textId="62F2046C" w:rsidR="0083155D" w:rsidRPr="00425FD3" w:rsidRDefault="0083155D" w:rsidP="0083155D">
      <w:pPr>
        <w:pStyle w:val="FootnoteText"/>
        <w:rPr>
          <w:rFonts w:ascii="Book Antiqua" w:hAnsi="Book Antiqua"/>
        </w:rPr>
      </w:pPr>
      <w:r w:rsidRPr="00425FD3">
        <w:rPr>
          <w:rStyle w:val="FootnoteReference"/>
          <w:rFonts w:ascii="Book Antiqua" w:hAnsi="Book Antiqua"/>
        </w:rPr>
        <w:footnoteRef/>
      </w:r>
      <w:r w:rsidRPr="00425FD3">
        <w:rPr>
          <w:rFonts w:ascii="Book Antiqua" w:hAnsi="Book Antiqua"/>
        </w:rPr>
        <w:t xml:space="preserve"> FCC Third Order </w:t>
      </w:r>
      <w:r w:rsidR="008612B5">
        <w:rPr>
          <w:rFonts w:ascii="Book Antiqua" w:hAnsi="Book Antiqua"/>
        </w:rPr>
        <w:t xml:space="preserve">at </w:t>
      </w:r>
      <w:r w:rsidR="005D4F9C">
        <w:rPr>
          <w:rFonts w:ascii="Book Antiqua" w:hAnsi="Book Antiqua"/>
        </w:rPr>
        <w:t>¶</w:t>
      </w:r>
      <w:r w:rsidRPr="00425FD3">
        <w:rPr>
          <w:rFonts w:ascii="Book Antiqua" w:hAnsi="Book Antiqua"/>
        </w:rPr>
        <w:t xml:space="preserve"> 32.</w:t>
      </w:r>
    </w:p>
  </w:footnote>
  <w:footnote w:id="133">
    <w:p w14:paraId="582321F9" w14:textId="45FCE4EB" w:rsidR="0083155D" w:rsidRDefault="0083155D" w:rsidP="0083155D">
      <w:pPr>
        <w:pStyle w:val="FootnoteText"/>
      </w:pPr>
      <w:r w:rsidRPr="00425FD3">
        <w:rPr>
          <w:rStyle w:val="FootnoteReference"/>
          <w:rFonts w:ascii="Book Antiqua" w:hAnsi="Book Antiqua"/>
        </w:rPr>
        <w:footnoteRef/>
      </w:r>
      <w:r w:rsidRPr="00425FD3">
        <w:rPr>
          <w:rFonts w:ascii="Book Antiqua" w:hAnsi="Book Antiqua"/>
        </w:rPr>
        <w:t xml:space="preserve"> FCC Third Order</w:t>
      </w:r>
      <w:r w:rsidR="008612B5">
        <w:rPr>
          <w:rFonts w:ascii="Book Antiqua" w:hAnsi="Book Antiqua"/>
        </w:rPr>
        <w:t xml:space="preserve"> at</w:t>
      </w:r>
      <w:r w:rsidRPr="00425FD3">
        <w:rPr>
          <w:rFonts w:ascii="Book Antiqua" w:hAnsi="Book Antiqua"/>
        </w:rPr>
        <w:t xml:space="preserve"> </w:t>
      </w:r>
      <w:r w:rsidR="005D4F9C" w:rsidRPr="005D4F9C">
        <w:rPr>
          <w:rFonts w:ascii="Book Antiqua" w:hAnsi="Book Antiqua"/>
        </w:rPr>
        <w:t>¶</w:t>
      </w:r>
      <w:r w:rsidR="005D4F9C">
        <w:rPr>
          <w:rFonts w:ascii="Book Antiqua" w:hAnsi="Book Antiqua"/>
        </w:rPr>
        <w:t xml:space="preserve"> </w:t>
      </w:r>
      <w:r w:rsidRPr="00425FD3">
        <w:rPr>
          <w:rFonts w:ascii="Book Antiqua" w:hAnsi="Book Antiqua"/>
        </w:rPr>
        <w:t>33.</w:t>
      </w:r>
    </w:p>
  </w:footnote>
  <w:footnote w:id="134">
    <w:p w14:paraId="12618099" w14:textId="3958402C" w:rsidR="00BB4C03" w:rsidRPr="00BB4C03" w:rsidRDefault="006715AF" w:rsidP="00BB4C03">
      <w:pPr>
        <w:pStyle w:val="FootnoteText"/>
        <w:rPr>
          <w:rFonts w:ascii="Book Antiqua" w:hAnsi="Book Antiqua"/>
        </w:rPr>
      </w:pPr>
      <w:r w:rsidRPr="00BB4C03">
        <w:rPr>
          <w:rStyle w:val="FootnoteReference"/>
          <w:rFonts w:ascii="Book Antiqua" w:hAnsi="Book Antiqua"/>
        </w:rPr>
        <w:footnoteRef/>
      </w:r>
      <w:r w:rsidRPr="00BB4C03">
        <w:rPr>
          <w:rFonts w:ascii="Book Antiqua" w:hAnsi="Book Antiqua"/>
        </w:rPr>
        <w:t xml:space="preserve"> See also CforAT</w:t>
      </w:r>
      <w:r w:rsidR="00BB4C03" w:rsidRPr="00BB4C03">
        <w:rPr>
          <w:rFonts w:ascii="Book Antiqua" w:hAnsi="Book Antiqua"/>
        </w:rPr>
        <w:t xml:space="preserve"> comments </w:t>
      </w:r>
      <w:r w:rsidR="002D3693" w:rsidRPr="00BB4C03">
        <w:rPr>
          <w:rFonts w:ascii="Book Antiqua" w:hAnsi="Book Antiqua"/>
        </w:rPr>
        <w:t xml:space="preserve">noting a slightly different but not incompatible definition of market power:  </w:t>
      </w:r>
      <w:r w:rsidR="00BB4C03" w:rsidRPr="00BB4C03">
        <w:rPr>
          <w:rFonts w:ascii="Book Antiqua" w:hAnsi="Book Antiqua"/>
        </w:rPr>
        <w:t>“Market power is the ability of a seller to ‘raise price, reduce output, diminish innovation, or otherwise harm customers as a result of diminished competitive constraints or incentives.’” CforAT, Reply Comments on Proposed Decision at 3, citing U.S. Department of Justice and the Federal Trade Commission, Horizontal Merger Guidelines, p. 22 (August 19, 2010), available as of August 9, 2021 at http://www.justice.gov/atr/public/guidelines/hmg-2010.pdf.</w:t>
      </w:r>
    </w:p>
    <w:p w14:paraId="43EF724F" w14:textId="418F1C43" w:rsidR="006715AF" w:rsidRDefault="006715AF">
      <w:pPr>
        <w:pStyle w:val="FootnoteText"/>
      </w:pPr>
    </w:p>
  </w:footnote>
  <w:footnote w:id="135">
    <w:p w14:paraId="2877FC0E" w14:textId="16B37738" w:rsidR="00B119E2" w:rsidRPr="00543636" w:rsidRDefault="00B119E2" w:rsidP="00B119E2">
      <w:pPr>
        <w:pStyle w:val="FootnoteText"/>
        <w:rPr>
          <w:rFonts w:ascii="Book Antiqua" w:hAnsi="Book Antiqua"/>
        </w:rPr>
      </w:pPr>
      <w:r>
        <w:rPr>
          <w:rStyle w:val="FootnoteReference"/>
        </w:rPr>
        <w:footnoteRef/>
      </w:r>
      <w:r>
        <w:t xml:space="preserve"> </w:t>
      </w:r>
      <w:r w:rsidRPr="00543636">
        <w:rPr>
          <w:rFonts w:ascii="Book Antiqua" w:hAnsi="Book Antiqua"/>
        </w:rPr>
        <w:t xml:space="preserve">This is based on data requests received from IPCS providers in December 2020 and does not </w:t>
      </w:r>
      <w:r w:rsidR="007E37A6">
        <w:rPr>
          <w:rFonts w:ascii="Book Antiqua" w:hAnsi="Book Antiqua"/>
        </w:rPr>
        <w:t>reflect</w:t>
      </w:r>
      <w:r w:rsidRPr="00543636">
        <w:rPr>
          <w:rFonts w:ascii="Book Antiqua" w:hAnsi="Book Antiqua"/>
        </w:rPr>
        <w:t xml:space="preserve"> any subsequent rate changes.</w:t>
      </w:r>
    </w:p>
  </w:footnote>
  <w:footnote w:id="136">
    <w:p w14:paraId="16528EF9" w14:textId="3651B734" w:rsidR="00895550" w:rsidRPr="00543636" w:rsidRDefault="00895550">
      <w:pPr>
        <w:pStyle w:val="FootnoteText"/>
        <w:rPr>
          <w:rFonts w:ascii="Book Antiqua" w:hAnsi="Book Antiqua"/>
        </w:rPr>
      </w:pPr>
      <w:r w:rsidRPr="00543636">
        <w:rPr>
          <w:rStyle w:val="FootnoteReference"/>
          <w:rFonts w:ascii="Book Antiqua" w:hAnsi="Book Antiqua"/>
        </w:rPr>
        <w:footnoteRef/>
      </w:r>
      <w:r w:rsidRPr="00543636">
        <w:rPr>
          <w:rFonts w:ascii="Book Antiqua" w:hAnsi="Book Antiqua"/>
        </w:rPr>
        <w:t xml:space="preserve"> Staff Proposal at 2. </w:t>
      </w:r>
    </w:p>
  </w:footnote>
  <w:footnote w:id="137">
    <w:p w14:paraId="148CC954" w14:textId="77777777" w:rsidR="006F336A" w:rsidRPr="007B2E4C" w:rsidRDefault="006F336A" w:rsidP="006F336A">
      <w:pPr>
        <w:pStyle w:val="FootnoteText"/>
        <w:rPr>
          <w:rFonts w:ascii="Book Antiqua" w:hAnsi="Book Antiqua"/>
        </w:rPr>
      </w:pPr>
      <w:r w:rsidRPr="007B2E4C">
        <w:rPr>
          <w:rStyle w:val="FootnoteReference"/>
          <w:rFonts w:ascii="Book Antiqua" w:hAnsi="Book Antiqua"/>
        </w:rPr>
        <w:footnoteRef/>
      </w:r>
      <w:r w:rsidRPr="007B2E4C">
        <w:rPr>
          <w:rFonts w:ascii="Book Antiqua" w:hAnsi="Book Antiqua"/>
        </w:rPr>
        <w:t xml:space="preserve"> Revised Staff Proposal at 1</w:t>
      </w:r>
      <w:r>
        <w:rPr>
          <w:rFonts w:ascii="Book Antiqua" w:hAnsi="Book Antiqua"/>
        </w:rPr>
        <w:t xml:space="preserve"> (attached as Appendix A)</w:t>
      </w:r>
      <w:r w:rsidRPr="007B2E4C">
        <w:rPr>
          <w:rFonts w:ascii="Book Antiqua" w:hAnsi="Book Antiqua"/>
        </w:rPr>
        <w:t>.  The initial Staff Proposal at 2 recommends that we adopt the FCC’s 2021 rates when they become formally adopted, which occurred on May 24, 2021</w:t>
      </w:r>
      <w:r>
        <w:rPr>
          <w:rFonts w:ascii="Book Antiqua" w:hAnsi="Book Antiqua"/>
        </w:rPr>
        <w:t xml:space="preserve">.  </w:t>
      </w:r>
      <w:r w:rsidRPr="00E208BE">
        <w:rPr>
          <w:rFonts w:ascii="Book Antiqua" w:hAnsi="Book Antiqua"/>
          <w:i/>
          <w:iCs/>
        </w:rPr>
        <w:t>See also</w:t>
      </w:r>
      <w:r>
        <w:rPr>
          <w:rFonts w:ascii="Book Antiqua" w:hAnsi="Book Antiqua"/>
        </w:rPr>
        <w:t xml:space="preserve"> FCC Third Order at ¶¶ 100 - 147 for a discussion of site commissions.</w:t>
      </w:r>
    </w:p>
  </w:footnote>
  <w:footnote w:id="138">
    <w:p w14:paraId="3739E6FE" w14:textId="2BF1ACB1" w:rsidR="00BF142C" w:rsidRPr="007B2E4C" w:rsidRDefault="00BF142C">
      <w:pPr>
        <w:pStyle w:val="FootnoteText"/>
        <w:rPr>
          <w:rFonts w:ascii="Book Antiqua" w:hAnsi="Book Antiqua"/>
        </w:rPr>
      </w:pPr>
      <w:r w:rsidRPr="007B2E4C">
        <w:rPr>
          <w:rStyle w:val="FootnoteReference"/>
          <w:rFonts w:ascii="Book Antiqua" w:hAnsi="Book Antiqua"/>
        </w:rPr>
        <w:footnoteRef/>
      </w:r>
      <w:r w:rsidRPr="007B2E4C">
        <w:rPr>
          <w:rFonts w:ascii="Book Antiqua" w:hAnsi="Book Antiqua"/>
        </w:rPr>
        <w:t xml:space="preserve"> Revised Staff Proposal at </w:t>
      </w:r>
      <w:r w:rsidR="00AA68B5" w:rsidRPr="007B2E4C">
        <w:rPr>
          <w:rFonts w:ascii="Book Antiqua" w:hAnsi="Book Antiqua"/>
        </w:rPr>
        <w:t>4.</w:t>
      </w:r>
    </w:p>
  </w:footnote>
  <w:footnote w:id="139">
    <w:p w14:paraId="3AFF9EF1" w14:textId="3C2AD0E8" w:rsidR="00EC1567" w:rsidRPr="000D000A" w:rsidRDefault="00EC1567">
      <w:pPr>
        <w:pStyle w:val="FootnoteText"/>
        <w:rPr>
          <w:rFonts w:ascii="Book Antiqua" w:hAnsi="Book Antiqua"/>
        </w:rPr>
      </w:pPr>
      <w:r w:rsidRPr="007B2E4C">
        <w:rPr>
          <w:rStyle w:val="FootnoteReference"/>
          <w:rFonts w:ascii="Book Antiqua" w:hAnsi="Book Antiqua"/>
        </w:rPr>
        <w:footnoteRef/>
      </w:r>
      <w:r w:rsidRPr="007B2E4C">
        <w:rPr>
          <w:rFonts w:ascii="Book Antiqua" w:hAnsi="Book Antiqua"/>
        </w:rPr>
        <w:t xml:space="preserve"> Table </w:t>
      </w:r>
      <w:r w:rsidR="00043686">
        <w:rPr>
          <w:rFonts w:ascii="Book Antiqua" w:hAnsi="Book Antiqua"/>
        </w:rPr>
        <w:t>2</w:t>
      </w:r>
      <w:r w:rsidRPr="007B2E4C">
        <w:rPr>
          <w:rFonts w:ascii="Book Antiqua" w:hAnsi="Book Antiqua"/>
        </w:rPr>
        <w:t xml:space="preserve">, above.  </w:t>
      </w:r>
      <w:r w:rsidRPr="00573139">
        <w:rPr>
          <w:rFonts w:ascii="Book Antiqua" w:hAnsi="Book Antiqua"/>
          <w:i/>
          <w:iCs/>
        </w:rPr>
        <w:t>See</w:t>
      </w:r>
      <w:r w:rsidRPr="007B2E4C">
        <w:rPr>
          <w:rFonts w:ascii="Book Antiqua" w:hAnsi="Book Antiqua"/>
        </w:rPr>
        <w:t xml:space="preserve"> also Revised Staff Proposal, Attachment A, in Appendix 1.</w:t>
      </w:r>
      <w:r w:rsidRPr="000D000A">
        <w:rPr>
          <w:rFonts w:ascii="Book Antiqua" w:hAnsi="Book Antiqua"/>
        </w:rPr>
        <w:t xml:space="preserve"> </w:t>
      </w:r>
    </w:p>
  </w:footnote>
  <w:footnote w:id="140">
    <w:p w14:paraId="079E9577" w14:textId="1F10AD4D" w:rsidR="00255B29" w:rsidRPr="007B2E4C" w:rsidRDefault="00255B29">
      <w:pPr>
        <w:pStyle w:val="FootnoteText"/>
        <w:rPr>
          <w:rFonts w:ascii="Book Antiqua" w:hAnsi="Book Antiqua"/>
        </w:rPr>
      </w:pPr>
      <w:r w:rsidRPr="007B2E4C">
        <w:rPr>
          <w:rStyle w:val="FootnoteReference"/>
          <w:rFonts w:ascii="Book Antiqua" w:hAnsi="Book Antiqua"/>
        </w:rPr>
        <w:footnoteRef/>
      </w:r>
      <w:r w:rsidRPr="007B2E4C">
        <w:rPr>
          <w:rFonts w:ascii="Book Antiqua" w:hAnsi="Book Antiqua"/>
        </w:rPr>
        <w:t xml:space="preserve"> </w:t>
      </w:r>
      <w:r w:rsidR="00681B5A" w:rsidRPr="007B2E4C">
        <w:rPr>
          <w:rFonts w:ascii="Book Antiqua" w:hAnsi="Book Antiqua"/>
        </w:rPr>
        <w:t xml:space="preserve">Revised Staff Proposal at 2.  </w:t>
      </w:r>
    </w:p>
  </w:footnote>
  <w:footnote w:id="141">
    <w:p w14:paraId="0F7D90DB" w14:textId="621FD20D" w:rsidR="00612840" w:rsidRPr="000D000A" w:rsidRDefault="00612840">
      <w:pPr>
        <w:pStyle w:val="FootnoteText"/>
        <w:rPr>
          <w:rFonts w:ascii="Book Antiqua" w:hAnsi="Book Antiqua"/>
        </w:rPr>
      </w:pPr>
      <w:r w:rsidRPr="000D000A">
        <w:rPr>
          <w:rStyle w:val="FootnoteReference"/>
          <w:rFonts w:ascii="Book Antiqua" w:hAnsi="Book Antiqua"/>
        </w:rPr>
        <w:footnoteRef/>
      </w:r>
      <w:r w:rsidRPr="000D000A">
        <w:rPr>
          <w:rFonts w:ascii="Book Antiqua" w:hAnsi="Book Antiqua"/>
        </w:rPr>
        <w:t xml:space="preserve"> CforAT, Comments on Staff Proposal at </w:t>
      </w:r>
      <w:r w:rsidR="00DC4969" w:rsidRPr="000D000A">
        <w:rPr>
          <w:rFonts w:ascii="Book Antiqua" w:hAnsi="Book Antiqua"/>
        </w:rPr>
        <w:t>7</w:t>
      </w:r>
      <w:r w:rsidRPr="000D000A">
        <w:rPr>
          <w:rFonts w:ascii="Book Antiqua" w:hAnsi="Book Antiqua"/>
        </w:rPr>
        <w:t xml:space="preserve">. </w:t>
      </w:r>
    </w:p>
  </w:footnote>
  <w:footnote w:id="142">
    <w:p w14:paraId="43004EED" w14:textId="022B6A23" w:rsidR="00286963" w:rsidRPr="000D000A" w:rsidRDefault="00286963">
      <w:pPr>
        <w:pStyle w:val="FootnoteText"/>
        <w:rPr>
          <w:rFonts w:ascii="Book Antiqua" w:hAnsi="Book Antiqua"/>
        </w:rPr>
      </w:pPr>
      <w:r w:rsidRPr="000D000A">
        <w:rPr>
          <w:rStyle w:val="FootnoteReference"/>
          <w:rFonts w:ascii="Book Antiqua" w:hAnsi="Book Antiqua"/>
        </w:rPr>
        <w:footnoteRef/>
      </w:r>
      <w:r w:rsidRPr="000D000A">
        <w:rPr>
          <w:rFonts w:ascii="Book Antiqua" w:hAnsi="Book Antiqua"/>
        </w:rPr>
        <w:t xml:space="preserve"> Securus, Comments on Staff Proposal at </w:t>
      </w:r>
      <w:r w:rsidR="007C0CC9" w:rsidRPr="000D000A">
        <w:rPr>
          <w:rFonts w:ascii="Book Antiqua" w:hAnsi="Book Antiqua"/>
        </w:rPr>
        <w:t>5</w:t>
      </w:r>
      <w:r w:rsidRPr="000D000A">
        <w:rPr>
          <w:rFonts w:ascii="Book Antiqua" w:hAnsi="Book Antiqua"/>
        </w:rPr>
        <w:t xml:space="preserve">. </w:t>
      </w:r>
    </w:p>
  </w:footnote>
  <w:footnote w:id="143">
    <w:p w14:paraId="346D61AB" w14:textId="7D9FA3AD" w:rsidR="00BF7A16" w:rsidRPr="000D000A" w:rsidRDefault="00BF7A16">
      <w:pPr>
        <w:pStyle w:val="FootnoteText"/>
        <w:rPr>
          <w:rFonts w:ascii="Book Antiqua" w:hAnsi="Book Antiqua"/>
        </w:rPr>
      </w:pPr>
      <w:r w:rsidRPr="000D000A">
        <w:rPr>
          <w:rStyle w:val="FootnoteReference"/>
          <w:rFonts w:ascii="Book Antiqua" w:hAnsi="Book Antiqua"/>
        </w:rPr>
        <w:footnoteRef/>
      </w:r>
      <w:r w:rsidRPr="000D000A">
        <w:rPr>
          <w:rFonts w:ascii="Book Antiqua" w:hAnsi="Book Antiqua"/>
        </w:rPr>
        <w:t xml:space="preserve"> </w:t>
      </w:r>
      <w:r w:rsidR="007C0CC9" w:rsidRPr="000D000A">
        <w:rPr>
          <w:rFonts w:ascii="Book Antiqua" w:hAnsi="Book Antiqua"/>
          <w:i/>
        </w:rPr>
        <w:t>Ibid.</w:t>
      </w:r>
    </w:p>
  </w:footnote>
  <w:footnote w:id="144">
    <w:p w14:paraId="658FEFF1" w14:textId="2E3CC20E" w:rsidR="00883C99" w:rsidRPr="000D000A" w:rsidRDefault="00883C99">
      <w:pPr>
        <w:pStyle w:val="FootnoteText"/>
        <w:rPr>
          <w:rFonts w:ascii="Book Antiqua" w:hAnsi="Book Antiqua"/>
        </w:rPr>
      </w:pPr>
      <w:r w:rsidRPr="000D000A">
        <w:rPr>
          <w:rStyle w:val="FootnoteReference"/>
          <w:rFonts w:ascii="Book Antiqua" w:hAnsi="Book Antiqua"/>
        </w:rPr>
        <w:footnoteRef/>
      </w:r>
      <w:r w:rsidRPr="000D000A">
        <w:rPr>
          <w:rFonts w:ascii="Book Antiqua" w:hAnsi="Book Antiqua"/>
        </w:rPr>
        <w:t xml:space="preserve"> Pay Tel, Comments on Staff Proposal at </w:t>
      </w:r>
      <w:r w:rsidR="000A41C4" w:rsidRPr="000D000A">
        <w:rPr>
          <w:rFonts w:ascii="Book Antiqua" w:hAnsi="Book Antiqua"/>
        </w:rPr>
        <w:t>5</w:t>
      </w:r>
      <w:r w:rsidR="00470A5D" w:rsidRPr="000D000A">
        <w:rPr>
          <w:rFonts w:ascii="Book Antiqua" w:hAnsi="Book Antiqua"/>
        </w:rPr>
        <w:t>-7</w:t>
      </w:r>
      <w:r w:rsidRPr="000D000A">
        <w:rPr>
          <w:rFonts w:ascii="Book Antiqua" w:hAnsi="Book Antiqua"/>
        </w:rPr>
        <w:t>.</w:t>
      </w:r>
    </w:p>
  </w:footnote>
  <w:footnote w:id="145">
    <w:p w14:paraId="37838F05" w14:textId="3EA9342E" w:rsidR="00D72754" w:rsidRDefault="00D72754" w:rsidP="00D72754">
      <w:pPr>
        <w:pStyle w:val="FootnoteText"/>
      </w:pPr>
      <w:r w:rsidRPr="000D000A">
        <w:rPr>
          <w:rStyle w:val="FootnoteReference"/>
          <w:rFonts w:ascii="Book Antiqua" w:hAnsi="Book Antiqua"/>
        </w:rPr>
        <w:footnoteRef/>
      </w:r>
      <w:r w:rsidRPr="000D000A">
        <w:rPr>
          <w:rFonts w:ascii="Book Antiqua" w:hAnsi="Book Antiqua"/>
        </w:rPr>
        <w:t xml:space="preserve"> </w:t>
      </w:r>
      <w:r w:rsidR="00286963" w:rsidRPr="000D000A">
        <w:rPr>
          <w:rFonts w:ascii="Book Antiqua" w:hAnsi="Book Antiqua"/>
        </w:rPr>
        <w:t xml:space="preserve">NCIC Inmate Communications, Comments on Staff Proposal at 4; </w:t>
      </w:r>
      <w:r w:rsidRPr="000D000A">
        <w:rPr>
          <w:rFonts w:ascii="Book Antiqua" w:hAnsi="Book Antiqua"/>
        </w:rPr>
        <w:t xml:space="preserve">GTL, Comments on Staff Proposal at </w:t>
      </w:r>
      <w:r w:rsidR="00363D98" w:rsidRPr="000D000A">
        <w:rPr>
          <w:rFonts w:ascii="Book Antiqua" w:hAnsi="Book Antiqua"/>
        </w:rPr>
        <w:t>4</w:t>
      </w:r>
      <w:r w:rsidRPr="000D000A">
        <w:rPr>
          <w:rFonts w:ascii="Book Antiqua" w:hAnsi="Book Antiqua"/>
        </w:rPr>
        <w:t>.</w:t>
      </w:r>
      <w:r>
        <w:t xml:space="preserve"> </w:t>
      </w:r>
    </w:p>
  </w:footnote>
  <w:footnote w:id="146">
    <w:p w14:paraId="5C4CE48C" w14:textId="7B7E463D" w:rsidR="00D72DB2" w:rsidRPr="00CA41FA" w:rsidRDefault="00D72DB2">
      <w:pPr>
        <w:pStyle w:val="FootnoteText"/>
        <w:rPr>
          <w:rFonts w:ascii="Book Antiqua" w:hAnsi="Book Antiqua"/>
        </w:rPr>
      </w:pPr>
      <w:r w:rsidRPr="00CA41FA">
        <w:rPr>
          <w:rStyle w:val="FootnoteReference"/>
          <w:rFonts w:ascii="Book Antiqua" w:hAnsi="Book Antiqua"/>
        </w:rPr>
        <w:footnoteRef/>
      </w:r>
      <w:r w:rsidRPr="00CA41FA">
        <w:rPr>
          <w:rFonts w:ascii="Book Antiqua" w:hAnsi="Book Antiqua"/>
        </w:rPr>
        <w:t xml:space="preserve"> </w:t>
      </w:r>
      <w:r w:rsidR="00CB3CC7" w:rsidRPr="00CA41FA">
        <w:rPr>
          <w:rFonts w:ascii="Book Antiqua" w:hAnsi="Book Antiqua"/>
        </w:rPr>
        <w:t>NCIC Inmate Communications, Comments on Staff Proposal at 4.</w:t>
      </w:r>
    </w:p>
  </w:footnote>
  <w:footnote w:id="147">
    <w:p w14:paraId="650E0940" w14:textId="6D7A3C9E" w:rsidR="002C7A79" w:rsidRPr="00CA41FA" w:rsidRDefault="002C7A79">
      <w:pPr>
        <w:pStyle w:val="FootnoteText"/>
        <w:rPr>
          <w:rFonts w:ascii="Book Antiqua" w:hAnsi="Book Antiqua"/>
        </w:rPr>
      </w:pPr>
      <w:r w:rsidRPr="00CA41FA">
        <w:rPr>
          <w:rStyle w:val="FootnoteReference"/>
          <w:rFonts w:ascii="Book Antiqua" w:hAnsi="Book Antiqua"/>
        </w:rPr>
        <w:footnoteRef/>
      </w:r>
      <w:r w:rsidRPr="00CA41FA">
        <w:rPr>
          <w:rFonts w:ascii="Book Antiqua" w:hAnsi="Book Antiqua"/>
        </w:rPr>
        <w:t xml:space="preserve"> </w:t>
      </w:r>
      <w:r w:rsidR="00DB7073" w:rsidRPr="00CA41FA">
        <w:rPr>
          <w:rFonts w:ascii="Book Antiqua" w:hAnsi="Book Antiqua"/>
        </w:rPr>
        <w:t>Prison Policy Institute, Comments on Staff Proposal at 2.</w:t>
      </w:r>
    </w:p>
  </w:footnote>
  <w:footnote w:id="148">
    <w:p w14:paraId="16AB1F83" w14:textId="17DE74C2" w:rsidR="006410C9" w:rsidRPr="00CA41FA" w:rsidRDefault="006410C9">
      <w:pPr>
        <w:pStyle w:val="FootnoteText"/>
        <w:rPr>
          <w:rFonts w:ascii="Book Antiqua" w:hAnsi="Book Antiqua"/>
        </w:rPr>
      </w:pPr>
      <w:r w:rsidRPr="00CA41FA">
        <w:rPr>
          <w:rStyle w:val="FootnoteReference"/>
          <w:rFonts w:ascii="Book Antiqua" w:hAnsi="Book Antiqua"/>
        </w:rPr>
        <w:footnoteRef/>
      </w:r>
      <w:r w:rsidRPr="00CA41FA">
        <w:rPr>
          <w:rFonts w:ascii="Book Antiqua" w:hAnsi="Book Antiqua"/>
        </w:rPr>
        <w:t xml:space="preserve"> Pay Tel, Comments on Staff Proposal at </w:t>
      </w:r>
      <w:r w:rsidR="00A359A6" w:rsidRPr="00CA41FA">
        <w:rPr>
          <w:rFonts w:ascii="Book Antiqua" w:hAnsi="Book Antiqua"/>
        </w:rPr>
        <w:t>6</w:t>
      </w:r>
      <w:r w:rsidRPr="00CA41FA">
        <w:rPr>
          <w:rFonts w:ascii="Book Antiqua" w:hAnsi="Book Antiqua"/>
        </w:rPr>
        <w:t>.</w:t>
      </w:r>
      <w:r w:rsidR="00B5259E" w:rsidRPr="00CA41FA">
        <w:rPr>
          <w:rFonts w:ascii="Book Antiqua" w:hAnsi="Book Antiqua"/>
        </w:rPr>
        <w:t xml:space="preserve"> </w:t>
      </w:r>
    </w:p>
  </w:footnote>
  <w:footnote w:id="149">
    <w:p w14:paraId="53C6F9F4" w14:textId="305B6711" w:rsidR="00A125D5" w:rsidRPr="00CA41FA" w:rsidRDefault="00A125D5" w:rsidP="00A125D5">
      <w:pPr>
        <w:pStyle w:val="FootnoteText"/>
        <w:rPr>
          <w:rFonts w:ascii="Book Antiqua" w:hAnsi="Book Antiqua"/>
        </w:rPr>
      </w:pPr>
      <w:r w:rsidRPr="00CA41FA">
        <w:rPr>
          <w:rStyle w:val="FootnoteReference"/>
          <w:rFonts w:ascii="Book Antiqua" w:hAnsi="Book Antiqua"/>
        </w:rPr>
        <w:footnoteRef/>
      </w:r>
      <w:r w:rsidR="000E08BD" w:rsidRPr="00CA41FA">
        <w:rPr>
          <w:rFonts w:ascii="Book Antiqua" w:hAnsi="Book Antiqua"/>
        </w:rPr>
        <w:t xml:space="preserve"> </w:t>
      </w:r>
      <w:r w:rsidR="000E08BD" w:rsidRPr="00CA41FA">
        <w:rPr>
          <w:rFonts w:ascii="Book Antiqua" w:hAnsi="Book Antiqua"/>
          <w:i/>
          <w:iCs/>
        </w:rPr>
        <w:t>Id.</w:t>
      </w:r>
      <w:r w:rsidRPr="00CA41FA">
        <w:rPr>
          <w:rFonts w:ascii="Book Antiqua" w:hAnsi="Book Antiqua"/>
          <w:i/>
          <w:iCs/>
        </w:rPr>
        <w:t>,</w:t>
      </w:r>
      <w:r w:rsidRPr="00CA41FA">
        <w:rPr>
          <w:rFonts w:ascii="Book Antiqua" w:hAnsi="Book Antiqua"/>
        </w:rPr>
        <w:t xml:space="preserve"> Exhibit A at 18. </w:t>
      </w:r>
    </w:p>
  </w:footnote>
  <w:footnote w:id="150">
    <w:p w14:paraId="46F416D0" w14:textId="3D8DC733" w:rsidR="00A125D5" w:rsidRPr="00CA41FA" w:rsidRDefault="00A125D5" w:rsidP="00A125D5">
      <w:pPr>
        <w:pStyle w:val="FootnoteText"/>
        <w:rPr>
          <w:rFonts w:ascii="Book Antiqua" w:hAnsi="Book Antiqua"/>
        </w:rPr>
      </w:pPr>
      <w:r w:rsidRPr="00CA41FA">
        <w:rPr>
          <w:rStyle w:val="FootnoteReference"/>
          <w:rFonts w:ascii="Book Antiqua" w:hAnsi="Book Antiqua"/>
        </w:rPr>
        <w:footnoteRef/>
      </w:r>
      <w:r w:rsidRPr="00CA41FA">
        <w:rPr>
          <w:rFonts w:ascii="Book Antiqua" w:hAnsi="Book Antiqua"/>
        </w:rPr>
        <w:t xml:space="preserve"> </w:t>
      </w:r>
      <w:r w:rsidRPr="00CA41FA">
        <w:rPr>
          <w:rFonts w:ascii="Book Antiqua" w:hAnsi="Book Antiqua"/>
          <w:i/>
          <w:iCs/>
        </w:rPr>
        <w:t>Id</w:t>
      </w:r>
      <w:r w:rsidRPr="00CA41FA">
        <w:rPr>
          <w:rFonts w:ascii="Book Antiqua" w:hAnsi="Book Antiqua"/>
        </w:rPr>
        <w:t>.</w:t>
      </w:r>
      <w:r w:rsidR="000E08BD" w:rsidRPr="00CA41FA">
        <w:rPr>
          <w:rFonts w:ascii="Book Antiqua" w:hAnsi="Book Antiqua"/>
        </w:rPr>
        <w:t xml:space="preserve">, </w:t>
      </w:r>
      <w:r w:rsidRPr="00CA41FA">
        <w:rPr>
          <w:rFonts w:ascii="Book Antiqua" w:hAnsi="Book Antiqua"/>
        </w:rPr>
        <w:t>Exhibit B (May 8, 2015), (“Notice of Ex Parte Presentation”</w:t>
      </w:r>
      <w:r w:rsidR="001E745B" w:rsidRPr="00CA41FA">
        <w:rPr>
          <w:rFonts w:ascii="Book Antiqua" w:hAnsi="Book Antiqua"/>
        </w:rPr>
        <w:t>)</w:t>
      </w:r>
      <w:r w:rsidRPr="00CA41FA">
        <w:rPr>
          <w:rFonts w:ascii="Book Antiqua" w:hAnsi="Book Antiqua"/>
        </w:rPr>
        <w:t xml:space="preserve"> to Exhibit C at 3.  </w:t>
      </w:r>
      <w:r w:rsidR="00C83530" w:rsidRPr="00CA41FA">
        <w:rPr>
          <w:rFonts w:ascii="Book Antiqua" w:hAnsi="Book Antiqua"/>
        </w:rPr>
        <w:t>Pay Tel cites to summary data on incarceration facility costs included in the FCC’s 2016 Order, later vacated, to support this assertion, see</w:t>
      </w:r>
      <w:r w:rsidR="00C83530" w:rsidRPr="00CA41FA">
        <w:rPr>
          <w:rFonts w:ascii="Book Antiqua" w:hAnsi="Book Antiqua"/>
          <w:i/>
          <w:iCs/>
        </w:rPr>
        <w:t xml:space="preserve"> Id.</w:t>
      </w:r>
      <w:r w:rsidR="00C83530" w:rsidRPr="00CA41FA">
        <w:rPr>
          <w:rFonts w:ascii="Book Antiqua" w:hAnsi="Book Antiqua"/>
        </w:rPr>
        <w:t>, Exhibit B (November 23, 2020, Comments of Pay Tel Communications, Inc., in FCC’s WC Docket No. 12-375”) at 12-13 and 16- 17.</w:t>
      </w:r>
    </w:p>
  </w:footnote>
  <w:footnote w:id="151">
    <w:p w14:paraId="1B5FC3C5" w14:textId="77777777" w:rsidR="00FE10E6" w:rsidRPr="00CA41FA" w:rsidRDefault="00FE10E6" w:rsidP="00FE10E6">
      <w:pPr>
        <w:pStyle w:val="FootnoteText"/>
        <w:rPr>
          <w:rFonts w:ascii="Book Antiqua" w:hAnsi="Book Antiqua"/>
        </w:rPr>
      </w:pPr>
      <w:r w:rsidRPr="00CA41FA">
        <w:rPr>
          <w:rStyle w:val="FootnoteReference"/>
          <w:rFonts w:ascii="Book Antiqua" w:hAnsi="Book Antiqua"/>
        </w:rPr>
        <w:footnoteRef/>
      </w:r>
      <w:r w:rsidRPr="00CA41FA">
        <w:rPr>
          <w:rFonts w:ascii="Book Antiqua" w:hAnsi="Book Antiqua"/>
        </w:rPr>
        <w:t xml:space="preserve"> Revised Staff Proposal at 2.  </w:t>
      </w:r>
    </w:p>
  </w:footnote>
  <w:footnote w:id="152">
    <w:p w14:paraId="60F421C7" w14:textId="77777777" w:rsidR="00FE10E6" w:rsidRPr="00CA41FA" w:rsidRDefault="00FE10E6" w:rsidP="00FE10E6">
      <w:pPr>
        <w:pStyle w:val="FootnoteText"/>
        <w:rPr>
          <w:rFonts w:ascii="Book Antiqua" w:hAnsi="Book Antiqua"/>
        </w:rPr>
      </w:pPr>
      <w:r w:rsidRPr="00CA41FA">
        <w:rPr>
          <w:rStyle w:val="FootnoteReference"/>
          <w:rFonts w:ascii="Book Antiqua" w:hAnsi="Book Antiqua"/>
        </w:rPr>
        <w:footnoteRef/>
      </w:r>
      <w:r w:rsidRPr="00CA41FA">
        <w:rPr>
          <w:rFonts w:ascii="Book Antiqua" w:hAnsi="Book Antiqua"/>
        </w:rPr>
        <w:t xml:space="preserve"> Pay Tel, Comments on Staff Proposal at 8, referencing Comments of Pay Tel Communications, Inc., In re Rates for Interstate Inmate Calling Services, WC Docket No. 12-375, at 9–15 (filed Dec. 20, 2013).</w:t>
      </w:r>
    </w:p>
  </w:footnote>
  <w:footnote w:id="153">
    <w:p w14:paraId="14AA51A3" w14:textId="575C764C" w:rsidR="00D072E5" w:rsidRPr="007F41F8" w:rsidRDefault="00D072E5">
      <w:pPr>
        <w:pStyle w:val="FootnoteText"/>
        <w:rPr>
          <w:rFonts w:ascii="Book Antiqua" w:hAnsi="Book Antiqua"/>
        </w:rPr>
      </w:pPr>
      <w:r w:rsidRPr="007F41F8">
        <w:rPr>
          <w:rStyle w:val="FootnoteReference"/>
          <w:rFonts w:ascii="Book Antiqua" w:hAnsi="Book Antiqua"/>
        </w:rPr>
        <w:footnoteRef/>
      </w:r>
      <w:r w:rsidRPr="007F41F8">
        <w:rPr>
          <w:rFonts w:ascii="Book Antiqua" w:hAnsi="Book Antiqua"/>
        </w:rPr>
        <w:t xml:space="preserve"> Securus, Reply Comments on Staff Proposal at </w:t>
      </w:r>
      <w:r w:rsidR="00BE33F5" w:rsidRPr="007F41F8">
        <w:rPr>
          <w:rFonts w:ascii="Book Antiqua" w:hAnsi="Book Antiqua"/>
        </w:rPr>
        <w:t>13.</w:t>
      </w:r>
      <w:r w:rsidR="00B5259E" w:rsidRPr="007F41F8">
        <w:rPr>
          <w:rFonts w:ascii="Book Antiqua" w:hAnsi="Book Antiqua"/>
        </w:rPr>
        <w:t xml:space="preserve"> </w:t>
      </w:r>
      <w:r w:rsidR="00BA7425" w:rsidRPr="007F41F8">
        <w:rPr>
          <w:rFonts w:ascii="Book Antiqua" w:hAnsi="Book Antiqua"/>
        </w:rPr>
        <w:t>The FCC’s Third Order</w:t>
      </w:r>
      <w:r w:rsidR="003134B1" w:rsidRPr="007F41F8">
        <w:rPr>
          <w:rFonts w:ascii="Book Antiqua" w:hAnsi="Book Antiqua"/>
        </w:rPr>
        <w:t xml:space="preserve"> at ¶</w:t>
      </w:r>
      <w:r w:rsidR="00356050" w:rsidRPr="007F41F8">
        <w:rPr>
          <w:rFonts w:ascii="Book Antiqua" w:hAnsi="Book Antiqua"/>
        </w:rPr>
        <w:t xml:space="preserve">¶ </w:t>
      </w:r>
      <w:r w:rsidR="003134B1" w:rsidRPr="007F41F8">
        <w:rPr>
          <w:rFonts w:ascii="Book Antiqua" w:hAnsi="Book Antiqua"/>
        </w:rPr>
        <w:t>100 - 120</w:t>
      </w:r>
      <w:r w:rsidR="00BA7425" w:rsidRPr="007F41F8">
        <w:rPr>
          <w:rFonts w:ascii="Book Antiqua" w:hAnsi="Book Antiqua"/>
        </w:rPr>
        <w:t xml:space="preserve"> identifies two classes of site commissions: those mandated by state or local law and those requested by a correctional facility in an RFP process or prescribed in a contract and authorized.  </w:t>
      </w:r>
    </w:p>
  </w:footnote>
  <w:footnote w:id="154">
    <w:p w14:paraId="7E56798D" w14:textId="75716D56" w:rsidR="00682A8D" w:rsidRPr="002A1692" w:rsidRDefault="00682A8D">
      <w:pPr>
        <w:pStyle w:val="FootnoteText"/>
        <w:rPr>
          <w:rFonts w:ascii="Book Antiqua" w:hAnsi="Book Antiqua"/>
        </w:rPr>
      </w:pPr>
      <w:r w:rsidRPr="002A1692">
        <w:rPr>
          <w:rStyle w:val="FootnoteReference"/>
          <w:rFonts w:ascii="Book Antiqua" w:hAnsi="Book Antiqua"/>
        </w:rPr>
        <w:footnoteRef/>
      </w:r>
      <w:r w:rsidRPr="002A1692">
        <w:rPr>
          <w:rFonts w:ascii="Book Antiqua" w:hAnsi="Book Antiqua"/>
        </w:rPr>
        <w:t xml:space="preserve"> </w:t>
      </w:r>
      <w:r w:rsidR="00E85327">
        <w:rPr>
          <w:rFonts w:ascii="Book Antiqua" w:hAnsi="Book Antiqua"/>
        </w:rPr>
        <w:t xml:space="preserve">Securus, Reply Comments on Staff Proposal </w:t>
      </w:r>
      <w:r w:rsidRPr="002A1692">
        <w:rPr>
          <w:rFonts w:ascii="Book Antiqua" w:hAnsi="Book Antiqua"/>
        </w:rPr>
        <w:t xml:space="preserve">at 15. </w:t>
      </w:r>
      <w:r w:rsidR="00BA7425" w:rsidRPr="002A1692">
        <w:rPr>
          <w:rFonts w:ascii="Book Antiqua" w:hAnsi="Book Antiqua"/>
        </w:rPr>
        <w:t>Securus correctly observes that the courts have stayed the FCC’s previous efforts to set interim rates and ultimately vacated the FCC’s permanent rates adopted in 2015</w:t>
      </w:r>
      <w:r w:rsidR="00356050" w:rsidRPr="002A1692">
        <w:rPr>
          <w:rFonts w:ascii="Book Antiqua" w:hAnsi="Book Antiqua"/>
        </w:rPr>
        <w:t>.</w:t>
      </w:r>
    </w:p>
  </w:footnote>
  <w:footnote w:id="155">
    <w:p w14:paraId="7C56B697" w14:textId="6FCA028E" w:rsidR="0C88AC9B" w:rsidRPr="00520E4E" w:rsidRDefault="0C88AC9B" w:rsidP="00520E4E">
      <w:pPr>
        <w:pStyle w:val="FootnoteText"/>
        <w:rPr>
          <w:rFonts w:ascii="Book Antiqua" w:hAnsi="Book Antiqua"/>
        </w:rPr>
      </w:pPr>
      <w:r w:rsidRPr="00520E4E">
        <w:rPr>
          <w:rStyle w:val="FootnoteReference"/>
          <w:rFonts w:ascii="Book Antiqua" w:hAnsi="Book Antiqua"/>
          <w:szCs w:val="22"/>
        </w:rPr>
        <w:footnoteRef/>
      </w:r>
      <w:r w:rsidRPr="00520E4E">
        <w:rPr>
          <w:rFonts w:ascii="Book Antiqua" w:hAnsi="Book Antiqua"/>
          <w:szCs w:val="22"/>
        </w:rPr>
        <w:t xml:space="preserve"> </w:t>
      </w:r>
      <w:r w:rsidRPr="00520E4E">
        <w:rPr>
          <w:rFonts w:ascii="Book Antiqua" w:hAnsi="Book Antiqua"/>
          <w:i/>
          <w:iCs/>
        </w:rPr>
        <w:t>GTL v. FCC</w:t>
      </w:r>
      <w:r w:rsidRPr="00520E4E">
        <w:rPr>
          <w:rFonts w:ascii="Book Antiqua" w:hAnsi="Book Antiqua"/>
        </w:rPr>
        <w:t>, 866 F.3d at 402, 415-416.</w:t>
      </w:r>
    </w:p>
  </w:footnote>
  <w:footnote w:id="156">
    <w:p w14:paraId="6C072296" w14:textId="7DF10FB0" w:rsidR="00A85ABD" w:rsidRPr="00472730" w:rsidRDefault="00A85ABD" w:rsidP="00A74BFF">
      <w:pPr>
        <w:pStyle w:val="FootnoteText"/>
        <w:rPr>
          <w:rFonts w:ascii="Book Antiqua" w:hAnsi="Book Antiqua"/>
        </w:rPr>
      </w:pPr>
      <w:r w:rsidRPr="002F1D75">
        <w:rPr>
          <w:rStyle w:val="FootnoteReference"/>
          <w:rFonts w:ascii="Book Antiqua" w:hAnsi="Book Antiqua"/>
        </w:rPr>
        <w:footnoteRef/>
      </w:r>
      <w:r w:rsidRPr="002F1D75">
        <w:rPr>
          <w:rFonts w:ascii="Book Antiqua" w:hAnsi="Book Antiqua"/>
        </w:rPr>
        <w:t xml:space="preserve"> </w:t>
      </w:r>
      <w:r w:rsidR="00A74BFF" w:rsidRPr="00472730">
        <w:rPr>
          <w:rFonts w:ascii="Book Antiqua" w:hAnsi="Book Antiqua"/>
        </w:rPr>
        <w:t xml:space="preserve">Justice Coalition, Comments on Staff Proposal at 6, citing </w:t>
      </w:r>
      <w:r w:rsidR="00A74BFF" w:rsidRPr="00336A21">
        <w:rPr>
          <w:rFonts w:ascii="Book Antiqua" w:hAnsi="Book Antiqua"/>
        </w:rPr>
        <w:t>Carly Sitrin. “M</w:t>
      </w:r>
      <w:r w:rsidR="00A74BFF" w:rsidRPr="00C83530">
        <w:rPr>
          <w:rFonts w:ascii="Book Antiqua" w:hAnsi="Book Antiqua"/>
        </w:rPr>
        <w:t xml:space="preserve">aking Sure the Cost of Phone Calls from Prison Isn’t Punishingly High.” NJ Spotlight News. July 5, 2016. </w:t>
      </w:r>
      <w:r w:rsidR="0072579A">
        <w:rPr>
          <w:rFonts w:ascii="Book Antiqua" w:hAnsi="Book Antiqua"/>
        </w:rPr>
        <w:t xml:space="preserve"> Available as of this writing at: </w:t>
      </w:r>
      <w:hyperlink r:id="rId17" w:history="1">
        <w:r w:rsidR="001D5786" w:rsidRPr="00663C9F">
          <w:rPr>
            <w:rStyle w:val="Hyperlink"/>
            <w:rFonts w:ascii="Book Antiqua" w:hAnsi="Book Antiqua"/>
          </w:rPr>
          <w:t>https://www.njspotlight.com/2016/07/16-06-30-making-sure-the-cost-of-phone-calls-from-prison-isn-t-punishingly-high/</w:t>
        </w:r>
      </w:hyperlink>
      <w:r w:rsidR="009F3CA7" w:rsidRPr="00336A21">
        <w:rPr>
          <w:rFonts w:ascii="Book Antiqua" w:hAnsi="Book Antiqua"/>
        </w:rPr>
        <w:t>.</w:t>
      </w:r>
      <w:r w:rsidR="009F3CA7">
        <w:rPr>
          <w:rFonts w:ascii="Book Antiqua" w:hAnsi="Book Antiqua"/>
        </w:rPr>
        <w:t xml:space="preserve"> </w:t>
      </w:r>
    </w:p>
  </w:footnote>
  <w:footnote w:id="157">
    <w:p w14:paraId="641046C8" w14:textId="77777777" w:rsidR="00ED5A47" w:rsidRPr="008E43D4" w:rsidRDefault="00ED5A47" w:rsidP="00ED5A47">
      <w:pPr>
        <w:pStyle w:val="FootnoteText"/>
        <w:rPr>
          <w:rFonts w:ascii="Book Antiqua" w:hAnsi="Book Antiqua"/>
        </w:rPr>
      </w:pPr>
      <w:r w:rsidRPr="008E43D4">
        <w:rPr>
          <w:rStyle w:val="FootnoteReference"/>
          <w:rFonts w:ascii="Book Antiqua" w:hAnsi="Book Antiqua"/>
        </w:rPr>
        <w:footnoteRef/>
      </w:r>
      <w:r w:rsidRPr="008E43D4">
        <w:rPr>
          <w:rFonts w:ascii="Book Antiqua" w:hAnsi="Book Antiqua"/>
        </w:rPr>
        <w:t xml:space="preserve"> Justice Coalition, Reply Comments on Staff Proposal at 3.</w:t>
      </w:r>
    </w:p>
  </w:footnote>
  <w:footnote w:id="158">
    <w:p w14:paraId="5F784224" w14:textId="77777777" w:rsidR="00ED5A47" w:rsidRDefault="00ED5A47" w:rsidP="00ED5A47">
      <w:pPr>
        <w:pStyle w:val="FootnoteText"/>
      </w:pPr>
      <w:r w:rsidRPr="008E43D4">
        <w:rPr>
          <w:rStyle w:val="FootnoteReference"/>
          <w:rFonts w:ascii="Book Antiqua" w:hAnsi="Book Antiqua"/>
        </w:rPr>
        <w:footnoteRef/>
      </w:r>
      <w:r w:rsidRPr="008E43D4">
        <w:rPr>
          <w:rFonts w:ascii="Book Antiqua" w:hAnsi="Book Antiqua"/>
        </w:rPr>
        <w:t xml:space="preserve"> </w:t>
      </w:r>
      <w:r w:rsidRPr="008E43D4">
        <w:rPr>
          <w:rFonts w:ascii="Book Antiqua" w:hAnsi="Book Antiqua"/>
          <w:i/>
        </w:rPr>
        <w:t>Ibid.</w:t>
      </w:r>
      <w:r w:rsidRPr="008E43D4">
        <w:rPr>
          <w:rFonts w:ascii="Book Antiqua" w:hAnsi="Book Antiqua"/>
        </w:rPr>
        <w:t xml:space="preserve">  “In Illinois, prison phone calls run $0.009 per minute. In Dallas County, jail phone calls run $0.0119 per minute. In New York City, where jail phone calls are free to families, the City pays $0.03 per minute.”</w:t>
      </w:r>
    </w:p>
  </w:footnote>
  <w:footnote w:id="159">
    <w:p w14:paraId="64E47E1C" w14:textId="280DA4B9" w:rsidR="003922D6" w:rsidRPr="00FC0716" w:rsidRDefault="003922D6" w:rsidP="003922D6">
      <w:pPr>
        <w:pStyle w:val="FootnoteText"/>
        <w:rPr>
          <w:rFonts w:ascii="Book Antiqua" w:hAnsi="Book Antiqua"/>
        </w:rPr>
      </w:pPr>
      <w:r>
        <w:rPr>
          <w:rStyle w:val="FootnoteReference"/>
        </w:rPr>
        <w:footnoteRef/>
      </w:r>
      <w:r>
        <w:t xml:space="preserve"> </w:t>
      </w:r>
      <w:r w:rsidRPr="00FC0716">
        <w:rPr>
          <w:rFonts w:ascii="Book Antiqua" w:hAnsi="Book Antiqua"/>
        </w:rPr>
        <w:t xml:space="preserve">Justice Coalition, Comments on Staff Proposal at </w:t>
      </w:r>
      <w:r w:rsidR="00E676FD" w:rsidRPr="00FC0716">
        <w:rPr>
          <w:rFonts w:ascii="Book Antiqua" w:hAnsi="Book Antiqua"/>
        </w:rPr>
        <w:t>6</w:t>
      </w:r>
      <w:r w:rsidRPr="00FC0716">
        <w:rPr>
          <w:rFonts w:ascii="Book Antiqua" w:hAnsi="Book Antiqua"/>
        </w:rPr>
        <w:t xml:space="preserve">; Justice Coalition, Reply Comments on Staff Proposal at 3. </w:t>
      </w:r>
    </w:p>
  </w:footnote>
  <w:footnote w:id="160">
    <w:p w14:paraId="238E56F7" w14:textId="77777777" w:rsidR="00ED5A47" w:rsidRPr="00FC0716" w:rsidRDefault="00ED5A47" w:rsidP="00ED5A47">
      <w:pPr>
        <w:pStyle w:val="FootnoteText"/>
        <w:rPr>
          <w:rFonts w:ascii="Book Antiqua" w:hAnsi="Book Antiqua"/>
        </w:rPr>
      </w:pPr>
      <w:r w:rsidRPr="00FC0716">
        <w:rPr>
          <w:rStyle w:val="FootnoteReference"/>
          <w:rFonts w:ascii="Book Antiqua" w:hAnsi="Book Antiqua"/>
        </w:rPr>
        <w:footnoteRef/>
      </w:r>
      <w:r w:rsidRPr="00FC0716">
        <w:rPr>
          <w:rFonts w:ascii="Book Antiqua" w:hAnsi="Book Antiqua"/>
        </w:rPr>
        <w:t xml:space="preserve"> Justice Coalition, Reply Comments on Staff Proposal at 5.</w:t>
      </w:r>
    </w:p>
  </w:footnote>
  <w:footnote w:id="161">
    <w:p w14:paraId="26AB0D2F" w14:textId="7DF151EB" w:rsidR="00ED5A47" w:rsidRPr="00FC0716" w:rsidRDefault="00ED5A47" w:rsidP="00ED5A47">
      <w:pPr>
        <w:pStyle w:val="FootnoteText"/>
        <w:rPr>
          <w:rFonts w:ascii="Book Antiqua" w:hAnsi="Book Antiqua"/>
        </w:rPr>
      </w:pPr>
      <w:r w:rsidRPr="00FC0716">
        <w:rPr>
          <w:rStyle w:val="FootnoteReference"/>
          <w:rFonts w:ascii="Book Antiqua" w:hAnsi="Book Antiqua"/>
        </w:rPr>
        <w:footnoteRef/>
      </w:r>
      <w:r w:rsidRPr="00FC0716">
        <w:rPr>
          <w:rFonts w:ascii="Book Antiqua" w:hAnsi="Book Antiqua"/>
        </w:rPr>
        <w:t xml:space="preserve"> CforAT, Reply Comments on Staff Proposal at 7; Cal Advocates, Reply Comments on Staff Proposal at </w:t>
      </w:r>
      <w:r w:rsidR="00BB05BF">
        <w:rPr>
          <w:rFonts w:ascii="Book Antiqua" w:hAnsi="Book Antiqua"/>
        </w:rPr>
        <w:t>3</w:t>
      </w:r>
      <w:r w:rsidRPr="00FC0716">
        <w:rPr>
          <w:rFonts w:ascii="Book Antiqua" w:hAnsi="Book Antiqua"/>
        </w:rPr>
        <w:t>. These parties recommend the Commission require providers to provide a minimum of 15 minutes of free calling service each month.</w:t>
      </w:r>
    </w:p>
  </w:footnote>
  <w:footnote w:id="162">
    <w:p w14:paraId="5A6D0374" w14:textId="2DE09584" w:rsidR="00523B0D" w:rsidRDefault="00523B0D">
      <w:pPr>
        <w:pStyle w:val="FootnoteText"/>
      </w:pPr>
      <w:r w:rsidRPr="002F1D75">
        <w:rPr>
          <w:rStyle w:val="FootnoteReference"/>
          <w:rFonts w:ascii="Book Antiqua" w:hAnsi="Book Antiqua"/>
        </w:rPr>
        <w:footnoteRef/>
      </w:r>
      <w:r w:rsidRPr="002F1D75">
        <w:rPr>
          <w:rFonts w:ascii="Book Antiqua" w:hAnsi="Book Antiqua"/>
        </w:rPr>
        <w:t xml:space="preserve"> </w:t>
      </w:r>
      <w:r w:rsidR="003B078B" w:rsidRPr="002F1D75">
        <w:rPr>
          <w:rFonts w:ascii="Book Antiqua" w:hAnsi="Book Antiqua"/>
        </w:rPr>
        <w:t>TURN, Comments on Staff Proposal at 11, citing Global Tel*Link v. FCC 866 F.3</w:t>
      </w:r>
      <w:r w:rsidR="003B078B" w:rsidRPr="002F1D75">
        <w:rPr>
          <w:rFonts w:ascii="Book Antiqua" w:hAnsi="Book Antiqua"/>
          <w:vertAlign w:val="superscript"/>
        </w:rPr>
        <w:t>rd</w:t>
      </w:r>
      <w:r w:rsidR="003B078B" w:rsidRPr="002F1D75">
        <w:rPr>
          <w:rFonts w:ascii="Book Antiqua" w:hAnsi="Book Antiqua"/>
        </w:rPr>
        <w:t xml:space="preserve"> at 408-413.</w:t>
      </w:r>
    </w:p>
  </w:footnote>
  <w:footnote w:id="163">
    <w:p w14:paraId="26BBA35E" w14:textId="7176D8BA" w:rsidR="00100F20" w:rsidRPr="008E43D4" w:rsidRDefault="00100F20">
      <w:pPr>
        <w:pStyle w:val="FootnoteText"/>
        <w:rPr>
          <w:rFonts w:ascii="Book Antiqua" w:hAnsi="Book Antiqua"/>
        </w:rPr>
      </w:pPr>
      <w:r w:rsidRPr="008E43D4">
        <w:rPr>
          <w:rStyle w:val="FootnoteReference"/>
          <w:rFonts w:ascii="Book Antiqua" w:hAnsi="Book Antiqua"/>
        </w:rPr>
        <w:footnoteRef/>
      </w:r>
      <w:r w:rsidRPr="008E43D4">
        <w:rPr>
          <w:rFonts w:ascii="Book Antiqua" w:hAnsi="Book Antiqua"/>
        </w:rPr>
        <w:t xml:space="preserve"> TURN, Comments on Staff Proposal at</w:t>
      </w:r>
      <w:r w:rsidR="003B078B" w:rsidRPr="008E43D4">
        <w:rPr>
          <w:rFonts w:ascii="Book Antiqua" w:hAnsi="Book Antiqua"/>
        </w:rPr>
        <w:t xml:space="preserve"> 12.  See also footnote 22 of this decision.</w:t>
      </w:r>
    </w:p>
  </w:footnote>
  <w:footnote w:id="164">
    <w:p w14:paraId="1C103464" w14:textId="1E5B75CF" w:rsidR="00F9211E" w:rsidRPr="008E43D4" w:rsidRDefault="00F9211E" w:rsidP="00F9211E">
      <w:pPr>
        <w:pStyle w:val="FootnoteText"/>
        <w:rPr>
          <w:rFonts w:ascii="Book Antiqua" w:hAnsi="Book Antiqua"/>
        </w:rPr>
      </w:pPr>
      <w:r w:rsidRPr="008E43D4">
        <w:rPr>
          <w:rStyle w:val="FootnoteReference"/>
          <w:rFonts w:ascii="Book Antiqua" w:hAnsi="Book Antiqua"/>
        </w:rPr>
        <w:footnoteRef/>
      </w:r>
      <w:r w:rsidRPr="008E43D4">
        <w:rPr>
          <w:rFonts w:ascii="Book Antiqua" w:hAnsi="Book Antiqua"/>
        </w:rPr>
        <w:t xml:space="preserve"> </w:t>
      </w:r>
      <w:r w:rsidR="00364467" w:rsidRPr="008E43D4">
        <w:rPr>
          <w:rFonts w:ascii="Book Antiqua" w:hAnsi="Book Antiqua"/>
        </w:rPr>
        <w:t xml:space="preserve">Cal Advocates, Comments on Staff Proposal at 7. </w:t>
      </w:r>
    </w:p>
  </w:footnote>
  <w:footnote w:id="165">
    <w:p w14:paraId="0325BB33" w14:textId="679FAA7F" w:rsidR="00ED0DCC" w:rsidRDefault="00ED0DCC" w:rsidP="001B3FA0">
      <w:pPr>
        <w:pStyle w:val="FootnoteText"/>
      </w:pPr>
      <w:r w:rsidRPr="008E43D4">
        <w:rPr>
          <w:rStyle w:val="FootnoteReference"/>
          <w:rFonts w:ascii="Book Antiqua" w:hAnsi="Book Antiqua"/>
        </w:rPr>
        <w:footnoteRef/>
      </w:r>
      <w:r w:rsidRPr="008E43D4">
        <w:rPr>
          <w:rFonts w:ascii="Book Antiqua" w:hAnsi="Book Antiqua"/>
        </w:rPr>
        <w:t xml:space="preserve"> </w:t>
      </w:r>
      <w:r w:rsidR="003457C4" w:rsidRPr="008E43D4">
        <w:rPr>
          <w:rFonts w:ascii="Book Antiqua" w:hAnsi="Book Antiqua"/>
          <w:i/>
        </w:rPr>
        <w:t>Id</w:t>
      </w:r>
      <w:r w:rsidR="003457C4" w:rsidRPr="008E43D4">
        <w:rPr>
          <w:rFonts w:ascii="Book Antiqua" w:hAnsi="Book Antiqua"/>
        </w:rPr>
        <w:t>. at 9</w:t>
      </w:r>
      <w:r w:rsidR="001B3FA0" w:rsidRPr="008E43D4">
        <w:rPr>
          <w:rFonts w:ascii="Book Antiqua" w:hAnsi="Book Antiqua"/>
        </w:rPr>
        <w:t xml:space="preserve">, citing </w:t>
      </w:r>
      <w:r w:rsidR="008F1C1C" w:rsidRPr="008E43D4">
        <w:rPr>
          <w:rFonts w:ascii="Book Antiqua" w:hAnsi="Book Antiqua"/>
        </w:rPr>
        <w:t xml:space="preserve">State of Phone Justice: Local Jails, State Prisons, and Private Phone Providers, Peter Wagner and Alexi Jones, Prison Policy Initiative, February 2019, viewed 4/15/21. </w:t>
      </w:r>
      <w:hyperlink r:id="rId18" w:history="1">
        <w:r w:rsidR="008F1C1C" w:rsidRPr="008E43D4">
          <w:rPr>
            <w:rStyle w:val="Hyperlink"/>
            <w:rFonts w:ascii="Book Antiqua" w:hAnsi="Book Antiqua"/>
          </w:rPr>
          <w:t>https://www.prisonpolicy.org/phones/state_of_phone_justice.html</w:t>
        </w:r>
      </w:hyperlink>
      <w:r w:rsidR="008F1C1C" w:rsidRPr="008E43D4">
        <w:rPr>
          <w:rFonts w:ascii="Book Antiqua" w:hAnsi="Book Antiqua"/>
        </w:rPr>
        <w:t>.</w:t>
      </w:r>
      <w:r w:rsidR="00B2653E">
        <w:rPr>
          <w:rFonts w:ascii="Book Antiqua" w:hAnsi="Book Antiqua"/>
        </w:rPr>
        <w:t xml:space="preserve"> </w:t>
      </w:r>
      <w:r w:rsidR="008F1C1C" w:rsidRPr="008E43D4">
        <w:rPr>
          <w:rFonts w:ascii="Book Antiqua" w:hAnsi="Book Antiqua"/>
        </w:rPr>
        <w:t xml:space="preserve"> </w:t>
      </w:r>
      <w:r w:rsidR="001B3FA0" w:rsidRPr="008E43D4">
        <w:rPr>
          <w:rFonts w:ascii="Book Antiqua" w:hAnsi="Book Antiqua"/>
        </w:rPr>
        <w:t>The 14 states are:</w:t>
      </w:r>
      <w:r w:rsidR="00B2653E">
        <w:rPr>
          <w:rFonts w:ascii="Book Antiqua" w:hAnsi="Book Antiqua"/>
        </w:rPr>
        <w:t xml:space="preserve"> </w:t>
      </w:r>
      <w:r w:rsidR="001B3FA0" w:rsidRPr="008E43D4">
        <w:rPr>
          <w:rFonts w:ascii="Book Antiqua" w:hAnsi="Book Antiqua"/>
        </w:rPr>
        <w:t xml:space="preserve"> Illinois, New Hampshire, West Virginia, Maryland, Mississippi, Virginia, New York, New Jersey, Minnesota, Missouri, Rhode Island, Delaware, Vermont, and Ohio</w:t>
      </w:r>
      <w:r w:rsidR="008F1C1C">
        <w:t>.</w:t>
      </w:r>
    </w:p>
  </w:footnote>
  <w:footnote w:id="166">
    <w:p w14:paraId="486F29E5" w14:textId="38BC5E4D" w:rsidR="00B93E64" w:rsidRPr="008E43D4" w:rsidRDefault="00B93E64">
      <w:pPr>
        <w:pStyle w:val="FootnoteText"/>
        <w:rPr>
          <w:rFonts w:ascii="Book Antiqua" w:hAnsi="Book Antiqua"/>
        </w:rPr>
      </w:pPr>
      <w:r w:rsidRPr="008E43D4">
        <w:rPr>
          <w:rStyle w:val="FootnoteReference"/>
          <w:rFonts w:ascii="Book Antiqua" w:hAnsi="Book Antiqua"/>
        </w:rPr>
        <w:footnoteRef/>
      </w:r>
      <w:r w:rsidRPr="008E43D4">
        <w:rPr>
          <w:rFonts w:ascii="Book Antiqua" w:hAnsi="Book Antiqua"/>
        </w:rPr>
        <w:t xml:space="preserve"> </w:t>
      </w:r>
      <w:r w:rsidR="00CC2134" w:rsidRPr="008E43D4">
        <w:rPr>
          <w:rFonts w:ascii="Book Antiqua" w:hAnsi="Book Antiqua"/>
          <w:i/>
        </w:rPr>
        <w:t>Id.</w:t>
      </w:r>
      <w:r w:rsidR="00CC2134" w:rsidRPr="008E43D4">
        <w:rPr>
          <w:rFonts w:ascii="Book Antiqua" w:hAnsi="Book Antiqua"/>
        </w:rPr>
        <w:t xml:space="preserve"> at 11, citing the proposed Martha Wri</w:t>
      </w:r>
      <w:r w:rsidR="008D2051" w:rsidRPr="008E43D4">
        <w:rPr>
          <w:rFonts w:ascii="Book Antiqua" w:hAnsi="Book Antiqua"/>
        </w:rPr>
        <w:t xml:space="preserve">ght Prison Phone Justice Act, </w:t>
      </w:r>
      <w:hyperlink r:id="rId19" w:history="1">
        <w:r w:rsidR="002503EB" w:rsidRPr="008E43D4">
          <w:rPr>
            <w:rStyle w:val="Hyperlink"/>
            <w:rFonts w:ascii="Book Antiqua" w:hAnsi="Book Antiqua"/>
          </w:rPr>
          <w:t>https://www.govtrack.us/congress/bills/116/hr6389/text</w:t>
        </w:r>
      </w:hyperlink>
      <w:r w:rsidR="002503EB" w:rsidRPr="008E43D4">
        <w:rPr>
          <w:rFonts w:ascii="Book Antiqua" w:hAnsi="Book Antiqua"/>
        </w:rPr>
        <w:t xml:space="preserve"> </w:t>
      </w:r>
      <w:r w:rsidR="008D2051" w:rsidRPr="008E43D4">
        <w:rPr>
          <w:rFonts w:ascii="Book Antiqua" w:hAnsi="Book Antiqua"/>
        </w:rPr>
        <w:t xml:space="preserve">(accessed </w:t>
      </w:r>
      <w:r w:rsidR="002503EB" w:rsidRPr="008E43D4">
        <w:rPr>
          <w:rFonts w:ascii="Book Antiqua" w:hAnsi="Book Antiqua"/>
        </w:rPr>
        <w:t xml:space="preserve">by Cal Advocates on </w:t>
      </w:r>
      <w:r w:rsidR="008D2051" w:rsidRPr="008E43D4">
        <w:rPr>
          <w:rFonts w:ascii="Book Antiqua" w:hAnsi="Book Antiqua"/>
        </w:rPr>
        <w:t>April 21, 2021).</w:t>
      </w:r>
    </w:p>
  </w:footnote>
  <w:footnote w:id="167">
    <w:p w14:paraId="63D1591A" w14:textId="62D31C28" w:rsidR="0C88AC9B" w:rsidRDefault="0C88AC9B" w:rsidP="0C88AC9B">
      <w:pPr>
        <w:pStyle w:val="FootnoteText"/>
        <w:rPr>
          <w:rFonts w:ascii="Book Antiqua" w:hAnsi="Book Antiqua"/>
        </w:rPr>
      </w:pPr>
      <w:r w:rsidRPr="0C88AC9B">
        <w:rPr>
          <w:rStyle w:val="FootnoteReference"/>
          <w:rFonts w:ascii="Book Antiqua" w:hAnsi="Book Antiqua"/>
        </w:rPr>
        <w:footnoteRef/>
      </w:r>
      <w:r w:rsidRPr="0C88AC9B">
        <w:rPr>
          <w:rFonts w:ascii="Book Antiqua" w:hAnsi="Book Antiqua"/>
        </w:rPr>
        <w:t xml:space="preserve"> Justice Coalition, Reply Comments on Staff Proposal at 4 “there is also a defensible record for a rate cap of $0.05 per minute, based on comments filed with the FCC in Docket 12-375 in response to proposed rate caps of $0.14 per minute for prisons and $0.16 per minute for jails.”</w:t>
      </w:r>
    </w:p>
  </w:footnote>
  <w:footnote w:id="168">
    <w:p w14:paraId="75585105" w14:textId="16EEC984" w:rsidR="00F756D2" w:rsidRPr="008E43D4" w:rsidRDefault="00F756D2">
      <w:pPr>
        <w:pStyle w:val="FootnoteText"/>
        <w:rPr>
          <w:rFonts w:ascii="Book Antiqua" w:hAnsi="Book Antiqua"/>
        </w:rPr>
      </w:pPr>
      <w:r w:rsidRPr="008E43D4">
        <w:rPr>
          <w:rStyle w:val="FootnoteReference"/>
          <w:rFonts w:ascii="Book Antiqua" w:hAnsi="Book Antiqua"/>
        </w:rPr>
        <w:footnoteRef/>
      </w:r>
      <w:r w:rsidRPr="008E43D4">
        <w:rPr>
          <w:rFonts w:ascii="Book Antiqua" w:hAnsi="Book Antiqua"/>
        </w:rPr>
        <w:t xml:space="preserve"> Securus, Reply Comments on Staff Proposal at 10.</w:t>
      </w:r>
    </w:p>
  </w:footnote>
  <w:footnote w:id="169">
    <w:p w14:paraId="3D063545" w14:textId="69BAAF95" w:rsidR="00B7772E" w:rsidRPr="008E43D4" w:rsidRDefault="00B7772E">
      <w:pPr>
        <w:pStyle w:val="FootnoteText"/>
        <w:rPr>
          <w:rFonts w:ascii="Book Antiqua" w:hAnsi="Book Antiqua"/>
        </w:rPr>
      </w:pPr>
      <w:r w:rsidRPr="008E43D4">
        <w:rPr>
          <w:rStyle w:val="FootnoteReference"/>
          <w:rFonts w:ascii="Book Antiqua" w:hAnsi="Book Antiqua"/>
        </w:rPr>
        <w:footnoteRef/>
      </w:r>
      <w:r w:rsidRPr="008E43D4">
        <w:rPr>
          <w:rFonts w:ascii="Book Antiqua" w:hAnsi="Book Antiqua"/>
        </w:rPr>
        <w:t xml:space="preserve"> </w:t>
      </w:r>
      <w:r w:rsidR="00F756D2" w:rsidRPr="008E43D4">
        <w:rPr>
          <w:rFonts w:ascii="Book Antiqua" w:hAnsi="Book Antiqua"/>
          <w:i/>
        </w:rPr>
        <w:t>Id.</w:t>
      </w:r>
      <w:r w:rsidR="00F756D2" w:rsidRPr="008E43D4">
        <w:rPr>
          <w:rFonts w:ascii="Book Antiqua" w:hAnsi="Book Antiqua"/>
        </w:rPr>
        <w:t xml:space="preserve"> at 4. </w:t>
      </w:r>
    </w:p>
  </w:footnote>
  <w:footnote w:id="170">
    <w:p w14:paraId="62BDC961" w14:textId="2ED50436" w:rsidR="00B7772E" w:rsidRDefault="00B7772E">
      <w:pPr>
        <w:pStyle w:val="FootnoteText"/>
      </w:pPr>
      <w:r w:rsidRPr="008E43D4">
        <w:rPr>
          <w:rStyle w:val="FootnoteReference"/>
          <w:rFonts w:ascii="Book Antiqua" w:hAnsi="Book Antiqua"/>
        </w:rPr>
        <w:footnoteRef/>
      </w:r>
      <w:r w:rsidRPr="008E43D4">
        <w:rPr>
          <w:rFonts w:ascii="Book Antiqua" w:hAnsi="Book Antiqua"/>
        </w:rPr>
        <w:t xml:space="preserve"> </w:t>
      </w:r>
      <w:r w:rsidR="00DA1CF6" w:rsidRPr="008E43D4">
        <w:rPr>
          <w:rFonts w:ascii="Book Antiqua" w:hAnsi="Book Antiqua"/>
          <w:i/>
        </w:rPr>
        <w:t>Ibid.</w:t>
      </w:r>
    </w:p>
  </w:footnote>
  <w:footnote w:id="171">
    <w:p w14:paraId="53889270" w14:textId="24AE7BBA" w:rsidR="00622614" w:rsidRPr="008E43D4" w:rsidRDefault="00622614">
      <w:pPr>
        <w:pStyle w:val="FootnoteText"/>
        <w:rPr>
          <w:rFonts w:ascii="Book Antiqua" w:hAnsi="Book Antiqua"/>
        </w:rPr>
      </w:pPr>
      <w:r w:rsidRPr="008E43D4">
        <w:rPr>
          <w:rStyle w:val="FootnoteReference"/>
          <w:rFonts w:ascii="Book Antiqua" w:hAnsi="Book Antiqua"/>
        </w:rPr>
        <w:footnoteRef/>
      </w:r>
      <w:r w:rsidRPr="008E43D4">
        <w:rPr>
          <w:rFonts w:ascii="Book Antiqua" w:hAnsi="Book Antiqua"/>
        </w:rPr>
        <w:t xml:space="preserve"> </w:t>
      </w:r>
      <w:r w:rsidR="00EF49CB">
        <w:rPr>
          <w:rFonts w:ascii="Book Antiqua" w:hAnsi="Book Antiqua"/>
        </w:rPr>
        <w:t xml:space="preserve">Securus, Reply Comments on Staff Proposal </w:t>
      </w:r>
      <w:r w:rsidR="00C8103A" w:rsidRPr="008E43D4">
        <w:rPr>
          <w:rFonts w:ascii="Book Antiqua" w:hAnsi="Book Antiqua"/>
        </w:rPr>
        <w:t>a</w:t>
      </w:r>
      <w:r w:rsidRPr="008E43D4">
        <w:rPr>
          <w:rFonts w:ascii="Book Antiqua" w:hAnsi="Book Antiqua"/>
        </w:rPr>
        <w:t xml:space="preserve">t 3. </w:t>
      </w:r>
    </w:p>
  </w:footnote>
  <w:footnote w:id="172">
    <w:p w14:paraId="0CCEF03A" w14:textId="65B1AD76" w:rsidR="00DD3DC2" w:rsidRDefault="00DD3DC2">
      <w:pPr>
        <w:pStyle w:val="FootnoteText"/>
      </w:pPr>
      <w:r w:rsidRPr="008E43D4">
        <w:rPr>
          <w:rStyle w:val="FootnoteReference"/>
          <w:rFonts w:ascii="Book Antiqua" w:hAnsi="Book Antiqua"/>
        </w:rPr>
        <w:footnoteRef/>
      </w:r>
      <w:r w:rsidRPr="008E43D4">
        <w:rPr>
          <w:rFonts w:ascii="Book Antiqua" w:hAnsi="Book Antiqua"/>
        </w:rPr>
        <w:t xml:space="preserve"> </w:t>
      </w:r>
      <w:r w:rsidRPr="008E43D4">
        <w:rPr>
          <w:rFonts w:ascii="Book Antiqua" w:hAnsi="Book Antiqua"/>
          <w:i/>
        </w:rPr>
        <w:t>Ibid.</w:t>
      </w:r>
    </w:p>
  </w:footnote>
  <w:footnote w:id="173">
    <w:p w14:paraId="0CEDED43" w14:textId="77777777" w:rsidR="00632AAA" w:rsidRPr="00655016" w:rsidRDefault="00632AAA" w:rsidP="00632AAA">
      <w:pPr>
        <w:pStyle w:val="FootnoteText"/>
        <w:rPr>
          <w:rFonts w:ascii="Book Antiqua" w:hAnsi="Book Antiqua"/>
        </w:rPr>
      </w:pPr>
      <w:r w:rsidRPr="002A1692">
        <w:rPr>
          <w:rStyle w:val="FootnoteReference"/>
          <w:rFonts w:ascii="Book Antiqua" w:hAnsi="Book Antiqua"/>
        </w:rPr>
        <w:footnoteRef/>
      </w:r>
      <w:r w:rsidRPr="002A1692">
        <w:rPr>
          <w:rFonts w:ascii="Book Antiqua" w:hAnsi="Book Antiqua"/>
        </w:rPr>
        <w:t xml:space="preserve"> </w:t>
      </w:r>
      <w:r w:rsidRPr="00655016">
        <w:rPr>
          <w:rFonts w:ascii="Book Antiqua" w:hAnsi="Book Antiqua"/>
        </w:rPr>
        <w:t>NCIC Inmate Communications, Comments on the Staff Proposal at 5.</w:t>
      </w:r>
    </w:p>
  </w:footnote>
  <w:footnote w:id="174">
    <w:p w14:paraId="22C6E025" w14:textId="6305FEFC" w:rsidR="00FD4016" w:rsidRPr="00655016" w:rsidRDefault="00FD4016">
      <w:pPr>
        <w:pStyle w:val="FootnoteText"/>
        <w:rPr>
          <w:rFonts w:ascii="Book Antiqua" w:hAnsi="Book Antiqua"/>
        </w:rPr>
      </w:pPr>
      <w:r w:rsidRPr="00655016">
        <w:rPr>
          <w:rStyle w:val="FootnoteReference"/>
          <w:rFonts w:ascii="Book Antiqua" w:hAnsi="Book Antiqua"/>
        </w:rPr>
        <w:footnoteRef/>
      </w:r>
      <w:r w:rsidRPr="00655016">
        <w:rPr>
          <w:rFonts w:ascii="Book Antiqua" w:hAnsi="Book Antiqua"/>
        </w:rPr>
        <w:t xml:space="preserve"> </w:t>
      </w:r>
      <w:r w:rsidR="00EB3CC4" w:rsidRPr="00655016">
        <w:rPr>
          <w:rFonts w:ascii="Book Antiqua" w:hAnsi="Book Antiqua"/>
        </w:rPr>
        <w:t xml:space="preserve">Cal. Evid. Code, § 452, subd. </w:t>
      </w:r>
      <w:r w:rsidR="00E1115F" w:rsidRPr="00655016">
        <w:rPr>
          <w:rFonts w:ascii="Book Antiqua" w:hAnsi="Book Antiqua"/>
        </w:rPr>
        <w:t>(h) (“</w:t>
      </w:r>
      <w:r w:rsidR="00791A0A" w:rsidRPr="00655016">
        <w:rPr>
          <w:rFonts w:ascii="Book Antiqua" w:hAnsi="Book Antiqua"/>
        </w:rPr>
        <w:t>Judicial notice may be taken</w:t>
      </w:r>
      <w:r w:rsidR="00561E6C" w:rsidRPr="00655016">
        <w:rPr>
          <w:rFonts w:ascii="Book Antiqua" w:hAnsi="Book Antiqua"/>
        </w:rPr>
        <w:t xml:space="preserve"> of . . . [f]acts and propositions that are not reasonably subject to dispute and are capable of immediate and accurate determination by resort to sources of reasonably indisputable accuracy.”</w:t>
      </w:r>
      <w:r w:rsidR="0078323A" w:rsidRPr="00655016">
        <w:rPr>
          <w:rFonts w:ascii="Book Antiqua" w:hAnsi="Book Antiqua"/>
        </w:rPr>
        <w:t xml:space="preserve">).  </w:t>
      </w:r>
    </w:p>
  </w:footnote>
  <w:footnote w:id="175">
    <w:p w14:paraId="7268976A" w14:textId="2168C47F" w:rsidR="00486930" w:rsidRPr="00C65D1E" w:rsidRDefault="00486930" w:rsidP="00486930">
      <w:pPr>
        <w:pStyle w:val="FootnoteText"/>
        <w:rPr>
          <w:rFonts w:ascii="Book Antiqua" w:hAnsi="Book Antiqua"/>
        </w:rPr>
      </w:pPr>
      <w:r w:rsidRPr="00C65D1E">
        <w:rPr>
          <w:rStyle w:val="FootnoteReference"/>
          <w:rFonts w:ascii="Book Antiqua" w:hAnsi="Book Antiqua"/>
        </w:rPr>
        <w:footnoteRef/>
      </w:r>
      <w:r w:rsidRPr="00C65D1E">
        <w:rPr>
          <w:rFonts w:ascii="Book Antiqua" w:hAnsi="Book Antiqua"/>
        </w:rPr>
        <w:t xml:space="preserve"> </w:t>
      </w:r>
      <w:r w:rsidR="001D5786">
        <w:rPr>
          <w:rFonts w:ascii="Book Antiqua" w:hAnsi="Book Antiqua"/>
        </w:rPr>
        <w:t xml:space="preserve">FCC </w:t>
      </w:r>
      <w:r w:rsidRPr="00C65D1E">
        <w:rPr>
          <w:rFonts w:ascii="Book Antiqua" w:hAnsi="Book Antiqua"/>
        </w:rPr>
        <w:t xml:space="preserve">Third Order at ¶ 148, summarizes the difficulty the FCC has had in identifying legitimate provider security costs, despite FCC efforts to collect data on interstate IPCS costs since 2012. </w:t>
      </w:r>
    </w:p>
  </w:footnote>
  <w:footnote w:id="176">
    <w:p w14:paraId="74E79691" w14:textId="4757B3D8" w:rsidR="002534D1" w:rsidRPr="00520E4E" w:rsidRDefault="002534D1" w:rsidP="002534D1">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w:t>
      </w:r>
      <w:r w:rsidR="001D5786">
        <w:rPr>
          <w:rFonts w:ascii="Book Antiqua" w:hAnsi="Book Antiqua"/>
        </w:rPr>
        <w:t xml:space="preserve">FCC </w:t>
      </w:r>
      <w:r w:rsidRPr="00520E4E">
        <w:rPr>
          <w:rFonts w:ascii="Book Antiqua" w:hAnsi="Book Antiqua"/>
        </w:rPr>
        <w:t>Third Order at ¶ 50</w:t>
      </w:r>
      <w:r>
        <w:rPr>
          <w:rFonts w:ascii="Book Antiqua" w:hAnsi="Book Antiqua"/>
        </w:rPr>
        <w:t xml:space="preserve">, footnote 145. </w:t>
      </w:r>
    </w:p>
  </w:footnote>
  <w:footnote w:id="177">
    <w:p w14:paraId="540D7ABC" w14:textId="50958609" w:rsidR="0084528A" w:rsidRDefault="0084528A" w:rsidP="0084528A">
      <w:pPr>
        <w:pStyle w:val="FootnoteText"/>
      </w:pPr>
      <w:r>
        <w:rPr>
          <w:rStyle w:val="FootnoteReference"/>
        </w:rPr>
        <w:footnoteRef/>
      </w:r>
      <w:r>
        <w:t xml:space="preserve"> </w:t>
      </w:r>
      <w:r w:rsidR="00F64BE3">
        <w:rPr>
          <w:i/>
          <w:iCs/>
        </w:rPr>
        <w:t>See</w:t>
      </w:r>
      <w:r w:rsidR="00F64BE3">
        <w:t xml:space="preserve"> </w:t>
      </w:r>
      <w:hyperlink r:id="rId20" w:history="1">
        <w:r w:rsidR="003050C4" w:rsidRPr="009D07E6">
          <w:rPr>
            <w:rStyle w:val="Hyperlink"/>
          </w:rPr>
          <w:t>https://www.njleg.state.nj.us/2016/Bills/PL16/37_.PDF</w:t>
        </w:r>
      </w:hyperlink>
      <w:r w:rsidR="003050C4">
        <w:t xml:space="preserve">.  </w:t>
      </w:r>
      <w:r w:rsidRPr="00757232">
        <w:rPr>
          <w:i/>
          <w:iCs/>
        </w:rPr>
        <w:t>See</w:t>
      </w:r>
      <w:r w:rsidR="00F64BE3">
        <w:rPr>
          <w:i/>
          <w:iCs/>
        </w:rPr>
        <w:t xml:space="preserve"> also</w:t>
      </w:r>
      <w:r>
        <w:t xml:space="preserve"> </w:t>
      </w:r>
      <w:hyperlink r:id="rId21" w:anchor="Phone" w:history="1">
        <w:r w:rsidRPr="00757232">
          <w:rPr>
            <w:rStyle w:val="Hyperlink"/>
          </w:rPr>
          <w:t>https://www.state.nj.us/corrections/pages/OffenderInformation.html#Phone</w:t>
        </w:r>
      </w:hyperlink>
      <w:r w:rsidR="00F64BE3">
        <w:rPr>
          <w:rStyle w:val="Hyperlink"/>
        </w:rPr>
        <w:t xml:space="preserve"> (accessed June 17, 2021).</w:t>
      </w:r>
      <w:r w:rsidR="00BE4082">
        <w:rPr>
          <w:rStyle w:val="Hyperlink"/>
        </w:rPr>
        <w:t xml:space="preserve">  </w:t>
      </w:r>
      <w:hyperlink r:id="rId22" w:history="1">
        <w:r w:rsidR="00BE4082" w:rsidRPr="009D07E6">
          <w:rPr>
            <w:rStyle w:val="Hyperlink"/>
          </w:rPr>
          <w:t>https://www.prisonphonejustice.org/2018/IL/securus-contract-2018-2021/</w:t>
        </w:r>
      </w:hyperlink>
      <w:r w:rsidR="00B81565">
        <w:rPr>
          <w:rStyle w:val="Hyperlink"/>
        </w:rPr>
        <w:t>.</w:t>
      </w:r>
    </w:p>
  </w:footnote>
  <w:footnote w:id="178">
    <w:p w14:paraId="242A6B78" w14:textId="1343D92B" w:rsidR="0084528A" w:rsidRPr="000D2A5D" w:rsidRDefault="0084528A" w:rsidP="00655016">
      <w:pPr>
        <w:spacing w:after="120" w:line="254" w:lineRule="auto"/>
        <w:rPr>
          <w:rFonts w:ascii="Book Antiqua" w:hAnsi="Book Antiqua"/>
          <w:color w:val="0563C1" w:themeColor="hyperlink"/>
          <w:sz w:val="22"/>
          <w:szCs w:val="22"/>
          <w:u w:val="single"/>
        </w:rPr>
      </w:pPr>
      <w:r w:rsidRPr="000D2A5D">
        <w:rPr>
          <w:rStyle w:val="FootnoteReference"/>
          <w:rFonts w:ascii="Book Antiqua" w:hAnsi="Book Antiqua"/>
          <w:sz w:val="22"/>
          <w:szCs w:val="22"/>
        </w:rPr>
        <w:footnoteRef/>
      </w:r>
      <w:r w:rsidRPr="000D2A5D">
        <w:rPr>
          <w:rFonts w:ascii="Book Antiqua" w:hAnsi="Book Antiqua"/>
          <w:sz w:val="22"/>
          <w:szCs w:val="22"/>
        </w:rPr>
        <w:t xml:space="preserve"> </w:t>
      </w:r>
      <w:r w:rsidRPr="000D2A5D">
        <w:rPr>
          <w:rFonts w:ascii="Book Antiqua" w:hAnsi="Book Antiqua"/>
          <w:i/>
          <w:iCs/>
          <w:sz w:val="22"/>
          <w:szCs w:val="22"/>
        </w:rPr>
        <w:t>See</w:t>
      </w:r>
      <w:r w:rsidRPr="000D2A5D">
        <w:rPr>
          <w:rFonts w:ascii="Book Antiqua" w:hAnsi="Book Antiqua"/>
          <w:sz w:val="22"/>
          <w:szCs w:val="22"/>
        </w:rPr>
        <w:t xml:space="preserve"> </w:t>
      </w:r>
      <w:hyperlink r:id="rId23" w:history="1">
        <w:r w:rsidRPr="000D2A5D">
          <w:rPr>
            <w:rStyle w:val="Hyperlink"/>
            <w:rFonts w:ascii="Book Antiqua" w:hAnsi="Book Antiqua"/>
            <w:sz w:val="22"/>
            <w:szCs w:val="22"/>
          </w:rPr>
          <w:t>http://publici.ucimc.org/2019/04/illinois-prison-phone-rates-are-lowest-following-grassroots-activism/</w:t>
        </w:r>
      </w:hyperlink>
      <w:r w:rsidR="006D3C98" w:rsidRPr="000D2A5D">
        <w:rPr>
          <w:rFonts w:ascii="Book Antiqua" w:hAnsi="Book Antiqua"/>
          <w:sz w:val="22"/>
          <w:szCs w:val="22"/>
        </w:rPr>
        <w:t xml:space="preserve"> (available as of this writing). </w:t>
      </w:r>
    </w:p>
  </w:footnote>
  <w:footnote w:id="179">
    <w:p w14:paraId="02B84F48" w14:textId="6A0E1F72" w:rsidR="00530470" w:rsidRPr="000D2A5D" w:rsidRDefault="00530470" w:rsidP="00655016">
      <w:pPr>
        <w:pStyle w:val="FootnoteText"/>
        <w:rPr>
          <w:rFonts w:ascii="Book Antiqua" w:hAnsi="Book Antiqua"/>
          <w:szCs w:val="22"/>
        </w:rPr>
      </w:pPr>
      <w:r w:rsidRPr="000D2A5D">
        <w:rPr>
          <w:rStyle w:val="FootnoteReference"/>
          <w:rFonts w:ascii="Book Antiqua" w:hAnsi="Book Antiqua"/>
          <w:szCs w:val="22"/>
        </w:rPr>
        <w:footnoteRef/>
      </w:r>
      <w:r w:rsidRPr="000D2A5D">
        <w:rPr>
          <w:rFonts w:ascii="Book Antiqua" w:hAnsi="Book Antiqua"/>
          <w:szCs w:val="22"/>
        </w:rPr>
        <w:t xml:space="preserve"> </w:t>
      </w:r>
      <w:r w:rsidRPr="00DB6D60">
        <w:rPr>
          <w:rFonts w:ascii="Book Antiqua" w:hAnsi="Book Antiqua"/>
          <w:szCs w:val="22"/>
        </w:rPr>
        <w:t>Justice Coalition, Reply Comments on Staff Proposal at 3</w:t>
      </w:r>
      <w:r w:rsidR="00220A75">
        <w:rPr>
          <w:rFonts w:ascii="Book Antiqua" w:hAnsi="Book Antiqua"/>
          <w:szCs w:val="22"/>
        </w:rPr>
        <w:t xml:space="preserve">; </w:t>
      </w:r>
      <w:r w:rsidR="00220A75" w:rsidRPr="000D2A5D">
        <w:rPr>
          <w:rFonts w:ascii="Book Antiqua" w:hAnsi="Book Antiqua"/>
          <w:i/>
          <w:iCs/>
          <w:szCs w:val="22"/>
        </w:rPr>
        <w:t>See</w:t>
      </w:r>
      <w:r w:rsidR="00577831">
        <w:rPr>
          <w:rFonts w:ascii="Book Antiqua" w:hAnsi="Book Antiqua"/>
          <w:i/>
          <w:iCs/>
          <w:szCs w:val="22"/>
        </w:rPr>
        <w:t xml:space="preserve"> also</w:t>
      </w:r>
      <w:r w:rsidR="00220A75">
        <w:rPr>
          <w:rFonts w:ascii="Book Antiqua" w:hAnsi="Book Antiqua"/>
          <w:szCs w:val="22"/>
        </w:rPr>
        <w:t xml:space="preserve"> </w:t>
      </w:r>
      <w:r w:rsidR="00ED2079">
        <w:rPr>
          <w:rFonts w:ascii="Book Antiqua" w:hAnsi="Book Antiqua"/>
          <w:szCs w:val="22"/>
        </w:rPr>
        <w:t xml:space="preserve">Dallas County TX- Securus contract – 2020 – 2025, available as of this writing at: </w:t>
      </w:r>
      <w:hyperlink r:id="rId24" w:history="1">
        <w:r w:rsidR="00ED2079" w:rsidRPr="00663C9F">
          <w:rPr>
            <w:rStyle w:val="Hyperlink"/>
            <w:rFonts w:ascii="Book Antiqua" w:hAnsi="Book Antiqua"/>
            <w:szCs w:val="22"/>
          </w:rPr>
          <w:t>https://www.prisonphonejustice.org/2020/TX/tx-dallas-county-securus-contract-2020-2025/</w:t>
        </w:r>
      </w:hyperlink>
      <w:r w:rsidR="00577831">
        <w:rPr>
          <w:rFonts w:ascii="Book Antiqua" w:hAnsi="Book Antiqua"/>
          <w:szCs w:val="22"/>
        </w:rPr>
        <w:t>.</w:t>
      </w:r>
    </w:p>
  </w:footnote>
  <w:footnote w:id="180">
    <w:p w14:paraId="719AFC08" w14:textId="6ABBB328" w:rsidR="00957E5F" w:rsidRPr="00655016" w:rsidRDefault="00957E5F" w:rsidP="00655016">
      <w:pPr>
        <w:pStyle w:val="FootnoteText"/>
        <w:rPr>
          <w:rFonts w:ascii="Book Antiqua" w:hAnsi="Book Antiqua"/>
        </w:rPr>
      </w:pPr>
      <w:r w:rsidRPr="00DB6D60">
        <w:rPr>
          <w:rStyle w:val="FootnoteReference"/>
          <w:rFonts w:ascii="Book Antiqua" w:hAnsi="Book Antiqua"/>
          <w:szCs w:val="22"/>
        </w:rPr>
        <w:footnoteRef/>
      </w:r>
      <w:r w:rsidRPr="00DB6D60">
        <w:rPr>
          <w:rFonts w:ascii="Book Antiqua" w:hAnsi="Book Antiqua"/>
          <w:szCs w:val="22"/>
        </w:rPr>
        <w:t xml:space="preserve"> </w:t>
      </w:r>
      <w:r w:rsidR="00CA2D02" w:rsidRPr="000D2A5D">
        <w:rPr>
          <w:rFonts w:ascii="Book Antiqua" w:hAnsi="Book Antiqua"/>
          <w:szCs w:val="22"/>
        </w:rPr>
        <w:t>Legislative (Assembly Floor) analysis associated with SB 555 indicates that</w:t>
      </w:r>
      <w:r w:rsidR="008749CB" w:rsidRPr="000D2A5D">
        <w:rPr>
          <w:rFonts w:ascii="Book Antiqua" w:hAnsi="Book Antiqua"/>
          <w:szCs w:val="22"/>
        </w:rPr>
        <w:t xml:space="preserve"> “[a]ccording to the </w:t>
      </w:r>
      <w:r w:rsidR="00CA2D02" w:rsidRPr="000D2A5D">
        <w:rPr>
          <w:rFonts w:ascii="Book Antiqua" w:hAnsi="Book Antiqua"/>
          <w:szCs w:val="22"/>
        </w:rPr>
        <w:t>San Bernardino County Sheriff’s Department</w:t>
      </w:r>
      <w:r w:rsidR="00E75FAF" w:rsidRPr="000D2A5D">
        <w:rPr>
          <w:rFonts w:ascii="Book Antiqua" w:hAnsi="Book Antiqua"/>
          <w:szCs w:val="22"/>
        </w:rPr>
        <w:t>, ‘</w:t>
      </w:r>
      <w:r w:rsidR="00A11A09" w:rsidRPr="000D2A5D">
        <w:rPr>
          <w:rFonts w:ascii="Book Antiqua" w:hAnsi="Book Antiqua"/>
          <w:szCs w:val="22"/>
        </w:rPr>
        <w:t xml:space="preserve">The </w:t>
      </w:r>
      <w:r w:rsidR="00655E96" w:rsidRPr="000D2A5D">
        <w:rPr>
          <w:rFonts w:ascii="Book Antiqua" w:hAnsi="Book Antiqua"/>
          <w:szCs w:val="22"/>
        </w:rPr>
        <w:t xml:space="preserve">elimination </w:t>
      </w:r>
      <w:r w:rsidR="009F7BBE" w:rsidRPr="000D2A5D">
        <w:rPr>
          <w:rFonts w:ascii="Book Antiqua" w:hAnsi="Book Antiqua"/>
          <w:szCs w:val="22"/>
        </w:rPr>
        <w:t>of a commission for San</w:t>
      </w:r>
      <w:r w:rsidR="00655016">
        <w:rPr>
          <w:rFonts w:ascii="Book Antiqua" w:hAnsi="Book Antiqua"/>
          <w:szCs w:val="22"/>
        </w:rPr>
        <w:t> </w:t>
      </w:r>
      <w:r w:rsidR="009F7BBE" w:rsidRPr="000D2A5D">
        <w:rPr>
          <w:rFonts w:ascii="Book Antiqua" w:hAnsi="Book Antiqua"/>
          <w:szCs w:val="22"/>
        </w:rPr>
        <w:t xml:space="preserve">Bernardino County Sheriff’s Department would end </w:t>
      </w:r>
      <w:r w:rsidR="00CA2D02" w:rsidRPr="000D2A5D">
        <w:rPr>
          <w:rFonts w:ascii="Book Antiqua" w:hAnsi="Book Antiqua"/>
          <w:szCs w:val="22"/>
        </w:rPr>
        <w:t xml:space="preserve">approximately $6 million </w:t>
      </w:r>
      <w:r w:rsidR="00251032" w:rsidRPr="000D2A5D">
        <w:rPr>
          <w:rFonts w:ascii="Book Antiqua" w:hAnsi="Book Antiqua"/>
          <w:szCs w:val="22"/>
        </w:rPr>
        <w:t>revenue</w:t>
      </w:r>
      <w:r w:rsidR="00CA2D02" w:rsidRPr="000D2A5D">
        <w:rPr>
          <w:rFonts w:ascii="Book Antiqua" w:hAnsi="Book Antiqua"/>
          <w:szCs w:val="22"/>
        </w:rPr>
        <w:t xml:space="preserve"> in </w:t>
      </w:r>
      <w:r w:rsidR="00134638" w:rsidRPr="000D2A5D">
        <w:rPr>
          <w:rFonts w:ascii="Book Antiqua" w:hAnsi="Book Antiqua"/>
          <w:szCs w:val="22"/>
        </w:rPr>
        <w:t>i</w:t>
      </w:r>
      <w:r w:rsidR="00CA2D02" w:rsidRPr="000D2A5D">
        <w:rPr>
          <w:rFonts w:ascii="Book Antiqua" w:hAnsi="Book Antiqua"/>
          <w:szCs w:val="22"/>
        </w:rPr>
        <w:t xml:space="preserve">nmate </w:t>
      </w:r>
      <w:r w:rsidR="00134638" w:rsidRPr="000D2A5D">
        <w:rPr>
          <w:rFonts w:ascii="Book Antiqua" w:hAnsi="Book Antiqua"/>
          <w:szCs w:val="22"/>
        </w:rPr>
        <w:t>w</w:t>
      </w:r>
      <w:r w:rsidR="00CA2D02" w:rsidRPr="000D2A5D">
        <w:rPr>
          <w:rFonts w:ascii="Book Antiqua" w:hAnsi="Book Antiqua"/>
          <w:szCs w:val="22"/>
        </w:rPr>
        <w:t xml:space="preserve">elfare </w:t>
      </w:r>
      <w:r w:rsidR="00134638" w:rsidRPr="000D2A5D">
        <w:rPr>
          <w:rFonts w:ascii="Book Antiqua" w:hAnsi="Book Antiqua"/>
          <w:szCs w:val="22"/>
        </w:rPr>
        <w:t>f</w:t>
      </w:r>
      <w:r w:rsidR="00CA2D02" w:rsidRPr="000D2A5D">
        <w:rPr>
          <w:rFonts w:ascii="Book Antiqua" w:hAnsi="Book Antiqua"/>
          <w:szCs w:val="22"/>
        </w:rPr>
        <w:t xml:space="preserve">und </w:t>
      </w:r>
      <w:r w:rsidR="00251032" w:rsidRPr="000D2A5D">
        <w:rPr>
          <w:rFonts w:ascii="Book Antiqua" w:hAnsi="Book Antiqua"/>
          <w:szCs w:val="22"/>
        </w:rPr>
        <w:t>(IWF)</w:t>
      </w:r>
      <w:r w:rsidR="00CA2D02" w:rsidRPr="000D2A5D">
        <w:rPr>
          <w:rFonts w:ascii="Book Antiqua" w:hAnsi="Book Antiqua"/>
          <w:szCs w:val="22"/>
        </w:rPr>
        <w:t xml:space="preserve"> annually</w:t>
      </w:r>
      <w:r w:rsidR="003C1CDB" w:rsidRPr="000D2A5D">
        <w:rPr>
          <w:rFonts w:ascii="Book Antiqua" w:hAnsi="Book Antiqua"/>
          <w:szCs w:val="22"/>
        </w:rPr>
        <w:t xml:space="preserve">.  This </w:t>
      </w:r>
      <w:r w:rsidR="00CA2D02" w:rsidRPr="000D2A5D">
        <w:rPr>
          <w:rFonts w:ascii="Book Antiqua" w:hAnsi="Book Antiqua"/>
          <w:szCs w:val="22"/>
        </w:rPr>
        <w:t>fund</w:t>
      </w:r>
      <w:r w:rsidR="002F0FFD" w:rsidRPr="000D2A5D">
        <w:rPr>
          <w:rFonts w:ascii="Book Antiqua" w:hAnsi="Book Antiqua"/>
          <w:szCs w:val="22"/>
        </w:rPr>
        <w:t xml:space="preserve"> </w:t>
      </w:r>
      <w:r w:rsidR="00CA2D02" w:rsidRPr="000D2A5D">
        <w:rPr>
          <w:rFonts w:ascii="Book Antiqua" w:hAnsi="Book Antiqua"/>
          <w:szCs w:val="22"/>
        </w:rPr>
        <w:t>pays for over 25 Sheriff's Department staff, overhead, supplies and services as well as educational contracts from various institutions. The staff and contracts paid by the IWF sustain approximately 30 programs for the incarcerated population ranging from education classes, vocational classes, trauma therapy classes, job fairs and resource fairs</w:t>
      </w:r>
      <w:r w:rsidR="004F130F" w:rsidRPr="000D2A5D">
        <w:rPr>
          <w:rFonts w:ascii="Book Antiqua" w:hAnsi="Book Antiqua"/>
          <w:szCs w:val="22"/>
        </w:rPr>
        <w:t xml:space="preserve"> just to name a few</w:t>
      </w:r>
      <w:r w:rsidR="00DE6483" w:rsidRPr="000D2A5D">
        <w:rPr>
          <w:rFonts w:ascii="Book Antiqua" w:hAnsi="Book Antiqua"/>
          <w:szCs w:val="22"/>
        </w:rPr>
        <w:t>.</w:t>
      </w:r>
      <w:r w:rsidR="002530FB" w:rsidRPr="000D2A5D">
        <w:rPr>
          <w:rFonts w:ascii="Book Antiqua" w:hAnsi="Book Antiqua"/>
          <w:szCs w:val="22"/>
        </w:rPr>
        <w:t>’</w:t>
      </w:r>
      <w:r w:rsidR="00CA2D02" w:rsidRPr="000D2A5D">
        <w:rPr>
          <w:rFonts w:ascii="Book Antiqua" w:hAnsi="Book Antiqua"/>
          <w:szCs w:val="22"/>
        </w:rPr>
        <w:t>” Legislative (Assembly Appropriations) analysis of SB</w:t>
      </w:r>
      <w:r w:rsidR="00655016">
        <w:rPr>
          <w:rFonts w:ascii="Book Antiqua" w:hAnsi="Book Antiqua"/>
          <w:szCs w:val="22"/>
        </w:rPr>
        <w:t> </w:t>
      </w:r>
      <w:r w:rsidR="00CA2D02" w:rsidRPr="000D2A5D">
        <w:rPr>
          <w:rFonts w:ascii="Book Antiqua" w:hAnsi="Book Antiqua"/>
          <w:szCs w:val="22"/>
        </w:rPr>
        <w:t xml:space="preserve">555 states, “[i]n fiscal year 2017-2018, the Los Angeles County Sheriff’s Department (LASD) reported it received just over $15 million in payments from its communications provider and over $20 million dollars from canteen sales. </w:t>
      </w:r>
      <w:r w:rsidR="00655016">
        <w:rPr>
          <w:rFonts w:ascii="Book Antiqua" w:hAnsi="Book Antiqua"/>
          <w:szCs w:val="22"/>
        </w:rPr>
        <w:t xml:space="preserve"> </w:t>
      </w:r>
      <w:r w:rsidR="00CA2D02" w:rsidRPr="000D2A5D">
        <w:rPr>
          <w:rFonts w:ascii="Book Antiqua" w:hAnsi="Book Antiqua"/>
          <w:szCs w:val="22"/>
        </w:rPr>
        <w:t>LASD further reported it spent $37 million dollars from the inmate welfare fund on vocation and rehabilitative services over the past several years, including:</w:t>
      </w:r>
      <w:r w:rsidR="00655016">
        <w:rPr>
          <w:rFonts w:ascii="Book Antiqua" w:hAnsi="Book Antiqua"/>
          <w:szCs w:val="22"/>
        </w:rPr>
        <w:t xml:space="preserve"> </w:t>
      </w:r>
      <w:r w:rsidR="00CA2D02" w:rsidRPr="000D2A5D">
        <w:rPr>
          <w:rFonts w:ascii="Book Antiqua" w:hAnsi="Book Antiqua"/>
          <w:szCs w:val="22"/>
        </w:rPr>
        <w:t xml:space="preserve"> $5 million dollars for Healthright 360 services over the past eight years; and $1.2</w:t>
      </w:r>
      <w:r w:rsidR="00655016">
        <w:rPr>
          <w:rFonts w:ascii="Book Antiqua" w:hAnsi="Book Antiqua"/>
          <w:szCs w:val="22"/>
        </w:rPr>
        <w:t> </w:t>
      </w:r>
      <w:r w:rsidR="00CA2D02" w:rsidRPr="000D2A5D">
        <w:rPr>
          <w:rFonts w:ascii="Book Antiqua" w:hAnsi="Book Antiqua"/>
          <w:szCs w:val="22"/>
        </w:rPr>
        <w:t>million dollars for inmate legal assistance over the past five years.</w:t>
      </w:r>
      <w:r w:rsidR="00655016">
        <w:rPr>
          <w:rFonts w:ascii="Book Antiqua" w:hAnsi="Book Antiqua"/>
          <w:szCs w:val="22"/>
        </w:rPr>
        <w:t xml:space="preserve"> </w:t>
      </w:r>
      <w:r w:rsidR="00CA2D02" w:rsidRPr="000D2A5D">
        <w:rPr>
          <w:rFonts w:ascii="Book Antiqua" w:hAnsi="Book Antiqua"/>
          <w:szCs w:val="22"/>
        </w:rPr>
        <w:t xml:space="preserve"> San Diego County Sheriff’s Department (SDSD) reported it had approximately $7 million dollars in its inmate welfare fund during FY 2017-18 and 93% of those funds were generated by canteen and communications charges. SDSD also reported it used approximately 82% of all revenue for </w:t>
      </w:r>
      <w:r w:rsidR="00CA2D02" w:rsidRPr="00655016">
        <w:rPr>
          <w:rFonts w:ascii="Book Antiqua" w:hAnsi="Book Antiqua"/>
          <w:szCs w:val="22"/>
        </w:rPr>
        <w:t>direct inmate services.”</w:t>
      </w:r>
    </w:p>
  </w:footnote>
  <w:footnote w:id="181">
    <w:p w14:paraId="6605799B" w14:textId="77B32F7F" w:rsidR="009D1A03" w:rsidRPr="00655016" w:rsidRDefault="009D1A03">
      <w:pPr>
        <w:pStyle w:val="FootnoteText"/>
        <w:rPr>
          <w:rFonts w:ascii="Book Antiqua" w:hAnsi="Book Antiqua"/>
        </w:rPr>
      </w:pPr>
      <w:r w:rsidRPr="00655016">
        <w:rPr>
          <w:rStyle w:val="FootnoteReference"/>
          <w:rFonts w:ascii="Book Antiqua" w:hAnsi="Book Antiqua"/>
        </w:rPr>
        <w:footnoteRef/>
      </w:r>
      <w:r w:rsidRPr="00655016">
        <w:rPr>
          <w:rFonts w:ascii="Book Antiqua" w:hAnsi="Book Antiqua"/>
        </w:rPr>
        <w:t xml:space="preserve"> </w:t>
      </w:r>
      <w:r w:rsidR="001D611C" w:rsidRPr="00655016">
        <w:rPr>
          <w:rFonts w:ascii="Book Antiqua" w:hAnsi="Book Antiqua"/>
        </w:rPr>
        <w:t xml:space="preserve">FCC </w:t>
      </w:r>
      <w:r w:rsidRPr="00655016">
        <w:rPr>
          <w:rFonts w:ascii="Book Antiqua" w:hAnsi="Book Antiqua"/>
        </w:rPr>
        <w:t xml:space="preserve">Third Order at ¶¶ 100, 105, 140 – 147.  </w:t>
      </w:r>
    </w:p>
  </w:footnote>
  <w:footnote w:id="182">
    <w:p w14:paraId="3ADBCD65" w14:textId="3DD4F819" w:rsidR="00632F18" w:rsidRPr="00655016" w:rsidRDefault="00632F18" w:rsidP="00632F18">
      <w:pPr>
        <w:pStyle w:val="FootnoteText"/>
        <w:rPr>
          <w:rFonts w:ascii="Book Antiqua" w:hAnsi="Book Antiqua"/>
        </w:rPr>
      </w:pPr>
      <w:r w:rsidRPr="00655016">
        <w:rPr>
          <w:rStyle w:val="FootnoteReference"/>
          <w:rFonts w:ascii="Book Antiqua" w:hAnsi="Book Antiqua"/>
        </w:rPr>
        <w:footnoteRef/>
      </w:r>
      <w:r w:rsidRPr="00655016">
        <w:rPr>
          <w:rFonts w:ascii="Book Antiqua" w:hAnsi="Book Antiqua"/>
        </w:rPr>
        <w:t xml:space="preserve"> </w:t>
      </w:r>
      <w:r w:rsidRPr="00655016">
        <w:rPr>
          <w:rFonts w:ascii="Book Antiqua" w:hAnsi="Book Antiqua"/>
          <w:i/>
          <w:iCs/>
        </w:rPr>
        <w:t>Id</w:t>
      </w:r>
      <w:r w:rsidRPr="00655016">
        <w:rPr>
          <w:rFonts w:ascii="Book Antiqua" w:hAnsi="Book Antiqua"/>
        </w:rPr>
        <w:t xml:space="preserve">. at ¶ 146: </w:t>
      </w:r>
      <w:r w:rsidR="00655016" w:rsidRPr="00655016">
        <w:rPr>
          <w:rFonts w:ascii="Book Antiqua" w:hAnsi="Book Antiqua"/>
        </w:rPr>
        <w:t xml:space="preserve"> </w:t>
      </w:r>
      <w:r w:rsidRPr="00655016">
        <w:rPr>
          <w:rFonts w:ascii="Book Antiqua" w:hAnsi="Book Antiqua"/>
        </w:rPr>
        <w:t>“We are not confident that the data we currently have can reasonably estimate legitimate facility-related costs for smaller facilities.”</w:t>
      </w:r>
    </w:p>
  </w:footnote>
  <w:footnote w:id="183">
    <w:p w14:paraId="75271108" w14:textId="708E7360" w:rsidR="00DA314E" w:rsidRPr="00655016" w:rsidRDefault="00DA314E">
      <w:pPr>
        <w:pStyle w:val="FootnoteText"/>
        <w:rPr>
          <w:rFonts w:ascii="Book Antiqua" w:hAnsi="Book Antiqua"/>
        </w:rPr>
      </w:pPr>
      <w:r w:rsidRPr="00655016">
        <w:rPr>
          <w:rStyle w:val="FootnoteReference"/>
          <w:rFonts w:ascii="Book Antiqua" w:hAnsi="Book Antiqua"/>
        </w:rPr>
        <w:footnoteRef/>
      </w:r>
      <w:r w:rsidRPr="00655016">
        <w:rPr>
          <w:rFonts w:ascii="Book Antiqua" w:hAnsi="Book Antiqua"/>
        </w:rPr>
        <w:t xml:space="preserve"> Pay Tel, Comments on Staff Proposal at 6. </w:t>
      </w:r>
    </w:p>
  </w:footnote>
  <w:footnote w:id="184">
    <w:p w14:paraId="02EE0C25" w14:textId="67B5D8E8" w:rsidR="00C7035C" w:rsidRPr="000D2A5D" w:rsidRDefault="00C7035C" w:rsidP="00C7035C">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003642A7" w:rsidRPr="000D2A5D">
        <w:rPr>
          <w:rFonts w:ascii="Book Antiqua" w:hAnsi="Book Antiqua"/>
        </w:rPr>
        <w:t xml:space="preserve">FCC </w:t>
      </w:r>
      <w:r w:rsidRPr="000D2A5D">
        <w:rPr>
          <w:rFonts w:ascii="Book Antiqua" w:hAnsi="Book Antiqua"/>
        </w:rPr>
        <w:t xml:space="preserve">Third Order at ¶ 126 discusses the FCC approach to determining just and reasonable rates by focusing on recovering “prudently incurred investments and expenses that are ‘used and useful’ in the provision of the regulated service for which rates are being set;” </w:t>
      </w:r>
      <w:r w:rsidRPr="000D2A5D">
        <w:rPr>
          <w:rFonts w:ascii="Book Antiqua" w:hAnsi="Book Antiqua"/>
          <w:i/>
          <w:iCs/>
        </w:rPr>
        <w:t xml:space="preserve">Id. </w:t>
      </w:r>
      <w:r w:rsidRPr="000D2A5D">
        <w:rPr>
          <w:rFonts w:ascii="Book Antiqua" w:hAnsi="Book Antiqua"/>
        </w:rPr>
        <w:t xml:space="preserve">at 127 “we likewise find that contractually prescribed site commission payments that simply compensate a correctional institution for costs an institution incurs to enable access for incarcerated people to interstate and international inmate calling services can, at least at this time, be considered used and useful in the provision of interstate and international inmate calling services.”  </w:t>
      </w:r>
      <w:r w:rsidRPr="000D2A5D">
        <w:rPr>
          <w:rFonts w:ascii="Book Antiqua" w:hAnsi="Book Antiqua"/>
          <w:i/>
          <w:iCs/>
        </w:rPr>
        <w:t xml:space="preserve">Id. </w:t>
      </w:r>
      <w:r w:rsidRPr="000D2A5D">
        <w:rPr>
          <w:rFonts w:ascii="Book Antiqua" w:hAnsi="Book Antiqua"/>
        </w:rPr>
        <w:t>at ¶ 128 “we find that contractually prescribed site commission payments do not warrant recovery insofar as they exceed the level needed to compensate a correctional institution for the costs (if any) an institution incurs to enable interstate and international inmate calling services to be made available to its incarcerated people</w:t>
      </w:r>
      <w:r w:rsidR="00655016">
        <w:rPr>
          <w:rFonts w:ascii="Book Antiqua" w:hAnsi="Book Antiqua"/>
        </w:rPr>
        <w:t>;</w:t>
      </w:r>
      <w:r w:rsidRPr="000D2A5D">
        <w:rPr>
          <w:rFonts w:ascii="Book Antiqua" w:hAnsi="Book Antiqua"/>
        </w:rPr>
        <w:t xml:space="preserve">” </w:t>
      </w:r>
      <w:r w:rsidRPr="00655016">
        <w:rPr>
          <w:rFonts w:ascii="Book Antiqua" w:hAnsi="Book Antiqua"/>
          <w:i/>
          <w:iCs/>
        </w:rPr>
        <w:t>See</w:t>
      </w:r>
      <w:r w:rsidRPr="000D2A5D">
        <w:rPr>
          <w:rFonts w:ascii="Book Antiqua" w:hAnsi="Book Antiqua"/>
        </w:rPr>
        <w:t xml:space="preserve"> also </w:t>
      </w:r>
      <w:r w:rsidRPr="000D2A5D">
        <w:rPr>
          <w:rFonts w:ascii="Book Antiqua" w:hAnsi="Book Antiqua"/>
          <w:i/>
          <w:iCs/>
        </w:rPr>
        <w:t>Id</w:t>
      </w:r>
      <w:r w:rsidRPr="000D2A5D">
        <w:rPr>
          <w:rFonts w:ascii="Book Antiqua" w:hAnsi="Book Antiqua"/>
        </w:rPr>
        <w:t>. at ¶ 103.  “Where a law or regulation merely allows a correctional facility to collect site commissions… site commissions would also fall into the category of site commission payments prescribed by contract, because the correctional facilities and providers can negotiate, in their discretion, regarding how much the providers will pay in site commissions.”</w:t>
      </w:r>
    </w:p>
  </w:footnote>
  <w:footnote w:id="185">
    <w:p w14:paraId="45F6BC99" w14:textId="464F3AFD" w:rsidR="00B00A69" w:rsidRPr="003642A7" w:rsidRDefault="00B00A69" w:rsidP="00BE5C33">
      <w:pPr>
        <w:pStyle w:val="FootnoteText"/>
        <w:rPr>
          <w:rFonts w:ascii="Book Antiqua" w:hAnsi="Book Antiqua"/>
        </w:rPr>
      </w:pPr>
      <w:r w:rsidRPr="003642A7">
        <w:rPr>
          <w:rStyle w:val="FootnoteReference"/>
          <w:rFonts w:ascii="Book Antiqua" w:hAnsi="Book Antiqua"/>
        </w:rPr>
        <w:footnoteRef/>
      </w:r>
      <w:r w:rsidRPr="003642A7">
        <w:rPr>
          <w:rFonts w:ascii="Book Antiqua" w:hAnsi="Book Antiqua"/>
        </w:rPr>
        <w:t xml:space="preserve"> </w:t>
      </w:r>
      <w:r w:rsidR="007D002C" w:rsidRPr="000D2A5D">
        <w:rPr>
          <w:rFonts w:ascii="Book Antiqua" w:hAnsi="Book Antiqua"/>
          <w:i/>
          <w:iCs/>
        </w:rPr>
        <w:t>See</w:t>
      </w:r>
      <w:r w:rsidR="007D002C" w:rsidRPr="003642A7">
        <w:rPr>
          <w:rFonts w:ascii="Book Antiqua" w:hAnsi="Book Antiqua"/>
        </w:rPr>
        <w:t xml:space="preserve"> </w:t>
      </w:r>
      <w:r w:rsidR="003642A7" w:rsidRPr="003642A7">
        <w:rPr>
          <w:rFonts w:ascii="Book Antiqua" w:hAnsi="Book Antiqua"/>
        </w:rPr>
        <w:t xml:space="preserve">FCC </w:t>
      </w:r>
      <w:r w:rsidR="007D002C" w:rsidRPr="003642A7">
        <w:rPr>
          <w:rFonts w:ascii="Book Antiqua" w:hAnsi="Book Antiqua"/>
        </w:rPr>
        <w:t xml:space="preserve">Third Order at ¶¶ 120 regarding site commissions that not required by regulation or law: </w:t>
      </w:r>
      <w:r w:rsidR="00655016">
        <w:rPr>
          <w:rFonts w:ascii="Book Antiqua" w:hAnsi="Book Antiqua"/>
        </w:rPr>
        <w:t xml:space="preserve"> </w:t>
      </w:r>
      <w:r w:rsidR="007D002C" w:rsidRPr="003642A7">
        <w:rPr>
          <w:rFonts w:ascii="Book Antiqua" w:hAnsi="Book Antiqua"/>
        </w:rPr>
        <w:t xml:space="preserve">“we do not regard site commissions under the second scenario as a condition precedent of doing business at correctional institutions;” </w:t>
      </w:r>
      <w:r w:rsidR="009E4D98" w:rsidRPr="003642A7">
        <w:rPr>
          <w:rFonts w:ascii="Book Antiqua" w:hAnsi="Book Antiqua"/>
          <w:i/>
        </w:rPr>
        <w:t>Id.</w:t>
      </w:r>
      <w:r w:rsidR="009E4D98" w:rsidRPr="003642A7">
        <w:rPr>
          <w:rFonts w:ascii="Book Antiqua" w:hAnsi="Book Antiqua"/>
        </w:rPr>
        <w:t xml:space="preserve"> </w:t>
      </w:r>
      <w:r w:rsidR="007D002C" w:rsidRPr="003642A7">
        <w:rPr>
          <w:rFonts w:ascii="Book Antiqua" w:hAnsi="Book Antiqua"/>
        </w:rPr>
        <w:t>at  ¶ 122, “we reject any claim that site commission payments are somehow ‘required’ or determined by the correctional institution: we find on this record that providers offer such payments voluntarily, in their own business judgment</w:t>
      </w:r>
      <w:r w:rsidR="00FD0411" w:rsidRPr="003642A7">
        <w:rPr>
          <w:rFonts w:ascii="Book Antiqua" w:hAnsi="Book Antiqua"/>
        </w:rPr>
        <w:t>.</w:t>
      </w:r>
      <w:r w:rsidR="00885736" w:rsidRPr="003642A7">
        <w:rPr>
          <w:rFonts w:ascii="Book Antiqua" w:hAnsi="Book Antiqua"/>
        </w:rPr>
        <w:t>”</w:t>
      </w:r>
      <w:r w:rsidR="007E0DFE" w:rsidRPr="003642A7">
        <w:rPr>
          <w:rFonts w:ascii="Book Antiqua" w:hAnsi="Book Antiqua"/>
        </w:rPr>
        <w:t xml:space="preserve">  </w:t>
      </w:r>
    </w:p>
  </w:footnote>
  <w:footnote w:id="186">
    <w:p w14:paraId="4122E143" w14:textId="4A85E77C" w:rsidR="00E7006C" w:rsidRPr="000D2A5D" w:rsidRDefault="00E7006C">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Pr="003642A7">
        <w:rPr>
          <w:rFonts w:ascii="Book Antiqua" w:hAnsi="Book Antiqua"/>
          <w:i/>
        </w:rPr>
        <w:t>Id.</w:t>
      </w:r>
      <w:r w:rsidRPr="003642A7">
        <w:rPr>
          <w:rFonts w:ascii="Book Antiqua" w:hAnsi="Book Antiqua"/>
        </w:rPr>
        <w:t xml:space="preserve"> at ¶ 128, “…we are not persuaded that a correctional institution would decline to make inmate calling services available to its incarcerated people absent contractually prescribed site commission payments above and beyond any amount necessary to recover the institution’s costs to enable inmate calling services to be provided to its incarcerated people;” and </w:t>
      </w:r>
      <w:r w:rsidRPr="003642A7">
        <w:rPr>
          <w:rFonts w:ascii="Book Antiqua" w:hAnsi="Book Antiqua"/>
          <w:i/>
        </w:rPr>
        <w:t>Id.</w:t>
      </w:r>
      <w:r w:rsidRPr="003642A7">
        <w:rPr>
          <w:rFonts w:ascii="Book Antiqua" w:hAnsi="Book Antiqua"/>
        </w:rPr>
        <w:t xml:space="preserve"> at ¶ 129 “Under our marketplace analysis of contractually prescribed site commission payments, we are unpersuaded that site commission payments above the level needed to compensate a correctional institution for costs the institution reasonably incurs to make interstate and international inmate calling services available are required to ensure that incarcerated people have access to those services. </w:t>
      </w:r>
      <w:r w:rsidR="00655016">
        <w:rPr>
          <w:rFonts w:ascii="Book Antiqua" w:hAnsi="Book Antiqua"/>
        </w:rPr>
        <w:t xml:space="preserve"> </w:t>
      </w:r>
      <w:r w:rsidRPr="003642A7">
        <w:rPr>
          <w:rFonts w:ascii="Book Antiqua" w:hAnsi="Book Antiqua"/>
        </w:rPr>
        <w:t xml:space="preserve">Instead, we conclude that such payments are a means (sometimes the sole or at least primary means) by which a given provider seeks to overcome its competitors to become the exclusive provider of multiple services, including nonregulated services, at a correctional facility. </w:t>
      </w:r>
      <w:r w:rsidR="00655016">
        <w:rPr>
          <w:rFonts w:ascii="Book Antiqua" w:hAnsi="Book Antiqua"/>
        </w:rPr>
        <w:t xml:space="preserve"> </w:t>
      </w:r>
      <w:r w:rsidRPr="003642A7">
        <w:rPr>
          <w:rFonts w:ascii="Book Antiqua" w:hAnsi="Book Antiqua"/>
        </w:rPr>
        <w:t xml:space="preserve">And the record does not reveal that correctional institutions, in contracting with providers that offer comparatively higher contractually prescribed site commission payments, are somehow benefitting customers of interstate and international inmate calling services as compared to the selection of some other provider. </w:t>
      </w:r>
      <w:r w:rsidR="00655016">
        <w:rPr>
          <w:rFonts w:ascii="Book Antiqua" w:hAnsi="Book Antiqua"/>
        </w:rPr>
        <w:t xml:space="preserve"> </w:t>
      </w:r>
      <w:r w:rsidRPr="003642A7">
        <w:rPr>
          <w:rFonts w:ascii="Book Antiqua" w:hAnsi="Book Antiqua"/>
        </w:rPr>
        <w:t>Rather, we conclude here that given the anomalous nature of the inmate calling services marketplace, the primary benefits flow to the chosen provider— which overcame its competitors and now has the exclusive ability to serve the correctional facility—and the correctional facility itself (or the state or local government more generally), which can avail itself of the revenue stream such site commission payments provide, all to the detriment of interstate and international inmate calling services customers.”</w:t>
      </w:r>
    </w:p>
  </w:footnote>
  <w:footnote w:id="187">
    <w:p w14:paraId="3BFD416E" w14:textId="38318212" w:rsidR="00A577F1" w:rsidRPr="000D2A5D" w:rsidRDefault="00A577F1">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003642A7" w:rsidRPr="003642A7">
        <w:rPr>
          <w:rFonts w:ascii="Book Antiqua" w:hAnsi="Book Antiqua"/>
        </w:rPr>
        <w:t xml:space="preserve">FCC </w:t>
      </w:r>
      <w:r w:rsidR="001D5601" w:rsidRPr="000D2A5D">
        <w:rPr>
          <w:rFonts w:ascii="Book Antiqua" w:hAnsi="Book Antiqua"/>
        </w:rPr>
        <w:t xml:space="preserve">Third Order at ¶ </w:t>
      </w:r>
      <w:r w:rsidR="00F402C8" w:rsidRPr="000D2A5D">
        <w:rPr>
          <w:rFonts w:ascii="Book Antiqua" w:hAnsi="Book Antiqua"/>
        </w:rPr>
        <w:t xml:space="preserve">37. </w:t>
      </w:r>
    </w:p>
  </w:footnote>
  <w:footnote w:id="188">
    <w:p w14:paraId="2D4B97E5" w14:textId="601F4EB9" w:rsidR="00D830B2" w:rsidRPr="000D2A5D" w:rsidRDefault="00D830B2">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Pr="000D2A5D">
        <w:rPr>
          <w:rFonts w:ascii="Book Antiqua" w:hAnsi="Book Antiqua"/>
          <w:i/>
          <w:iCs/>
        </w:rPr>
        <w:t>Ibid.</w:t>
      </w:r>
    </w:p>
  </w:footnote>
  <w:footnote w:id="189">
    <w:p w14:paraId="40B11A57" w14:textId="5F5379C7" w:rsidR="005E55BB" w:rsidRPr="00B55C7F" w:rsidRDefault="005E55BB">
      <w:pPr>
        <w:pStyle w:val="FootnoteText"/>
        <w:rPr>
          <w:rFonts w:ascii="Book Antiqua" w:hAnsi="Book Antiqua"/>
        </w:rPr>
      </w:pPr>
      <w:r w:rsidRPr="003642A7">
        <w:rPr>
          <w:rStyle w:val="FootnoteReference"/>
          <w:rFonts w:ascii="Book Antiqua" w:hAnsi="Book Antiqua"/>
        </w:rPr>
        <w:footnoteRef/>
      </w:r>
      <w:r w:rsidRPr="003642A7">
        <w:rPr>
          <w:rFonts w:ascii="Book Antiqua" w:hAnsi="Book Antiqua"/>
        </w:rPr>
        <w:t xml:space="preserve"> </w:t>
      </w:r>
      <w:r w:rsidR="002503BC" w:rsidRPr="003642A7">
        <w:rPr>
          <w:rFonts w:ascii="Book Antiqua" w:hAnsi="Book Antiqua"/>
        </w:rPr>
        <w:t>Pub. Util. Code §</w:t>
      </w:r>
      <w:r w:rsidR="00CB34F5" w:rsidRPr="003642A7">
        <w:rPr>
          <w:rFonts w:ascii="Book Antiqua" w:hAnsi="Book Antiqua"/>
        </w:rPr>
        <w:t xml:space="preserve"> 701; </w:t>
      </w:r>
      <w:r w:rsidR="00CB34F5" w:rsidRPr="003642A7">
        <w:rPr>
          <w:rFonts w:ascii="Book Antiqua" w:hAnsi="Book Antiqua"/>
          <w:i/>
        </w:rPr>
        <w:t>Wise v. Pacific Gas &amp; Electric Co</w:t>
      </w:r>
      <w:r w:rsidR="00CB34F5" w:rsidRPr="003642A7">
        <w:rPr>
          <w:rFonts w:ascii="Book Antiqua" w:hAnsi="Book Antiqua"/>
        </w:rPr>
        <w:t xml:space="preserve"> (1991) 77 Cal.App.4</w:t>
      </w:r>
      <w:r w:rsidR="00CB34F5" w:rsidRPr="003642A7">
        <w:rPr>
          <w:rFonts w:ascii="Book Antiqua" w:hAnsi="Book Antiqua"/>
          <w:vertAlign w:val="superscript"/>
        </w:rPr>
        <w:t>th</w:t>
      </w:r>
      <w:r w:rsidR="00CB34F5" w:rsidRPr="003642A7">
        <w:rPr>
          <w:rFonts w:ascii="Book Antiqua" w:hAnsi="Book Antiqua"/>
        </w:rPr>
        <w:t xml:space="preserve"> 287, 293</w:t>
      </w:r>
      <w:r w:rsidR="00091795" w:rsidRPr="003642A7">
        <w:rPr>
          <w:rFonts w:ascii="Book Antiqua" w:hAnsi="Book Antiqua"/>
        </w:rPr>
        <w:t xml:space="preserve">; </w:t>
      </w:r>
      <w:r w:rsidR="005161B3" w:rsidRPr="005161B3">
        <w:rPr>
          <w:rFonts w:ascii="Book Antiqua" w:hAnsi="Book Antiqua"/>
          <w:i/>
          <w:iCs/>
        </w:rPr>
        <w:t>See e.g.</w:t>
      </w:r>
      <w:r w:rsidR="005161B3" w:rsidRPr="005161B3">
        <w:rPr>
          <w:rFonts w:ascii="Book Antiqua" w:hAnsi="Book Antiqua"/>
        </w:rPr>
        <w:t>,</w:t>
      </w:r>
      <w:r w:rsidR="005161B3" w:rsidRPr="005161B3">
        <w:rPr>
          <w:rFonts w:ascii="Book Antiqua" w:hAnsi="Book Antiqua"/>
          <w:i/>
          <w:iCs/>
        </w:rPr>
        <w:t xml:space="preserve"> Re the Pacific Telephone and Telegraph Company Protestants </w:t>
      </w:r>
      <w:r w:rsidR="005161B3" w:rsidRPr="005161B3">
        <w:rPr>
          <w:rFonts w:ascii="Book Antiqua" w:hAnsi="Book Antiqua"/>
        </w:rPr>
        <w:t>(1968) D. 74917 at 56</w:t>
      </w:r>
      <w:r w:rsidR="00BE30ED" w:rsidRPr="003642A7">
        <w:rPr>
          <w:rFonts w:ascii="Book Antiqua" w:hAnsi="Book Antiqua"/>
        </w:rPr>
        <w:t xml:space="preserve">; </w:t>
      </w:r>
      <w:r w:rsidR="00B36706" w:rsidRPr="003642A7">
        <w:rPr>
          <w:rFonts w:ascii="Book Antiqua" w:hAnsi="Book Antiqua"/>
        </w:rPr>
        <w:t>D. 84-06-095 at</w:t>
      </w:r>
      <w:r w:rsidR="00816B0C">
        <w:rPr>
          <w:rFonts w:ascii="Book Antiqua" w:hAnsi="Book Antiqua"/>
        </w:rPr>
        <w:t> </w:t>
      </w:r>
      <w:r w:rsidR="00B36706" w:rsidRPr="003642A7">
        <w:rPr>
          <w:rFonts w:ascii="Book Antiqua" w:hAnsi="Book Antiqua"/>
        </w:rPr>
        <w:t>38-40</w:t>
      </w:r>
      <w:r w:rsidR="00BE30ED" w:rsidRPr="003642A7">
        <w:rPr>
          <w:rFonts w:ascii="Book Antiqua" w:hAnsi="Book Antiqua"/>
        </w:rPr>
        <w:t>.</w:t>
      </w:r>
      <w:r w:rsidR="00DA502A" w:rsidRPr="003642A7">
        <w:rPr>
          <w:rFonts w:ascii="Book Antiqua" w:hAnsi="Book Antiqua"/>
        </w:rPr>
        <w:t xml:space="preserve"> Most recently, as observed by CforAT in comments, this Commission similarly sought data on comparable rates for Lifeline programs in other states and programs in D.20-10-006.</w:t>
      </w:r>
    </w:p>
  </w:footnote>
  <w:footnote w:id="190">
    <w:p w14:paraId="3AFDF94B" w14:textId="23E5FD2B" w:rsidR="00F06791" w:rsidRPr="000B4505" w:rsidRDefault="00F06791">
      <w:pPr>
        <w:pStyle w:val="FootnoteText"/>
        <w:rPr>
          <w:rFonts w:ascii="Book Antiqua" w:hAnsi="Book Antiqua"/>
        </w:rPr>
      </w:pPr>
      <w:r w:rsidRPr="000B4505">
        <w:rPr>
          <w:rStyle w:val="FootnoteReference"/>
          <w:rFonts w:ascii="Book Antiqua" w:hAnsi="Book Antiqua"/>
        </w:rPr>
        <w:footnoteRef/>
      </w:r>
      <w:r w:rsidRPr="000B4505">
        <w:rPr>
          <w:rFonts w:ascii="Book Antiqua" w:hAnsi="Book Antiqua"/>
        </w:rPr>
        <w:t xml:space="preserve"> </w:t>
      </w:r>
      <w:r w:rsidR="00376938" w:rsidRPr="00472730">
        <w:rPr>
          <w:rFonts w:ascii="Book Antiqua" w:hAnsi="Book Antiqua"/>
          <w:i/>
          <w:iCs/>
        </w:rPr>
        <w:t>Market St. Ry. Co. v. Pub. Util. Com</w:t>
      </w:r>
      <w:r w:rsidR="00376938" w:rsidRPr="000B4505">
        <w:rPr>
          <w:rFonts w:ascii="Book Antiqua" w:hAnsi="Book Antiqua"/>
        </w:rPr>
        <w:t>.</w:t>
      </w:r>
      <w:r w:rsidR="00205D18">
        <w:rPr>
          <w:rFonts w:ascii="Book Antiqua" w:hAnsi="Book Antiqua"/>
        </w:rPr>
        <w:t xml:space="preserve"> (1945)</w:t>
      </w:r>
      <w:r w:rsidR="00376938" w:rsidRPr="000B4505">
        <w:rPr>
          <w:rFonts w:ascii="Book Antiqua" w:hAnsi="Book Antiqua"/>
        </w:rPr>
        <w:t xml:space="preserve"> 324 U.S. 548</w:t>
      </w:r>
      <w:r w:rsidR="00D74614">
        <w:rPr>
          <w:rFonts w:ascii="Book Antiqua" w:hAnsi="Book Antiqua"/>
        </w:rPr>
        <w:t>, 569</w:t>
      </w:r>
      <w:r w:rsidR="00376938" w:rsidRPr="000B4505">
        <w:rPr>
          <w:rFonts w:ascii="Book Antiqua" w:hAnsi="Book Antiqua"/>
        </w:rPr>
        <w:t>.</w:t>
      </w:r>
    </w:p>
  </w:footnote>
  <w:footnote w:id="191">
    <w:p w14:paraId="0685964F" w14:textId="492BE673" w:rsidR="002F2D26" w:rsidRPr="00520E4E" w:rsidRDefault="002F2D26">
      <w:pPr>
        <w:pStyle w:val="FootnoteText"/>
        <w:rPr>
          <w:rFonts w:ascii="Book Antiqua" w:hAnsi="Book Antiqua"/>
        </w:rPr>
      </w:pPr>
      <w:r w:rsidRPr="007A434C">
        <w:rPr>
          <w:rStyle w:val="FootnoteReference"/>
          <w:rFonts w:ascii="Book Antiqua" w:hAnsi="Book Antiqua"/>
        </w:rPr>
        <w:footnoteRef/>
      </w:r>
      <w:r w:rsidRPr="007A434C">
        <w:rPr>
          <w:rFonts w:ascii="Book Antiqua" w:hAnsi="Book Antiqua"/>
        </w:rPr>
        <w:t xml:space="preserve"> </w:t>
      </w:r>
      <w:r w:rsidR="00DE2D16">
        <w:rPr>
          <w:rFonts w:ascii="Book Antiqua" w:hAnsi="Book Antiqua"/>
        </w:rPr>
        <w:t xml:space="preserve">FCC </w:t>
      </w:r>
      <w:r w:rsidRPr="007A434C">
        <w:rPr>
          <w:rFonts w:ascii="Book Antiqua" w:hAnsi="Book Antiqua"/>
        </w:rPr>
        <w:t>Third Order at</w:t>
      </w:r>
      <w:r w:rsidRPr="000B4505">
        <w:rPr>
          <w:rFonts w:ascii="Book Antiqua" w:hAnsi="Book Antiqua"/>
        </w:rPr>
        <w:t xml:space="preserve"> ¶ 74.</w:t>
      </w:r>
    </w:p>
  </w:footnote>
  <w:footnote w:id="192">
    <w:p w14:paraId="4B062F04" w14:textId="48C70634" w:rsidR="000E3ADC" w:rsidRPr="00520E4E" w:rsidRDefault="000E3ADC">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w:t>
      </w:r>
      <w:r w:rsidR="00DE2D16">
        <w:rPr>
          <w:rFonts w:ascii="Book Antiqua" w:hAnsi="Book Antiqua"/>
        </w:rPr>
        <w:t xml:space="preserve">FCC </w:t>
      </w:r>
      <w:r w:rsidRPr="00520E4E">
        <w:rPr>
          <w:rFonts w:ascii="Book Antiqua" w:hAnsi="Book Antiqua"/>
        </w:rPr>
        <w:t>Third Order at ¶ 65.</w:t>
      </w:r>
    </w:p>
  </w:footnote>
  <w:footnote w:id="193">
    <w:p w14:paraId="6CA9BEDB" w14:textId="54EA5A8B" w:rsidR="001C1BA9" w:rsidRPr="00520E4E" w:rsidRDefault="001C1BA9">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w:t>
      </w:r>
      <w:r w:rsidR="00DE2D16">
        <w:rPr>
          <w:rFonts w:ascii="Book Antiqua" w:hAnsi="Book Antiqua"/>
        </w:rPr>
        <w:t xml:space="preserve">FCC </w:t>
      </w:r>
      <w:r w:rsidR="000D5B23" w:rsidRPr="00520E4E">
        <w:rPr>
          <w:rFonts w:ascii="Book Antiqua" w:hAnsi="Book Antiqua"/>
        </w:rPr>
        <w:t>Third Order at ¶ 57.</w:t>
      </w:r>
    </w:p>
  </w:footnote>
  <w:footnote w:id="194">
    <w:p w14:paraId="5A7F7FE1" w14:textId="3573A1B0" w:rsidR="003D2487" w:rsidRDefault="003D2487" w:rsidP="003D2487">
      <w:pPr>
        <w:pStyle w:val="FootnoteText"/>
      </w:pPr>
      <w:r w:rsidRPr="00425FD3">
        <w:rPr>
          <w:rStyle w:val="FootnoteReference"/>
          <w:rFonts w:ascii="Book Antiqua" w:hAnsi="Book Antiqua"/>
        </w:rPr>
        <w:footnoteRef/>
      </w:r>
      <w:r w:rsidRPr="00425FD3">
        <w:rPr>
          <w:rFonts w:ascii="Book Antiqua" w:hAnsi="Book Antiqua"/>
        </w:rPr>
        <w:t xml:space="preserve"> Staff Proposal at </w:t>
      </w:r>
      <w:r w:rsidR="005B3700">
        <w:rPr>
          <w:rFonts w:ascii="Book Antiqua" w:hAnsi="Book Antiqua"/>
        </w:rPr>
        <w:t>3</w:t>
      </w:r>
      <w:r w:rsidRPr="00425FD3">
        <w:rPr>
          <w:rFonts w:ascii="Book Antiqua" w:hAnsi="Book Antiqua"/>
        </w:rPr>
        <w:t>.</w:t>
      </w:r>
      <w:r>
        <w:t xml:space="preserve">  </w:t>
      </w:r>
    </w:p>
  </w:footnote>
  <w:footnote w:id="195">
    <w:p w14:paraId="4BB118D6" w14:textId="0FA515DA" w:rsidR="00F37B3C" w:rsidRPr="001F173D" w:rsidRDefault="00F37B3C">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Revised Staff Proposal at 2.</w:t>
      </w:r>
    </w:p>
  </w:footnote>
  <w:footnote w:id="196">
    <w:p w14:paraId="5565B872" w14:textId="1BF0A33B" w:rsidR="003D2487" w:rsidRPr="00040812" w:rsidRDefault="003D2487" w:rsidP="003D2487">
      <w:pPr>
        <w:pStyle w:val="FootnoteText"/>
        <w:rPr>
          <w:rFonts w:ascii="Book Antiqua" w:hAnsi="Book Antiqua"/>
        </w:rPr>
      </w:pPr>
      <w:r w:rsidRPr="0083514B">
        <w:rPr>
          <w:rStyle w:val="FootnoteReference"/>
          <w:rFonts w:ascii="Book Antiqua" w:hAnsi="Book Antiqua"/>
        </w:rPr>
        <w:footnoteRef/>
      </w:r>
      <w:r w:rsidRPr="0083514B">
        <w:rPr>
          <w:rFonts w:ascii="Book Antiqua" w:hAnsi="Book Antiqua"/>
        </w:rPr>
        <w:t xml:space="preserve"> </w:t>
      </w:r>
      <w:r w:rsidR="0015277A" w:rsidRPr="00040812">
        <w:rPr>
          <w:rFonts w:ascii="Book Antiqua" w:hAnsi="Book Antiqua"/>
          <w:i/>
          <w:iCs/>
        </w:rPr>
        <w:t>Ibid.</w:t>
      </w:r>
      <w:r w:rsidR="0015277A" w:rsidRPr="00040812">
        <w:rPr>
          <w:rFonts w:ascii="Book Antiqua" w:hAnsi="Book Antiqua"/>
        </w:rPr>
        <w:t xml:space="preserve"> </w:t>
      </w:r>
    </w:p>
  </w:footnote>
  <w:footnote w:id="197">
    <w:p w14:paraId="2E33C0A2" w14:textId="0EAF4B5A" w:rsidR="0015277A" w:rsidRPr="00520E4E" w:rsidRDefault="0015277A" w:rsidP="00DE7E1E">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w:t>
      </w:r>
      <w:r w:rsidR="00115B1E" w:rsidRPr="00520E4E">
        <w:rPr>
          <w:rFonts w:ascii="Book Antiqua" w:hAnsi="Book Antiqua"/>
        </w:rPr>
        <w:t>Cal Advocates, Comments on Staff Proposal at 15, citing 2015 Order at ¶</w:t>
      </w:r>
      <w:r w:rsidR="004C27CA" w:rsidRPr="00520E4E">
        <w:rPr>
          <w:rFonts w:ascii="Book Antiqua" w:hAnsi="Book Antiqua"/>
        </w:rPr>
        <w:t xml:space="preserve"> 156, indicating the caps were based on the Alabama </w:t>
      </w:r>
      <w:r w:rsidR="00040812">
        <w:rPr>
          <w:rFonts w:ascii="Book Antiqua" w:hAnsi="Book Antiqua"/>
        </w:rPr>
        <w:t>P</w:t>
      </w:r>
      <w:r w:rsidR="00040812" w:rsidRPr="00520E4E">
        <w:rPr>
          <w:rFonts w:ascii="Book Antiqua" w:hAnsi="Book Antiqua"/>
        </w:rPr>
        <w:t xml:space="preserve">ublic </w:t>
      </w:r>
      <w:r w:rsidR="004C27CA" w:rsidRPr="00520E4E">
        <w:rPr>
          <w:rFonts w:ascii="Book Antiqua" w:hAnsi="Book Antiqua"/>
        </w:rPr>
        <w:t xml:space="preserve">Service Commission’s </w:t>
      </w:r>
      <w:r w:rsidR="00F6611C" w:rsidRPr="00520E4E">
        <w:rPr>
          <w:rFonts w:ascii="Book Antiqua" w:hAnsi="Book Antiqua"/>
        </w:rPr>
        <w:t>approach</w:t>
      </w:r>
      <w:r w:rsidR="00044776" w:rsidRPr="00520E4E">
        <w:rPr>
          <w:rFonts w:ascii="Book Antiqua" w:hAnsi="Book Antiqua"/>
        </w:rPr>
        <w:t>.</w:t>
      </w:r>
    </w:p>
  </w:footnote>
  <w:footnote w:id="198">
    <w:p w14:paraId="003B4042" w14:textId="5B7C1BE0" w:rsidR="009A384F" w:rsidRDefault="009A384F">
      <w:pPr>
        <w:pStyle w:val="FootnoteText"/>
      </w:pPr>
      <w:r w:rsidRPr="00520E4E">
        <w:rPr>
          <w:rStyle w:val="FootnoteReference"/>
          <w:rFonts w:ascii="Book Antiqua" w:hAnsi="Book Antiqua"/>
        </w:rPr>
        <w:footnoteRef/>
      </w:r>
      <w:r w:rsidRPr="00520E4E">
        <w:rPr>
          <w:rFonts w:ascii="Book Antiqua" w:hAnsi="Book Antiqua"/>
        </w:rPr>
        <w:t xml:space="preserve"> Cal Advocates, Comments on Staff Proposal at </w:t>
      </w:r>
      <w:r w:rsidR="00BB249B" w:rsidRPr="00520E4E">
        <w:rPr>
          <w:rFonts w:ascii="Book Antiqua" w:hAnsi="Book Antiqua"/>
        </w:rPr>
        <w:t>16</w:t>
      </w:r>
      <w:r w:rsidRPr="00520E4E">
        <w:rPr>
          <w:rFonts w:ascii="Book Antiqua" w:hAnsi="Book Antiqua"/>
        </w:rPr>
        <w:t>.</w:t>
      </w:r>
      <w:r>
        <w:t xml:space="preserve"> </w:t>
      </w:r>
    </w:p>
  </w:footnote>
  <w:footnote w:id="199">
    <w:p w14:paraId="23B631B8" w14:textId="3F3A423E" w:rsidR="00E91B86" w:rsidRPr="00520E4E" w:rsidRDefault="00E91B86">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47 CFR §64.6020.</w:t>
      </w:r>
    </w:p>
  </w:footnote>
  <w:footnote w:id="200">
    <w:p w14:paraId="00047797" w14:textId="77777777" w:rsidR="00C34449" w:rsidRPr="001F173D" w:rsidRDefault="00C34449" w:rsidP="00C34449">
      <w:pPr>
        <w:pStyle w:val="FootnoteText"/>
        <w:rPr>
          <w:rFonts w:ascii="Book Antiqua" w:hAnsi="Book Antiqua"/>
        </w:rPr>
      </w:pPr>
      <w:r w:rsidRPr="00040812">
        <w:rPr>
          <w:rStyle w:val="FootnoteReference"/>
          <w:rFonts w:ascii="Book Antiqua" w:hAnsi="Book Antiqua"/>
        </w:rPr>
        <w:footnoteRef/>
      </w:r>
      <w:r w:rsidRPr="00040812">
        <w:rPr>
          <w:rFonts w:ascii="Book Antiqua" w:hAnsi="Book Antiqua"/>
        </w:rPr>
        <w:t xml:space="preserve"> Cal Advocates, Comments on Staff Proposal at 16, citing FCC Title 47 of CFR § 64.6000(a)(1)</w:t>
      </w:r>
    </w:p>
  </w:footnote>
  <w:footnote w:id="201">
    <w:p w14:paraId="466C9DDE" w14:textId="77777777" w:rsidR="00C34449" w:rsidRDefault="00C34449" w:rsidP="00C34449">
      <w:pPr>
        <w:pStyle w:val="FootnoteText"/>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Ibid,</w:t>
      </w:r>
      <w:r w:rsidRPr="001F173D">
        <w:rPr>
          <w:rFonts w:ascii="Book Antiqua" w:hAnsi="Book Antiqua"/>
        </w:rPr>
        <w:t xml:space="preserve"> footnote 64. Cal Advocates states that IPCS accounts can generally “be accessed by people who are incarcerated as well as their friends and family who can add money to the account.”</w:t>
      </w:r>
      <w:r>
        <w:t xml:space="preserve"> </w:t>
      </w:r>
    </w:p>
  </w:footnote>
  <w:footnote w:id="202">
    <w:p w14:paraId="71AA2443" w14:textId="2C48B23D" w:rsidR="00C34449" w:rsidRPr="001F173D" w:rsidRDefault="00C34449" w:rsidP="00C34449">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w:t>
      </w:r>
      <w:r w:rsidR="003D2B99" w:rsidRPr="001F173D">
        <w:rPr>
          <w:rFonts w:ascii="Book Antiqua" w:hAnsi="Book Antiqua"/>
          <w:i/>
        </w:rPr>
        <w:t>Id</w:t>
      </w:r>
      <w:r w:rsidR="003D2B99" w:rsidRPr="001F173D">
        <w:rPr>
          <w:rFonts w:ascii="Book Antiqua" w:hAnsi="Book Antiqua"/>
        </w:rPr>
        <w:t>. at 15-16, citing Prison Policy Institute study,</w:t>
      </w:r>
      <w:r w:rsidR="003D2B99" w:rsidRPr="001F173D">
        <w:rPr>
          <w:rFonts w:ascii="Book Antiqua" w:hAnsi="Book Antiqua"/>
          <w:i/>
        </w:rPr>
        <w:t xml:space="preserve"> Since You Asked: Can Correctional Facilities Negotiate Phone Contracts that Prohibit Deposit Fees? (Yes! Many Do.),</w:t>
      </w:r>
      <w:r w:rsidR="003D2B99" w:rsidRPr="001F173D">
        <w:rPr>
          <w:rFonts w:ascii="Book Antiqua" w:hAnsi="Book Antiqua"/>
        </w:rPr>
        <w:t xml:space="preserve"> Peter Wagner, Prison Policy Institute, November 20, 2020, viewed by Cal Advocates on 4/23/21; </w:t>
      </w:r>
      <w:r w:rsidRPr="001F173D">
        <w:rPr>
          <w:rFonts w:ascii="Book Antiqua" w:hAnsi="Book Antiqua"/>
        </w:rPr>
        <w:t xml:space="preserve">GTL response to Cal Advocates’ Data Request 03, Question 2. </w:t>
      </w:r>
    </w:p>
  </w:footnote>
  <w:footnote w:id="203">
    <w:p w14:paraId="273DFFAC" w14:textId="77777777" w:rsidR="00C34449" w:rsidRPr="001F173D" w:rsidRDefault="00C34449" w:rsidP="00C34449">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Ibid.,</w:t>
      </w:r>
      <w:r w:rsidRPr="001F173D">
        <w:rPr>
          <w:rFonts w:ascii="Book Antiqua" w:hAnsi="Book Antiqua"/>
        </w:rPr>
        <w:t xml:space="preserve"> citing FCC Title 47 of CFR § 64.6000(a)(4).</w:t>
      </w:r>
    </w:p>
  </w:footnote>
  <w:footnote w:id="204">
    <w:p w14:paraId="10864187" w14:textId="520AE19B" w:rsidR="00C34449" w:rsidRPr="001F173D" w:rsidRDefault="00C34449" w:rsidP="00C34449">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Ibid.</w:t>
      </w:r>
      <w:r w:rsidRPr="001F173D">
        <w:rPr>
          <w:rFonts w:ascii="Book Antiqua" w:hAnsi="Book Antiqua"/>
        </w:rPr>
        <w:t xml:space="preserve">, citing 2015 Order, </w:t>
      </w:r>
      <w:r w:rsidR="00C359D9">
        <w:rPr>
          <w:rFonts w:ascii="Book Antiqua" w:hAnsi="Book Antiqua"/>
        </w:rPr>
        <w:t>at</w:t>
      </w:r>
      <w:r w:rsidRPr="001F173D">
        <w:rPr>
          <w:rFonts w:ascii="Book Antiqua" w:hAnsi="Book Antiqua"/>
        </w:rPr>
        <w:t xml:space="preserve"> 83, ¶ 162.</w:t>
      </w:r>
    </w:p>
  </w:footnote>
  <w:footnote w:id="205">
    <w:p w14:paraId="098C9BEF" w14:textId="28DF38A5" w:rsidR="00C34449" w:rsidRPr="001F173D" w:rsidRDefault="00C34449" w:rsidP="00C34449">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Ibid.,</w:t>
      </w:r>
      <w:r w:rsidRPr="001F173D">
        <w:rPr>
          <w:rFonts w:ascii="Book Antiqua" w:hAnsi="Book Antiqua"/>
        </w:rPr>
        <w:t xml:space="preserve"> citing FCC Title 47 of CFR § 64.6000(a)(3)</w:t>
      </w:r>
      <w:r w:rsidR="00556B1B">
        <w:rPr>
          <w:rFonts w:ascii="Book Antiqua" w:hAnsi="Book Antiqua"/>
        </w:rPr>
        <w:t>.</w:t>
      </w:r>
    </w:p>
  </w:footnote>
  <w:footnote w:id="206">
    <w:p w14:paraId="7246C2AA" w14:textId="39EDD17A" w:rsidR="00C34449" w:rsidRDefault="00C34449" w:rsidP="00C34449">
      <w:pPr>
        <w:pStyle w:val="FootnoteText"/>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Ibid</w:t>
      </w:r>
      <w:r w:rsidRPr="001F173D">
        <w:rPr>
          <w:rFonts w:ascii="Book Antiqua" w:hAnsi="Book Antiqua"/>
        </w:rPr>
        <w:t xml:space="preserve">., citing </w:t>
      </w:r>
      <w:r w:rsidR="00255910">
        <w:rPr>
          <w:rFonts w:ascii="Book Antiqua" w:hAnsi="Book Antiqua"/>
        </w:rPr>
        <w:t xml:space="preserve">FCC 2020 Order on Remand </w:t>
      </w:r>
      <w:r w:rsidR="00255910" w:rsidRPr="001F173D">
        <w:rPr>
          <w:rFonts w:ascii="Book Antiqua" w:hAnsi="Book Antiqua"/>
        </w:rPr>
        <w:t>¶ 42</w:t>
      </w:r>
      <w:r w:rsidR="00255910" w:rsidRPr="0083611E">
        <w:rPr>
          <w:rFonts w:ascii="Book Antiqua" w:hAnsi="Book Antiqua"/>
        </w:rPr>
        <w:t>, FCC Rcd. 8485, 8500-01 (August 7, 2020</w:t>
      </w:r>
      <w:r w:rsidR="00255910">
        <w:rPr>
          <w:rFonts w:ascii="Book Antiqua" w:hAnsi="Book Antiqua"/>
        </w:rPr>
        <w:t>).</w:t>
      </w:r>
    </w:p>
  </w:footnote>
  <w:footnote w:id="207">
    <w:p w14:paraId="1FA6DF5B" w14:textId="77777777" w:rsidR="00C34449" w:rsidRPr="001F173D" w:rsidRDefault="00C34449" w:rsidP="00C34449">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Id</w:t>
      </w:r>
      <w:r w:rsidRPr="001F173D">
        <w:rPr>
          <w:rFonts w:ascii="Book Antiqua" w:hAnsi="Book Antiqua"/>
        </w:rPr>
        <w:t>. at 18, citing FCC Title 47 of the CFR Section 64.6000 (a)(2).</w:t>
      </w:r>
    </w:p>
  </w:footnote>
  <w:footnote w:id="208">
    <w:p w14:paraId="5FD3799A" w14:textId="77777777" w:rsidR="00C34449" w:rsidRPr="001F173D" w:rsidRDefault="00C34449" w:rsidP="00C34449">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Ibid</w:t>
      </w:r>
      <w:r w:rsidRPr="001F173D">
        <w:rPr>
          <w:rFonts w:ascii="Book Antiqua" w:hAnsi="Book Antiqua"/>
        </w:rPr>
        <w:t>., citing FCC Title 47 of the CFR Section 64.6020 (b)(2).</w:t>
      </w:r>
    </w:p>
  </w:footnote>
  <w:footnote w:id="209">
    <w:p w14:paraId="4EECF717" w14:textId="6D2156F2" w:rsidR="00C34449" w:rsidRDefault="00C34449" w:rsidP="00C34449">
      <w:pPr>
        <w:pStyle w:val="FootnoteText"/>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Ibid.,</w:t>
      </w:r>
      <w:r w:rsidRPr="001F173D">
        <w:rPr>
          <w:rFonts w:ascii="Book Antiqua" w:hAnsi="Book Antiqua"/>
        </w:rPr>
        <w:t xml:space="preserve"> </w:t>
      </w:r>
      <w:r w:rsidR="00AA42DA" w:rsidRPr="001F173D">
        <w:rPr>
          <w:rFonts w:ascii="Book Antiqua" w:hAnsi="Book Antiqua"/>
        </w:rPr>
        <w:t xml:space="preserve">citing in </w:t>
      </w:r>
      <w:r w:rsidR="00AA42DA" w:rsidRPr="001F173D">
        <w:rPr>
          <w:rFonts w:ascii="Book Antiqua" w:hAnsi="Book Antiqua"/>
          <w:i/>
        </w:rPr>
        <w:t>Ashley Albert, et. al., vs. Global Tel*Link Corp</w:t>
      </w:r>
      <w:r w:rsidR="00AA42DA" w:rsidRPr="001F173D">
        <w:rPr>
          <w:rFonts w:ascii="Book Antiqua" w:hAnsi="Book Antiqua"/>
        </w:rPr>
        <w:t xml:space="preserve">.  </w:t>
      </w:r>
      <w:r w:rsidRPr="001F173D">
        <w:rPr>
          <w:rFonts w:ascii="Book Antiqua" w:hAnsi="Book Antiqua"/>
        </w:rPr>
        <w:t>“Plaintiffs alleged that in 2020, Securus and GTL implemented the “</w:t>
      </w:r>
      <w:r w:rsidR="00B43C2C">
        <w:rPr>
          <w:rFonts w:ascii="Book Antiqua" w:hAnsi="Book Antiqua"/>
        </w:rPr>
        <w:t>single-call</w:t>
      </w:r>
      <w:r w:rsidRPr="001F173D">
        <w:rPr>
          <w:rFonts w:ascii="Book Antiqua" w:hAnsi="Book Antiqua"/>
        </w:rPr>
        <w:t xml:space="preserve">” option. </w:t>
      </w:r>
      <w:r w:rsidR="00C359D9">
        <w:rPr>
          <w:rFonts w:ascii="Book Antiqua" w:hAnsi="Book Antiqua"/>
        </w:rPr>
        <w:t xml:space="preserve"> </w:t>
      </w:r>
      <w:r w:rsidRPr="001F173D">
        <w:rPr>
          <w:rFonts w:ascii="Book Antiqua" w:hAnsi="Book Antiqua"/>
        </w:rPr>
        <w:t xml:space="preserve">These </w:t>
      </w:r>
      <w:r w:rsidR="00B43C2C">
        <w:rPr>
          <w:rFonts w:ascii="Book Antiqua" w:hAnsi="Book Antiqua"/>
        </w:rPr>
        <w:t>single call</w:t>
      </w:r>
      <w:r w:rsidRPr="001F173D">
        <w:rPr>
          <w:rFonts w:ascii="Book Antiqua" w:hAnsi="Book Antiqua"/>
        </w:rPr>
        <w:t xml:space="preserve">s charged a high flat rate to accept a one-time collect call from people who are incarcerated. Plaintiffs further alleged that Securus and GTL were able to charge these high </w:t>
      </w:r>
      <w:r w:rsidR="00B43C2C">
        <w:rPr>
          <w:rFonts w:ascii="Book Antiqua" w:hAnsi="Book Antiqua"/>
        </w:rPr>
        <w:t>single-call</w:t>
      </w:r>
      <w:r w:rsidRPr="001F173D">
        <w:rPr>
          <w:rFonts w:ascii="Book Antiqua" w:hAnsi="Book Antiqua"/>
        </w:rPr>
        <w:t xml:space="preserve"> prices by agreeing to eliminate competition between themselves and setting the same inflated </w:t>
      </w:r>
      <w:r w:rsidR="00B43C2C">
        <w:rPr>
          <w:rFonts w:ascii="Book Antiqua" w:hAnsi="Book Antiqua"/>
        </w:rPr>
        <w:t>single-call</w:t>
      </w:r>
      <w:r w:rsidRPr="001F173D">
        <w:rPr>
          <w:rFonts w:ascii="Book Antiqua" w:hAnsi="Book Antiqua"/>
        </w:rPr>
        <w:t xml:space="preserve"> prices.” See </w:t>
      </w:r>
      <w:hyperlink r:id="rId25" w:history="1">
        <w:r w:rsidRPr="001F173D">
          <w:rPr>
            <w:rStyle w:val="Hyperlink"/>
            <w:rFonts w:ascii="Book Antiqua" w:hAnsi="Book Antiqua"/>
          </w:rPr>
          <w:t>https://www.classaction.org/media/albert-et-al-v-global-tel-link-corp-et-al.pdf</w:t>
        </w:r>
      </w:hyperlink>
      <w:r w:rsidRPr="001F173D">
        <w:rPr>
          <w:rFonts w:ascii="Book Antiqua" w:hAnsi="Book Antiqua"/>
        </w:rPr>
        <w:t>.</w:t>
      </w:r>
    </w:p>
  </w:footnote>
  <w:footnote w:id="210">
    <w:p w14:paraId="73D007A4" w14:textId="77777777" w:rsidR="00C34449" w:rsidRPr="001F173D" w:rsidRDefault="00C34449" w:rsidP="00C34449">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Ibid</w:t>
      </w:r>
      <w:r w:rsidRPr="001F173D">
        <w:rPr>
          <w:rFonts w:ascii="Book Antiqua" w:hAnsi="Book Antiqua"/>
        </w:rPr>
        <w:t>., citing FCC Title 47 of the CFR Section 64.6000 (a)(5).</w:t>
      </w:r>
    </w:p>
  </w:footnote>
  <w:footnote w:id="211">
    <w:p w14:paraId="0EC21A10" w14:textId="77777777" w:rsidR="00C34449" w:rsidRPr="001F173D" w:rsidRDefault="00C34449" w:rsidP="00C34449">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w:t>
      </w:r>
      <w:r w:rsidRPr="001F173D">
        <w:rPr>
          <w:rFonts w:ascii="Book Antiqua" w:hAnsi="Book Antiqua"/>
          <w:i/>
        </w:rPr>
        <w:t>Id.</w:t>
      </w:r>
      <w:r w:rsidRPr="001F173D">
        <w:rPr>
          <w:rFonts w:ascii="Book Antiqua" w:hAnsi="Book Antiqua"/>
        </w:rPr>
        <w:t xml:space="preserve"> at 19, citing FCC Title 47 of the CFR Section 64.6000 (b)(5).</w:t>
      </w:r>
    </w:p>
  </w:footnote>
  <w:footnote w:id="212">
    <w:p w14:paraId="476E987A" w14:textId="1005FEEC" w:rsidR="00C34449" w:rsidRPr="001F173D" w:rsidRDefault="00C34449" w:rsidP="00C34449">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w:t>
      </w:r>
      <w:r w:rsidRPr="00472730">
        <w:rPr>
          <w:rFonts w:ascii="Book Antiqua" w:hAnsi="Book Antiqua"/>
          <w:i/>
          <w:iCs/>
        </w:rPr>
        <w:t>Ibid.,</w:t>
      </w:r>
      <w:r w:rsidRPr="001F173D">
        <w:rPr>
          <w:rFonts w:ascii="Book Antiqua" w:hAnsi="Book Antiqua"/>
        </w:rPr>
        <w:t xml:space="preserve"> citing </w:t>
      </w:r>
      <w:r w:rsidRPr="001F173D">
        <w:rPr>
          <w:rFonts w:ascii="Book Antiqua" w:hAnsi="Book Antiqua"/>
          <w:i/>
        </w:rPr>
        <w:t>Prison Policy Institute State of Phone Justice</w:t>
      </w:r>
      <w:r w:rsidRPr="001F173D">
        <w:rPr>
          <w:rFonts w:ascii="Book Antiqua" w:hAnsi="Book Antiqua"/>
        </w:rPr>
        <w:t xml:space="preserve">, available </w:t>
      </w:r>
      <w:r w:rsidR="00433F91">
        <w:rPr>
          <w:rFonts w:ascii="Book Antiqua" w:hAnsi="Book Antiqua"/>
        </w:rPr>
        <w:t xml:space="preserve">as of this writing </w:t>
      </w:r>
      <w:r w:rsidRPr="001F173D">
        <w:rPr>
          <w:rFonts w:ascii="Book Antiqua" w:hAnsi="Book Antiqua"/>
        </w:rPr>
        <w:t xml:space="preserve">at </w:t>
      </w:r>
      <w:hyperlink r:id="rId26" w:history="1">
        <w:r w:rsidRPr="001F173D">
          <w:rPr>
            <w:rStyle w:val="Hyperlink"/>
            <w:rFonts w:ascii="Book Antiqua" w:hAnsi="Book Antiqua"/>
          </w:rPr>
          <w:t>https://www.prisonpolicy.org/phones/state_of_phone_justice.html</w:t>
        </w:r>
      </w:hyperlink>
      <w:r w:rsidRPr="001F173D">
        <w:rPr>
          <w:rFonts w:ascii="Book Antiqua" w:hAnsi="Book Antiqua"/>
        </w:rPr>
        <w:t xml:space="preserve">.  </w:t>
      </w:r>
    </w:p>
  </w:footnote>
  <w:footnote w:id="213">
    <w:p w14:paraId="35F216CA" w14:textId="211CBBAA" w:rsidR="0096061F" w:rsidRPr="001F173D" w:rsidRDefault="0096061F">
      <w:pPr>
        <w:pStyle w:val="FootnoteText"/>
        <w:rPr>
          <w:rFonts w:ascii="Book Antiqua" w:hAnsi="Book Antiqua"/>
        </w:rPr>
      </w:pPr>
      <w:r w:rsidRPr="001F173D">
        <w:rPr>
          <w:rStyle w:val="FootnoteReference"/>
          <w:rFonts w:ascii="Book Antiqua" w:hAnsi="Book Antiqua"/>
        </w:rPr>
        <w:footnoteRef/>
      </w:r>
      <w:r w:rsidRPr="001F173D">
        <w:rPr>
          <w:rFonts w:ascii="Book Antiqua" w:hAnsi="Book Antiqua"/>
        </w:rPr>
        <w:t xml:space="preserve"> TURN, Reply Comments on Staff Proposal at 15.</w:t>
      </w:r>
    </w:p>
  </w:footnote>
  <w:footnote w:id="214">
    <w:p w14:paraId="75856B44" w14:textId="3AECB0B7" w:rsidR="0068388C" w:rsidRPr="00197108" w:rsidRDefault="0068388C" w:rsidP="0068388C">
      <w:pPr>
        <w:pStyle w:val="FootnoteText"/>
        <w:rPr>
          <w:rFonts w:ascii="Book Antiqua" w:hAnsi="Book Antiqua"/>
        </w:rPr>
      </w:pPr>
      <w:r w:rsidRPr="00197108">
        <w:rPr>
          <w:rStyle w:val="FootnoteReference"/>
          <w:rFonts w:ascii="Book Antiqua" w:hAnsi="Book Antiqua"/>
        </w:rPr>
        <w:footnoteRef/>
      </w:r>
      <w:r w:rsidRPr="00197108">
        <w:rPr>
          <w:rFonts w:ascii="Book Antiqua" w:hAnsi="Book Antiqua"/>
        </w:rPr>
        <w:t xml:space="preserve"> TURN, Comments on Staff Proposal at </w:t>
      </w:r>
      <w:r w:rsidR="00154C4B" w:rsidRPr="00197108">
        <w:rPr>
          <w:rFonts w:ascii="Book Antiqua" w:hAnsi="Book Antiqua"/>
        </w:rPr>
        <w:t>15</w:t>
      </w:r>
      <w:r w:rsidR="0096061F" w:rsidRPr="00197108">
        <w:rPr>
          <w:rFonts w:ascii="Book Antiqua" w:hAnsi="Book Antiqua"/>
        </w:rPr>
        <w:t xml:space="preserve">; TURN, Reply Comments at 14. </w:t>
      </w:r>
    </w:p>
  </w:footnote>
  <w:footnote w:id="215">
    <w:p w14:paraId="657E80FE" w14:textId="347CFBF8" w:rsidR="006441B1" w:rsidRPr="00197108" w:rsidRDefault="006441B1">
      <w:pPr>
        <w:pStyle w:val="FootnoteText"/>
        <w:rPr>
          <w:rFonts w:ascii="Book Antiqua" w:hAnsi="Book Antiqua"/>
        </w:rPr>
      </w:pPr>
      <w:r w:rsidRPr="00197108">
        <w:rPr>
          <w:rStyle w:val="FootnoteReference"/>
          <w:rFonts w:ascii="Book Antiqua" w:hAnsi="Book Antiqua"/>
        </w:rPr>
        <w:footnoteRef/>
      </w:r>
      <w:r w:rsidRPr="00197108">
        <w:rPr>
          <w:rFonts w:ascii="Book Antiqua" w:hAnsi="Book Antiqua"/>
        </w:rPr>
        <w:t xml:space="preserve"> TURN, Reply Comments on Staff Proposal at 14.</w:t>
      </w:r>
    </w:p>
  </w:footnote>
  <w:footnote w:id="216">
    <w:p w14:paraId="70A4181E" w14:textId="3FEC2776" w:rsidR="005D1658" w:rsidRPr="00197108" w:rsidRDefault="005D1658" w:rsidP="005D1658">
      <w:pPr>
        <w:pStyle w:val="FootnoteText"/>
        <w:rPr>
          <w:rFonts w:ascii="Book Antiqua" w:hAnsi="Book Antiqua"/>
        </w:rPr>
      </w:pPr>
      <w:r w:rsidRPr="00197108">
        <w:rPr>
          <w:rStyle w:val="FootnoteReference"/>
          <w:rFonts w:ascii="Book Antiqua" w:hAnsi="Book Antiqua"/>
        </w:rPr>
        <w:footnoteRef/>
      </w:r>
      <w:r w:rsidRPr="00197108">
        <w:rPr>
          <w:rFonts w:ascii="Book Antiqua" w:hAnsi="Book Antiqua"/>
        </w:rPr>
        <w:t xml:space="preserve"> NCIC Inmate Communications, Comments on Staff Proposal at 4.</w:t>
      </w:r>
    </w:p>
  </w:footnote>
  <w:footnote w:id="217">
    <w:p w14:paraId="5A4933BA" w14:textId="153A632F" w:rsidR="00B622D8" w:rsidRPr="00197108" w:rsidRDefault="00B622D8">
      <w:pPr>
        <w:pStyle w:val="FootnoteText"/>
        <w:rPr>
          <w:rFonts w:ascii="Book Antiqua" w:hAnsi="Book Antiqua"/>
        </w:rPr>
      </w:pPr>
      <w:r w:rsidRPr="00197108">
        <w:rPr>
          <w:rStyle w:val="FootnoteReference"/>
          <w:rFonts w:ascii="Book Antiqua" w:hAnsi="Book Antiqua"/>
        </w:rPr>
        <w:footnoteRef/>
      </w:r>
      <w:r w:rsidRPr="00197108">
        <w:rPr>
          <w:rFonts w:ascii="Book Antiqua" w:hAnsi="Book Antiqua"/>
        </w:rPr>
        <w:t xml:space="preserve"> </w:t>
      </w:r>
      <w:r w:rsidRPr="00197108">
        <w:rPr>
          <w:rFonts w:ascii="Book Antiqua" w:hAnsi="Book Antiqua"/>
          <w:i/>
        </w:rPr>
        <w:t>Ibid.</w:t>
      </w:r>
      <w:r w:rsidRPr="00197108">
        <w:rPr>
          <w:rFonts w:ascii="Book Antiqua" w:hAnsi="Book Antiqua"/>
        </w:rPr>
        <w:t xml:space="preserve"> </w:t>
      </w:r>
    </w:p>
  </w:footnote>
  <w:footnote w:id="218">
    <w:p w14:paraId="46608E32" w14:textId="7DAA4333" w:rsidR="00691803" w:rsidRPr="00691803" w:rsidRDefault="00691803">
      <w:pPr>
        <w:pStyle w:val="FootnoteText"/>
        <w:rPr>
          <w:rFonts w:ascii="Book Antiqua" w:hAnsi="Book Antiqua"/>
        </w:rPr>
      </w:pPr>
      <w:r w:rsidRPr="00691803">
        <w:rPr>
          <w:rStyle w:val="FootnoteReference"/>
          <w:rFonts w:ascii="Book Antiqua" w:hAnsi="Book Antiqua"/>
        </w:rPr>
        <w:footnoteRef/>
      </w:r>
      <w:r w:rsidRPr="00691803">
        <w:rPr>
          <w:rFonts w:ascii="Book Antiqua" w:hAnsi="Book Antiqua"/>
        </w:rPr>
        <w:t xml:space="preserve"> NCIC Inmate Communications, Comments on Proposed Decision at 4.</w:t>
      </w:r>
    </w:p>
  </w:footnote>
  <w:footnote w:id="219">
    <w:p w14:paraId="00C5B42C" w14:textId="77777777" w:rsidR="00286963" w:rsidRDefault="00286963" w:rsidP="00286963">
      <w:pPr>
        <w:pStyle w:val="FootnoteText"/>
      </w:pPr>
      <w:r w:rsidRPr="001F173D">
        <w:rPr>
          <w:rStyle w:val="FootnoteReference"/>
          <w:rFonts w:ascii="Book Antiqua" w:hAnsi="Book Antiqua"/>
        </w:rPr>
        <w:footnoteRef/>
      </w:r>
      <w:r w:rsidRPr="001F173D">
        <w:rPr>
          <w:rFonts w:ascii="Book Antiqua" w:hAnsi="Book Antiqua"/>
        </w:rPr>
        <w:t xml:space="preserve"> NCIC Inmate Communications, Comments on Staff Proposal at 4.</w:t>
      </w:r>
      <w:r>
        <w:t xml:space="preserve"> </w:t>
      </w:r>
    </w:p>
  </w:footnote>
  <w:footnote w:id="220">
    <w:p w14:paraId="14458AE5" w14:textId="635B4F29" w:rsidR="00640824" w:rsidRPr="0083611E" w:rsidRDefault="00640824">
      <w:pPr>
        <w:pStyle w:val="FootnoteText"/>
        <w:rPr>
          <w:rFonts w:ascii="Book Antiqua" w:hAnsi="Book Antiqua"/>
        </w:rPr>
      </w:pPr>
      <w:r w:rsidRPr="0083611E">
        <w:rPr>
          <w:rStyle w:val="FootnoteReference"/>
          <w:rFonts w:ascii="Book Antiqua" w:hAnsi="Book Antiqua"/>
        </w:rPr>
        <w:footnoteRef/>
      </w:r>
      <w:r w:rsidRPr="0083611E">
        <w:rPr>
          <w:rFonts w:ascii="Book Antiqua" w:hAnsi="Book Antiqua"/>
        </w:rPr>
        <w:t xml:space="preserve"> Prison Policy Institute, Comments on Staff Proposal at 4, citing </w:t>
      </w:r>
      <w:r w:rsidR="002E7490" w:rsidRPr="0083611E">
        <w:rPr>
          <w:rFonts w:ascii="Book Antiqua" w:hAnsi="Book Antiqua"/>
        </w:rPr>
        <w:t xml:space="preserve">the FCC Third Order at ¶ </w:t>
      </w:r>
      <w:r w:rsidR="002E4930" w:rsidRPr="0083611E">
        <w:rPr>
          <w:rFonts w:ascii="Book Antiqua" w:hAnsi="Book Antiqua"/>
        </w:rPr>
        <w:t>218</w:t>
      </w:r>
      <w:r w:rsidR="002E7490" w:rsidRPr="0083611E">
        <w:rPr>
          <w:rFonts w:ascii="Book Antiqua" w:hAnsi="Book Antiqua"/>
        </w:rPr>
        <w:t xml:space="preserve"> and the </w:t>
      </w:r>
      <w:r w:rsidR="002E4930" w:rsidRPr="0083611E">
        <w:rPr>
          <w:rFonts w:ascii="Book Antiqua" w:hAnsi="Book Antiqua"/>
        </w:rPr>
        <w:t xml:space="preserve">FCC </w:t>
      </w:r>
      <w:r w:rsidR="00255910">
        <w:rPr>
          <w:rFonts w:ascii="Book Antiqua" w:hAnsi="Book Antiqua"/>
        </w:rPr>
        <w:t xml:space="preserve">2020 </w:t>
      </w:r>
      <w:r w:rsidR="002E4930" w:rsidRPr="0083611E">
        <w:rPr>
          <w:rFonts w:ascii="Book Antiqua" w:hAnsi="Book Antiqua"/>
        </w:rPr>
        <w:t xml:space="preserve">Order on Remand </w:t>
      </w:r>
      <w:r w:rsidR="00255910">
        <w:rPr>
          <w:rFonts w:ascii="Book Antiqua" w:hAnsi="Book Antiqua"/>
        </w:rPr>
        <w:t xml:space="preserve">at </w:t>
      </w:r>
      <w:r w:rsidR="002E4930" w:rsidRPr="0083611E">
        <w:rPr>
          <w:rFonts w:ascii="Book Antiqua" w:hAnsi="Book Antiqua"/>
        </w:rPr>
        <w:t>¶ 47</w:t>
      </w:r>
      <w:r w:rsidR="00CF43D1" w:rsidRPr="0083611E">
        <w:rPr>
          <w:rFonts w:ascii="Book Antiqua" w:hAnsi="Book Antiqua"/>
        </w:rPr>
        <w:t xml:space="preserve">; TURN, Comments on Staff Proposal at </w:t>
      </w:r>
      <w:r w:rsidR="00D668A6" w:rsidRPr="0083611E">
        <w:rPr>
          <w:rFonts w:ascii="Book Antiqua" w:hAnsi="Book Antiqua"/>
        </w:rPr>
        <w:t>16.</w:t>
      </w:r>
    </w:p>
  </w:footnote>
  <w:footnote w:id="221">
    <w:p w14:paraId="6E5CFA2D" w14:textId="7A25408D" w:rsidR="00952973" w:rsidRPr="0083611E" w:rsidRDefault="00952973" w:rsidP="00952973">
      <w:pPr>
        <w:pStyle w:val="FootnoteText"/>
        <w:rPr>
          <w:rFonts w:ascii="Book Antiqua" w:hAnsi="Book Antiqua"/>
        </w:rPr>
      </w:pPr>
      <w:r w:rsidRPr="0083611E">
        <w:rPr>
          <w:rStyle w:val="FootnoteReference"/>
          <w:rFonts w:ascii="Book Antiqua" w:hAnsi="Book Antiqua"/>
        </w:rPr>
        <w:footnoteRef/>
      </w:r>
      <w:r w:rsidRPr="0083611E">
        <w:rPr>
          <w:rFonts w:ascii="Book Antiqua" w:hAnsi="Book Antiqua"/>
        </w:rPr>
        <w:t xml:space="preserve"> </w:t>
      </w:r>
      <w:r w:rsidR="00D668A6" w:rsidRPr="0083611E">
        <w:rPr>
          <w:rFonts w:ascii="Book Antiqua" w:hAnsi="Book Antiqua"/>
        </w:rPr>
        <w:t xml:space="preserve">Prison Policy Institute, </w:t>
      </w:r>
      <w:r w:rsidR="00640824" w:rsidRPr="0083611E">
        <w:rPr>
          <w:rFonts w:ascii="Book Antiqua" w:hAnsi="Book Antiqua"/>
          <w:i/>
        </w:rPr>
        <w:t>Id.</w:t>
      </w:r>
      <w:r w:rsidR="00640824" w:rsidRPr="0083611E">
        <w:rPr>
          <w:rFonts w:ascii="Book Antiqua" w:hAnsi="Book Antiqua"/>
        </w:rPr>
        <w:t xml:space="preserve"> </w:t>
      </w:r>
      <w:r w:rsidRPr="0083611E">
        <w:rPr>
          <w:rFonts w:ascii="Book Antiqua" w:hAnsi="Book Antiqua"/>
        </w:rPr>
        <w:t>at 5.</w:t>
      </w:r>
    </w:p>
  </w:footnote>
  <w:footnote w:id="222">
    <w:p w14:paraId="549A9D3B" w14:textId="018617F5" w:rsidR="000C50E0" w:rsidRPr="0083611E" w:rsidRDefault="000C50E0">
      <w:pPr>
        <w:pStyle w:val="FootnoteText"/>
        <w:rPr>
          <w:rFonts w:ascii="Book Antiqua" w:hAnsi="Book Antiqua"/>
        </w:rPr>
      </w:pPr>
      <w:r w:rsidRPr="0083611E">
        <w:rPr>
          <w:rStyle w:val="FootnoteReference"/>
          <w:rFonts w:ascii="Book Antiqua" w:hAnsi="Book Antiqua"/>
        </w:rPr>
        <w:footnoteRef/>
      </w:r>
      <w:r w:rsidR="00321526" w:rsidRPr="0083611E">
        <w:rPr>
          <w:rFonts w:ascii="Book Antiqua" w:hAnsi="Book Antiqua"/>
        </w:rPr>
        <w:t xml:space="preserve"> </w:t>
      </w:r>
      <w:r w:rsidR="00321526" w:rsidRPr="0083611E">
        <w:rPr>
          <w:rFonts w:ascii="Book Antiqua" w:hAnsi="Book Antiqua"/>
          <w:i/>
        </w:rPr>
        <w:t>Ibid</w:t>
      </w:r>
      <w:r w:rsidRPr="0083611E">
        <w:rPr>
          <w:rFonts w:ascii="Book Antiqua" w:hAnsi="Book Antiqua"/>
          <w:i/>
        </w:rPr>
        <w:t>.</w:t>
      </w:r>
      <w:r w:rsidRPr="0083611E">
        <w:rPr>
          <w:rFonts w:ascii="Book Antiqua" w:hAnsi="Book Antiqua"/>
        </w:rPr>
        <w:t xml:space="preserve"> </w:t>
      </w:r>
    </w:p>
  </w:footnote>
  <w:footnote w:id="223">
    <w:p w14:paraId="1B19D339" w14:textId="6A628A8C" w:rsidR="0062271D" w:rsidRPr="00520E4E" w:rsidRDefault="0062271D">
      <w:pPr>
        <w:pStyle w:val="FootnoteText"/>
        <w:rPr>
          <w:rFonts w:ascii="Book Antiqua" w:hAnsi="Book Antiqua"/>
        </w:rPr>
      </w:pPr>
      <w:r w:rsidRPr="00CD3238">
        <w:rPr>
          <w:rStyle w:val="FootnoteReference"/>
          <w:rFonts w:ascii="Book Antiqua" w:hAnsi="Book Antiqua"/>
        </w:rPr>
        <w:footnoteRef/>
      </w:r>
      <w:r w:rsidRPr="00CD3238">
        <w:rPr>
          <w:rFonts w:ascii="Book Antiqua" w:hAnsi="Book Antiqua"/>
        </w:rPr>
        <w:t xml:space="preserve"> Verizon, Comments on Staff Proposal at </w:t>
      </w:r>
      <w:r w:rsidR="00CF547B" w:rsidRPr="0083611E">
        <w:rPr>
          <w:rFonts w:ascii="Book Antiqua" w:hAnsi="Book Antiqua"/>
        </w:rPr>
        <w:t>5</w:t>
      </w:r>
      <w:r w:rsidRPr="0083611E">
        <w:rPr>
          <w:rFonts w:ascii="Book Antiqua" w:hAnsi="Book Antiqua"/>
        </w:rPr>
        <w:t>.</w:t>
      </w:r>
      <w:r w:rsidRPr="00520E4E">
        <w:rPr>
          <w:rFonts w:ascii="Book Antiqua" w:hAnsi="Book Antiqua"/>
        </w:rPr>
        <w:t xml:space="preserve"> </w:t>
      </w:r>
    </w:p>
  </w:footnote>
  <w:footnote w:id="224">
    <w:p w14:paraId="10CD5C30" w14:textId="011024C8" w:rsidR="002E6190" w:rsidRPr="00520E4E" w:rsidRDefault="002E6190">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CforAT, Comments on Staff Proposal at </w:t>
      </w:r>
      <w:r w:rsidR="008047B0" w:rsidRPr="00520E4E">
        <w:rPr>
          <w:rFonts w:ascii="Book Antiqua" w:hAnsi="Book Antiqua"/>
        </w:rPr>
        <w:t>8.</w:t>
      </w:r>
    </w:p>
  </w:footnote>
  <w:footnote w:id="225">
    <w:p w14:paraId="589D007D" w14:textId="728BC970" w:rsidR="0021606F" w:rsidRPr="00520E4E" w:rsidRDefault="0021606F">
      <w:pPr>
        <w:pStyle w:val="FootnoteText"/>
        <w:rPr>
          <w:rFonts w:ascii="Book Antiqua" w:hAnsi="Book Antiqua"/>
        </w:rPr>
      </w:pPr>
      <w:r w:rsidRPr="00520E4E">
        <w:rPr>
          <w:rStyle w:val="FootnoteReference"/>
          <w:rFonts w:ascii="Book Antiqua" w:hAnsi="Book Antiqua"/>
        </w:rPr>
        <w:footnoteRef/>
      </w:r>
      <w:r w:rsidRPr="00520E4E">
        <w:rPr>
          <w:rFonts w:ascii="Book Antiqua" w:hAnsi="Book Antiqua"/>
        </w:rPr>
        <w:t xml:space="preserve"> Securus, Comments on Staff Proposal at 19.</w:t>
      </w:r>
    </w:p>
  </w:footnote>
  <w:footnote w:id="226">
    <w:p w14:paraId="69B5B6BD" w14:textId="0660BFC7" w:rsidR="009D18EE" w:rsidRPr="005A4479" w:rsidRDefault="009D18EE">
      <w:pPr>
        <w:pStyle w:val="FootnoteText"/>
        <w:rPr>
          <w:rFonts w:ascii="Book Antiqua" w:hAnsi="Book Antiqua"/>
        </w:rPr>
      </w:pPr>
      <w:r w:rsidRPr="00CD3238">
        <w:rPr>
          <w:rStyle w:val="FootnoteReference"/>
          <w:rFonts w:ascii="Book Antiqua" w:hAnsi="Book Antiqua"/>
        </w:rPr>
        <w:footnoteRef/>
      </w:r>
      <w:r w:rsidRPr="00CD3238">
        <w:rPr>
          <w:rFonts w:ascii="Book Antiqua" w:hAnsi="Book Antiqua"/>
        </w:rPr>
        <w:t xml:space="preserve"> GTL, Comments on Staff Proposal at 22.</w:t>
      </w:r>
    </w:p>
  </w:footnote>
  <w:footnote w:id="227">
    <w:p w14:paraId="0F164A28" w14:textId="051A7450" w:rsidR="003A3AEF" w:rsidRPr="005A4479" w:rsidRDefault="003A3AEF">
      <w:pPr>
        <w:pStyle w:val="FootnoteText"/>
        <w:rPr>
          <w:rFonts w:ascii="Book Antiqua" w:hAnsi="Book Antiqua"/>
        </w:rPr>
      </w:pPr>
      <w:r w:rsidRPr="00CD3238">
        <w:rPr>
          <w:rStyle w:val="FootnoteReference"/>
          <w:rFonts w:ascii="Book Antiqua" w:hAnsi="Book Antiqua"/>
        </w:rPr>
        <w:footnoteRef/>
      </w:r>
      <w:r w:rsidRPr="00CD3238">
        <w:rPr>
          <w:rFonts w:ascii="Book Antiqua" w:hAnsi="Book Antiqua"/>
        </w:rPr>
        <w:t xml:space="preserve"> </w:t>
      </w:r>
      <w:r w:rsidR="00671324" w:rsidRPr="005A4479">
        <w:rPr>
          <w:rFonts w:ascii="Book Antiqua" w:hAnsi="Book Antiqua"/>
        </w:rPr>
        <w:t xml:space="preserve">CforAT, Reply Comments on Staff Proposal at 8. </w:t>
      </w:r>
    </w:p>
  </w:footnote>
  <w:footnote w:id="228">
    <w:p w14:paraId="6E1992B0" w14:textId="7254FA82" w:rsidR="00973916" w:rsidRDefault="00973916" w:rsidP="00973916">
      <w:pPr>
        <w:pStyle w:val="FootnoteText"/>
      </w:pPr>
      <w:r w:rsidRPr="005A4479">
        <w:rPr>
          <w:rStyle w:val="FootnoteReference"/>
          <w:rFonts w:ascii="Book Antiqua" w:hAnsi="Book Antiqua"/>
        </w:rPr>
        <w:footnoteRef/>
      </w:r>
      <w:r w:rsidR="00E16254" w:rsidRPr="005A4479">
        <w:rPr>
          <w:rFonts w:ascii="Book Antiqua" w:hAnsi="Book Antiqua"/>
        </w:rPr>
        <w:t xml:space="preserve"> CforAT, Reply Comments on Staff Proposal at 9, citing </w:t>
      </w:r>
      <w:r w:rsidR="00E16254" w:rsidRPr="005A4479">
        <w:rPr>
          <w:rFonts w:ascii="Book Antiqua" w:hAnsi="Book Antiqua"/>
          <w:i/>
          <w:iCs/>
        </w:rPr>
        <w:t>MetroPCS v. Picker</w:t>
      </w:r>
      <w:r w:rsidR="00E16254" w:rsidRPr="005A4479">
        <w:rPr>
          <w:rFonts w:ascii="Book Antiqua" w:hAnsi="Book Antiqua"/>
        </w:rPr>
        <w:t>, No.18-17382, slip op. at 10 (9th Cir. Aug. 14, 2020).</w:t>
      </w:r>
    </w:p>
  </w:footnote>
  <w:footnote w:id="229">
    <w:p w14:paraId="00C84DF9" w14:textId="3975E4B6" w:rsidR="00CE159F" w:rsidRPr="00197108" w:rsidRDefault="00CE159F">
      <w:pPr>
        <w:pStyle w:val="FootnoteText"/>
        <w:rPr>
          <w:rFonts w:ascii="Book Antiqua" w:hAnsi="Book Antiqua"/>
        </w:rPr>
      </w:pPr>
      <w:r w:rsidRPr="00197108">
        <w:rPr>
          <w:rStyle w:val="FootnoteReference"/>
          <w:rFonts w:ascii="Book Antiqua" w:hAnsi="Book Antiqua"/>
        </w:rPr>
        <w:footnoteRef/>
      </w:r>
      <w:r w:rsidRPr="00197108">
        <w:rPr>
          <w:rFonts w:ascii="Book Antiqua" w:hAnsi="Book Antiqua"/>
        </w:rPr>
        <w:t xml:space="preserve"> </w:t>
      </w:r>
      <w:r w:rsidR="00A66E97" w:rsidRPr="00197108">
        <w:rPr>
          <w:rFonts w:ascii="Book Antiqua" w:hAnsi="Book Antiqua"/>
          <w:i/>
          <w:iCs/>
        </w:rPr>
        <w:t>See</w:t>
      </w:r>
      <w:r w:rsidR="00A66E97" w:rsidRPr="00197108">
        <w:rPr>
          <w:rFonts w:ascii="Book Antiqua" w:hAnsi="Book Antiqua"/>
        </w:rPr>
        <w:t xml:space="preserve"> </w:t>
      </w:r>
      <w:r w:rsidR="00197108">
        <w:rPr>
          <w:rFonts w:ascii="Book Antiqua" w:hAnsi="Book Antiqua"/>
        </w:rPr>
        <w:t>S</w:t>
      </w:r>
      <w:r w:rsidR="00A66E97" w:rsidRPr="00197108">
        <w:rPr>
          <w:rFonts w:ascii="Book Antiqua" w:hAnsi="Book Antiqua"/>
        </w:rPr>
        <w:t xml:space="preserve">ection 1.3 of this decision. </w:t>
      </w:r>
    </w:p>
  </w:footnote>
  <w:footnote w:id="230">
    <w:p w14:paraId="28DB3E3C" w14:textId="61B3F142" w:rsidR="00406C66" w:rsidRPr="000D2A5D" w:rsidRDefault="00406C66">
      <w:pPr>
        <w:pStyle w:val="FootnoteText"/>
        <w:rPr>
          <w:rFonts w:ascii="Book Antiqua" w:hAnsi="Book Antiqua"/>
        </w:rPr>
      </w:pPr>
      <w:r w:rsidRPr="006C5F2B">
        <w:rPr>
          <w:rStyle w:val="FootnoteReference"/>
          <w:rFonts w:ascii="Book Antiqua" w:hAnsi="Book Antiqua"/>
        </w:rPr>
        <w:footnoteRef/>
      </w:r>
      <w:r w:rsidRPr="006C5F2B">
        <w:rPr>
          <w:rFonts w:ascii="Book Antiqua" w:hAnsi="Book Antiqua"/>
        </w:rPr>
        <w:t xml:space="preserve"> </w:t>
      </w:r>
      <w:r w:rsidR="006C5F2B" w:rsidRPr="006C5F2B">
        <w:rPr>
          <w:rFonts w:ascii="Book Antiqua" w:hAnsi="Book Antiqua"/>
        </w:rPr>
        <w:t xml:space="preserve">FCC </w:t>
      </w:r>
      <w:r w:rsidRPr="006C5F2B">
        <w:rPr>
          <w:rFonts w:ascii="Book Antiqua" w:hAnsi="Book Antiqua"/>
        </w:rPr>
        <w:t>Third Order at ¶</w:t>
      </w:r>
      <w:r w:rsidR="00D04AD7" w:rsidRPr="006C5F2B">
        <w:rPr>
          <w:rFonts w:ascii="Book Antiqua" w:hAnsi="Book Antiqua"/>
        </w:rPr>
        <w:t>¶</w:t>
      </w:r>
      <w:r w:rsidRPr="006C5F2B">
        <w:rPr>
          <w:rFonts w:ascii="Book Antiqua" w:hAnsi="Book Antiqua"/>
        </w:rPr>
        <w:t xml:space="preserve"> 209</w:t>
      </w:r>
      <w:r w:rsidR="00D04AD7" w:rsidRPr="006C5F2B">
        <w:rPr>
          <w:rFonts w:ascii="Book Antiqua" w:hAnsi="Book Antiqua"/>
        </w:rPr>
        <w:t xml:space="preserve"> – 210.</w:t>
      </w:r>
    </w:p>
  </w:footnote>
  <w:footnote w:id="231">
    <w:p w14:paraId="30A098B5" w14:textId="453C8415" w:rsidR="000B154B" w:rsidRPr="000D2A5D" w:rsidRDefault="000B154B">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00B641DD" w:rsidRPr="000D2A5D">
        <w:rPr>
          <w:rFonts w:ascii="Book Antiqua" w:hAnsi="Book Antiqua"/>
        </w:rPr>
        <w:t>2020 Order on Remand at ¶</w:t>
      </w:r>
      <w:r w:rsidR="00FF1596" w:rsidRPr="000D2A5D">
        <w:rPr>
          <w:rFonts w:ascii="Book Antiqua" w:hAnsi="Book Antiqua"/>
        </w:rPr>
        <w:t xml:space="preserve"> 14.</w:t>
      </w:r>
    </w:p>
  </w:footnote>
  <w:footnote w:id="232">
    <w:p w14:paraId="1333B370" w14:textId="27D6D023" w:rsidR="0087391F" w:rsidRPr="000D2A5D" w:rsidRDefault="0087391F">
      <w:pPr>
        <w:pStyle w:val="FootnoteText"/>
        <w:rPr>
          <w:rFonts w:ascii="Book Antiqua" w:hAnsi="Book Antiqua"/>
        </w:rPr>
      </w:pPr>
      <w:r w:rsidRPr="000D2A5D">
        <w:rPr>
          <w:rStyle w:val="FootnoteReference"/>
          <w:rFonts w:ascii="Book Antiqua" w:hAnsi="Book Antiqua"/>
        </w:rPr>
        <w:footnoteRef/>
      </w:r>
      <w:r w:rsidR="00E954AC" w:rsidRPr="000D2A5D">
        <w:rPr>
          <w:rFonts w:ascii="Book Antiqua" w:hAnsi="Book Antiqua"/>
          <w:i/>
          <w:iCs/>
        </w:rPr>
        <w:t xml:space="preserve"> </w:t>
      </w:r>
      <w:r w:rsidR="00B641DD" w:rsidRPr="000D2A5D">
        <w:rPr>
          <w:rFonts w:ascii="Book Antiqua" w:hAnsi="Book Antiqua"/>
          <w:i/>
          <w:iCs/>
        </w:rPr>
        <w:t>Id</w:t>
      </w:r>
      <w:r w:rsidR="00B641DD" w:rsidRPr="000D2A5D">
        <w:rPr>
          <w:rFonts w:ascii="Book Antiqua" w:hAnsi="Book Antiqua"/>
        </w:rPr>
        <w:t xml:space="preserve">. </w:t>
      </w:r>
      <w:r w:rsidR="00E954AC" w:rsidRPr="000D2A5D">
        <w:rPr>
          <w:rFonts w:ascii="Book Antiqua" w:hAnsi="Book Antiqua"/>
        </w:rPr>
        <w:t>at</w:t>
      </w:r>
      <w:r w:rsidRPr="000D2A5D">
        <w:rPr>
          <w:rFonts w:ascii="Book Antiqua" w:hAnsi="Book Antiqua"/>
        </w:rPr>
        <w:t xml:space="preserve"> </w:t>
      </w:r>
      <w:r w:rsidR="00542551" w:rsidRPr="000D2A5D">
        <w:rPr>
          <w:rFonts w:ascii="Book Antiqua" w:hAnsi="Book Antiqua"/>
        </w:rPr>
        <w:t>¶ 14</w:t>
      </w:r>
      <w:r w:rsidR="00E93251" w:rsidRPr="000D2A5D">
        <w:rPr>
          <w:rFonts w:ascii="Book Antiqua" w:hAnsi="Book Antiqua"/>
        </w:rPr>
        <w:t xml:space="preserve">, </w:t>
      </w:r>
      <w:r w:rsidR="00E954AC" w:rsidRPr="000D2A5D">
        <w:rPr>
          <w:rFonts w:ascii="Book Antiqua" w:hAnsi="Book Antiqua"/>
        </w:rPr>
        <w:t xml:space="preserve">¶ </w:t>
      </w:r>
      <w:r w:rsidR="00E93251" w:rsidRPr="000D2A5D">
        <w:rPr>
          <w:rFonts w:ascii="Book Antiqua" w:hAnsi="Book Antiqua"/>
        </w:rPr>
        <w:t>61.</w:t>
      </w:r>
    </w:p>
  </w:footnote>
  <w:footnote w:id="233">
    <w:p w14:paraId="3EAAA019" w14:textId="362A0C6B" w:rsidR="004C515A" w:rsidRPr="006C5F2B" w:rsidRDefault="004C515A" w:rsidP="004C515A">
      <w:pPr>
        <w:pStyle w:val="FootnoteText"/>
        <w:rPr>
          <w:rFonts w:ascii="Book Antiqua" w:hAnsi="Book Antiqua"/>
        </w:rPr>
      </w:pPr>
      <w:r w:rsidRPr="006C5F2B">
        <w:rPr>
          <w:rStyle w:val="FootnoteReference"/>
          <w:rFonts w:ascii="Book Antiqua" w:hAnsi="Book Antiqua"/>
        </w:rPr>
        <w:footnoteRef/>
      </w:r>
      <w:r w:rsidRPr="006C5F2B">
        <w:rPr>
          <w:rFonts w:ascii="Book Antiqua" w:hAnsi="Book Antiqua"/>
        </w:rPr>
        <w:t xml:space="preserve"> 2020 Order on Remand</w:t>
      </w:r>
      <w:r w:rsidR="00854A17" w:rsidRPr="006C5F2B">
        <w:rPr>
          <w:rFonts w:ascii="Book Antiqua" w:hAnsi="Book Antiqua"/>
        </w:rPr>
        <w:t xml:space="preserve"> </w:t>
      </w:r>
      <w:r w:rsidRPr="006C5F2B">
        <w:rPr>
          <w:rFonts w:ascii="Book Antiqua" w:hAnsi="Book Antiqua"/>
        </w:rPr>
        <w:t>at ¶ 28.</w:t>
      </w:r>
    </w:p>
  </w:footnote>
  <w:footnote w:id="234">
    <w:p w14:paraId="704FA4E4" w14:textId="7486DD3D" w:rsidR="004C515A" w:rsidRPr="006C5F2B" w:rsidRDefault="004C515A" w:rsidP="004C515A">
      <w:pPr>
        <w:pStyle w:val="FootnoteText"/>
        <w:rPr>
          <w:rFonts w:ascii="Book Antiqua" w:hAnsi="Book Antiqua"/>
        </w:rPr>
      </w:pPr>
      <w:r w:rsidRPr="006C5F2B">
        <w:rPr>
          <w:rStyle w:val="FootnoteReference"/>
          <w:rFonts w:ascii="Book Antiqua" w:hAnsi="Book Antiqua"/>
        </w:rPr>
        <w:footnoteRef/>
      </w:r>
      <w:r w:rsidRPr="006C5F2B">
        <w:rPr>
          <w:rFonts w:ascii="Book Antiqua" w:hAnsi="Book Antiqua"/>
        </w:rPr>
        <w:t xml:space="preserve"> TURN, Reply Comments on Staff Proposal at 15, citing at FCC Third Order at 97, ¶ 218</w:t>
      </w:r>
      <w:r w:rsidR="00A1630F" w:rsidRPr="006C5F2B">
        <w:rPr>
          <w:rFonts w:ascii="Book Antiqua" w:hAnsi="Book Antiqua"/>
        </w:rPr>
        <w:t>; 2020 Order on Remand</w:t>
      </w:r>
      <w:r w:rsidRPr="006C5F2B">
        <w:rPr>
          <w:rFonts w:ascii="Book Antiqua" w:hAnsi="Book Antiqua"/>
        </w:rPr>
        <w:t xml:space="preserve">, para. 47 (2020) (stating that “to the extent a state allows or requires an inmate calling services provider to impose fees lower than those contained in our rules, that state law or requirement is not preempted by our action here”); </w:t>
      </w:r>
      <w:r w:rsidRPr="006C5F2B">
        <w:rPr>
          <w:rFonts w:ascii="Book Antiqua" w:hAnsi="Book Antiqua"/>
          <w:i/>
        </w:rPr>
        <w:t xml:space="preserve">See </w:t>
      </w:r>
      <w:r w:rsidR="00A1630F" w:rsidRPr="006C5F2B">
        <w:rPr>
          <w:rFonts w:ascii="Book Antiqua" w:hAnsi="Book Antiqua"/>
          <w:i/>
        </w:rPr>
        <w:t>also</w:t>
      </w:r>
      <w:r w:rsidR="00A1630F" w:rsidRPr="006C5F2B">
        <w:rPr>
          <w:rFonts w:ascii="Book Antiqua" w:hAnsi="Book Antiqua"/>
        </w:rPr>
        <w:t xml:space="preserve"> </w:t>
      </w:r>
      <w:r w:rsidRPr="006C5F2B">
        <w:rPr>
          <w:rFonts w:ascii="Book Antiqua" w:hAnsi="Book Antiqua"/>
        </w:rPr>
        <w:t xml:space="preserve">Third Order at ¶ 271, ¶ 254; 2020 Order on Remand at ¶ 217. </w:t>
      </w:r>
    </w:p>
  </w:footnote>
  <w:footnote w:id="235">
    <w:p w14:paraId="3A75AB1A" w14:textId="356A6DDA" w:rsidR="004C515A" w:rsidRPr="006C5F2B" w:rsidRDefault="004C515A" w:rsidP="004C515A">
      <w:pPr>
        <w:pStyle w:val="FootnoteText"/>
        <w:rPr>
          <w:rFonts w:ascii="Book Antiqua" w:hAnsi="Book Antiqua"/>
        </w:rPr>
      </w:pPr>
      <w:r w:rsidRPr="006C5F2B">
        <w:rPr>
          <w:rStyle w:val="FootnoteReference"/>
          <w:rFonts w:ascii="Book Antiqua" w:hAnsi="Book Antiqua"/>
        </w:rPr>
        <w:footnoteRef/>
      </w:r>
      <w:r w:rsidRPr="006C5F2B">
        <w:rPr>
          <w:rFonts w:ascii="Book Antiqua" w:hAnsi="Book Antiqua"/>
        </w:rPr>
        <w:t xml:space="preserve"> </w:t>
      </w:r>
      <w:r w:rsidR="003970F1">
        <w:rPr>
          <w:rFonts w:ascii="Book Antiqua" w:hAnsi="Book Antiqua"/>
        </w:rPr>
        <w:t xml:space="preserve">FCC </w:t>
      </w:r>
      <w:r w:rsidRPr="006C5F2B">
        <w:rPr>
          <w:rFonts w:ascii="Book Antiqua" w:hAnsi="Book Antiqua"/>
        </w:rPr>
        <w:t xml:space="preserve">Third Order at ¶ 217. </w:t>
      </w:r>
    </w:p>
  </w:footnote>
  <w:footnote w:id="236">
    <w:p w14:paraId="119EB9A0" w14:textId="33E05D00" w:rsidR="00F06B3F" w:rsidRPr="000D2A5D" w:rsidRDefault="00F06B3F">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00E20D78" w:rsidRPr="000D2A5D">
        <w:rPr>
          <w:rFonts w:ascii="Book Antiqua" w:hAnsi="Book Antiqua"/>
        </w:rPr>
        <w:t xml:space="preserve">Resolution T-17601.  </w:t>
      </w:r>
      <w:r w:rsidR="00E20D78" w:rsidRPr="000D2A5D">
        <w:rPr>
          <w:rFonts w:ascii="Book Antiqua" w:hAnsi="Book Antiqua"/>
          <w:i/>
          <w:iCs/>
        </w:rPr>
        <w:t>Approval of a Citation Program to Enforce Compliance by Telecommunications Carriers with the Commission’s Resolutions, Decisions, Orders, and the Public Utilities Code and Authorizes Staff to Issue Citations; Procedure for Appeals of Citations.</w:t>
      </w:r>
      <w:r w:rsidR="00E20D78" w:rsidRPr="000D2A5D">
        <w:rPr>
          <w:rFonts w:ascii="Book Antiqua" w:hAnsi="Book Antiqua"/>
        </w:rPr>
        <w:t xml:space="preserve">  Issued June 22, 2018. </w:t>
      </w:r>
      <w:r w:rsidR="00BC371F" w:rsidRPr="000D2A5D">
        <w:rPr>
          <w:rFonts w:ascii="Book Antiqua" w:hAnsi="Book Antiqua"/>
        </w:rPr>
        <w:t xml:space="preserve">Available here: </w:t>
      </w:r>
      <w:hyperlink r:id="rId27" w:history="1">
        <w:r w:rsidR="00BC371F" w:rsidRPr="000D2A5D">
          <w:rPr>
            <w:rStyle w:val="Hyperlink"/>
            <w:rFonts w:ascii="Book Antiqua" w:hAnsi="Book Antiqua"/>
          </w:rPr>
          <w:t>https://docs.cpuc.ca.gov/PublishedDocs/Published/G000/M216/K795/216795045.PDF</w:t>
        </w:r>
      </w:hyperlink>
      <w:r w:rsidR="00BC371F" w:rsidRPr="000D2A5D">
        <w:rPr>
          <w:rFonts w:ascii="Book Antiqua" w:hAnsi="Book Antiqua"/>
        </w:rPr>
        <w:t xml:space="preserve">.  </w:t>
      </w:r>
    </w:p>
  </w:footnote>
  <w:footnote w:id="237">
    <w:p w14:paraId="3B650BB3" w14:textId="3D4374A8" w:rsidR="008F7BFC" w:rsidRPr="000D2A5D" w:rsidRDefault="008F7BFC">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001A7B09" w:rsidRPr="000D2A5D">
        <w:rPr>
          <w:rFonts w:ascii="Book Antiqua" w:hAnsi="Book Antiqua"/>
        </w:rPr>
        <w:t xml:space="preserve">Public Utilities Code </w:t>
      </w:r>
      <w:r w:rsidRPr="000D2A5D">
        <w:rPr>
          <w:rFonts w:ascii="Book Antiqua" w:hAnsi="Book Antiqua"/>
        </w:rPr>
        <w:t xml:space="preserve">Section 2107 </w:t>
      </w:r>
      <w:r w:rsidR="001A7B09" w:rsidRPr="000D2A5D">
        <w:rPr>
          <w:rFonts w:ascii="Book Antiqua" w:hAnsi="Book Antiqua"/>
        </w:rPr>
        <w:t>states</w:t>
      </w:r>
      <w:r w:rsidRPr="000D2A5D">
        <w:rPr>
          <w:rFonts w:ascii="Book Antiqua" w:hAnsi="Book Antiqua"/>
        </w:rPr>
        <w:t xml:space="preserve"> that any public utilities, including telephone corporations, that violates or fails to comply with any Commission order, in a case in which a penalty has not otherwise been provided, is subject to a penalty of not less than five hundred dollars ($500), nor more than one hundred thousand dollars ($100,000) for each offense.  Section</w:t>
      </w:r>
      <w:r w:rsidR="009B44CC">
        <w:rPr>
          <w:rFonts w:ascii="Book Antiqua" w:hAnsi="Book Antiqua"/>
        </w:rPr>
        <w:t> </w:t>
      </w:r>
      <w:r w:rsidRPr="000D2A5D">
        <w:rPr>
          <w:rFonts w:ascii="Book Antiqua" w:hAnsi="Book Antiqua"/>
        </w:rPr>
        <w:t>2108 states that every violation of a Commission order, and in case of a continuing violation each day’s continuance thereof shall be considered a separate and distinct offense.</w:t>
      </w:r>
    </w:p>
  </w:footnote>
  <w:footnote w:id="238">
    <w:p w14:paraId="7F9F094A" w14:textId="45931624" w:rsidR="00447EB0" w:rsidRPr="000D2A5D" w:rsidRDefault="00447EB0">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00525CBA" w:rsidRPr="000D2A5D">
        <w:rPr>
          <w:rFonts w:ascii="Book Antiqua" w:hAnsi="Book Antiqua"/>
          <w:i/>
          <w:iCs/>
        </w:rPr>
        <w:t xml:space="preserve">See </w:t>
      </w:r>
      <w:r w:rsidR="00525CBA" w:rsidRPr="000D2A5D">
        <w:rPr>
          <w:rFonts w:ascii="Book Antiqua" w:hAnsi="Book Antiqua"/>
        </w:rPr>
        <w:t>Resolution T-17601 at pages 3-4, Appendix A, and Appendix C.</w:t>
      </w:r>
    </w:p>
  </w:footnote>
  <w:footnote w:id="239">
    <w:p w14:paraId="70139605" w14:textId="7D0AA066" w:rsidR="00CB2FE8" w:rsidRPr="000D2A5D" w:rsidRDefault="00CB2FE8">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Cal Advocates, Comments on Staff Proposal at 21. </w:t>
      </w:r>
    </w:p>
  </w:footnote>
  <w:footnote w:id="240">
    <w:p w14:paraId="3FA00215" w14:textId="77777777" w:rsidR="004D7EB0" w:rsidRPr="000D2A5D" w:rsidRDefault="004D7EB0" w:rsidP="004D7EB0">
      <w:pPr>
        <w:pStyle w:val="FootnoteText"/>
        <w:rPr>
          <w:rFonts w:ascii="Book Antiqua" w:hAnsi="Book Antiqua"/>
        </w:rPr>
      </w:pPr>
      <w:r w:rsidRPr="000D2A5D">
        <w:rPr>
          <w:rStyle w:val="FootnoteReference"/>
          <w:rFonts w:ascii="Book Antiqua" w:hAnsi="Book Antiqua"/>
        </w:rPr>
        <w:footnoteRef/>
      </w:r>
      <w:r w:rsidRPr="000D2A5D">
        <w:rPr>
          <w:rFonts w:ascii="Book Antiqua" w:hAnsi="Book Antiqua"/>
        </w:rPr>
        <w:t xml:space="preserve"> </w:t>
      </w:r>
      <w:r w:rsidRPr="000D2A5D">
        <w:rPr>
          <w:rFonts w:ascii="Book Antiqua" w:hAnsi="Book Antiqua"/>
          <w:i/>
          <w:iCs/>
        </w:rPr>
        <w:t>Id.</w:t>
      </w:r>
      <w:r w:rsidRPr="000D2A5D">
        <w:rPr>
          <w:rFonts w:ascii="Book Antiqua" w:hAnsi="Book Antiqua"/>
        </w:rPr>
        <w:t xml:space="preserve"> at 18-19. </w:t>
      </w:r>
    </w:p>
  </w:footnote>
  <w:footnote w:id="241">
    <w:p w14:paraId="16A8B959" w14:textId="77777777" w:rsidR="00D03C84" w:rsidRPr="00E40DFA" w:rsidRDefault="00D03C84" w:rsidP="00D03C84">
      <w:pPr>
        <w:pStyle w:val="FootnoteText"/>
        <w:rPr>
          <w:rFonts w:ascii="Book Antiqua" w:hAnsi="Book Antiqua"/>
          <w:szCs w:val="22"/>
        </w:rPr>
      </w:pPr>
      <w:r w:rsidRPr="00E40DFA">
        <w:rPr>
          <w:rStyle w:val="FootnoteReference"/>
          <w:rFonts w:ascii="Book Antiqua" w:hAnsi="Book Antiqua"/>
          <w:szCs w:val="22"/>
        </w:rPr>
        <w:footnoteRef/>
      </w:r>
      <w:r w:rsidRPr="00E40DFA">
        <w:rPr>
          <w:rFonts w:ascii="Book Antiqua" w:hAnsi="Book Antiqua"/>
          <w:szCs w:val="22"/>
        </w:rPr>
        <w:t xml:space="preserve"> </w:t>
      </w:r>
      <w:r w:rsidRPr="00E40DFA">
        <w:rPr>
          <w:rFonts w:ascii="Book Antiqua" w:eastAsiaTheme="minorHAnsi" w:hAnsi="Book Antiqua" w:cstheme="minorBidi"/>
          <w:szCs w:val="22"/>
        </w:rPr>
        <w:t xml:space="preserve">Source: Incarceration Trends in California, Vera Institute of Justice (2019) </w:t>
      </w:r>
      <w:hyperlink r:id="rId28" w:history="1">
        <w:r w:rsidRPr="00E40DFA">
          <w:rPr>
            <w:rStyle w:val="Hyperlink"/>
            <w:rFonts w:ascii="Book Antiqua" w:eastAsiaTheme="minorHAnsi" w:hAnsi="Book Antiqua"/>
            <w:szCs w:val="22"/>
          </w:rPr>
          <w:t>https://www.vera.org/downloads/pdfdownloads/state-incarceration-trends-california.pdf</w:t>
        </w:r>
      </w:hyperlink>
      <w:r w:rsidRPr="00E40DFA">
        <w:rPr>
          <w:rFonts w:ascii="Book Antiqua" w:hAnsi="Book Antiqua"/>
          <w:szCs w:val="22"/>
        </w:rPr>
        <w:t xml:space="preserve"> (accessed June 28, 2021). </w:t>
      </w:r>
    </w:p>
  </w:footnote>
  <w:footnote w:id="242">
    <w:p w14:paraId="61DB4AF2" w14:textId="77777777" w:rsidR="00D03C84" w:rsidRPr="000D2A5D" w:rsidRDefault="00D03C84" w:rsidP="00D03C84">
      <w:pPr>
        <w:pStyle w:val="FootnoteText"/>
        <w:rPr>
          <w:rFonts w:ascii="Book Antiqua" w:hAnsi="Book Antiqua"/>
        </w:rPr>
      </w:pPr>
      <w:r w:rsidRPr="00E40DFA">
        <w:rPr>
          <w:rStyle w:val="FootnoteReference"/>
          <w:rFonts w:ascii="Book Antiqua" w:hAnsi="Book Antiqua"/>
          <w:szCs w:val="22"/>
        </w:rPr>
        <w:footnoteRef/>
      </w:r>
      <w:r w:rsidRPr="00E40DFA">
        <w:rPr>
          <w:rFonts w:ascii="Book Antiqua" w:hAnsi="Book Antiqua"/>
          <w:szCs w:val="22"/>
        </w:rPr>
        <w:t xml:space="preserve"> </w:t>
      </w:r>
      <w:r w:rsidRPr="00E40DFA">
        <w:rPr>
          <w:rFonts w:ascii="Book Antiqua" w:hAnsi="Book Antiqua"/>
          <w:i/>
          <w:szCs w:val="22"/>
        </w:rPr>
        <w:t>Ibid.</w:t>
      </w:r>
    </w:p>
  </w:footnote>
  <w:footnote w:id="243">
    <w:p w14:paraId="34D707EC" w14:textId="77777777" w:rsidR="00D03C84" w:rsidRPr="00E40DFA" w:rsidRDefault="00D03C84" w:rsidP="00D03C84">
      <w:pPr>
        <w:pStyle w:val="FootnoteText"/>
        <w:rPr>
          <w:rFonts w:ascii="Book Antiqua" w:eastAsiaTheme="minorHAnsi" w:hAnsi="Book Antiqua" w:cstheme="minorBidi"/>
          <w:szCs w:val="22"/>
        </w:rPr>
      </w:pPr>
      <w:r w:rsidRPr="00E40DFA">
        <w:rPr>
          <w:rStyle w:val="FootnoteReference"/>
          <w:rFonts w:ascii="Book Antiqua" w:hAnsi="Book Antiqua"/>
          <w:szCs w:val="22"/>
        </w:rPr>
        <w:footnoteRef/>
      </w:r>
      <w:r w:rsidRPr="00E40DFA">
        <w:rPr>
          <w:rFonts w:ascii="Book Antiqua" w:hAnsi="Book Antiqua"/>
          <w:szCs w:val="22"/>
        </w:rPr>
        <w:t xml:space="preserve"> </w:t>
      </w:r>
      <w:r w:rsidRPr="00E40DFA">
        <w:rPr>
          <w:rFonts w:ascii="Book Antiqua" w:eastAsiaTheme="minorHAnsi" w:hAnsi="Book Antiqua" w:cstheme="minorBidi"/>
          <w:szCs w:val="22"/>
        </w:rPr>
        <w:t xml:space="preserve">Public Policy Institute of California, “Just the Facts,” California’s Prison Population </w:t>
      </w:r>
    </w:p>
    <w:p w14:paraId="3857B2B0" w14:textId="77777777" w:rsidR="00D03C84" w:rsidRPr="00E40DFA" w:rsidRDefault="0036579F" w:rsidP="00D03C84">
      <w:pPr>
        <w:pStyle w:val="FootnoteText"/>
        <w:rPr>
          <w:rFonts w:ascii="Book Antiqua" w:hAnsi="Book Antiqua"/>
          <w:szCs w:val="22"/>
        </w:rPr>
      </w:pPr>
      <w:hyperlink r:id="rId29" w:history="1">
        <w:r w:rsidR="00D03C84" w:rsidRPr="00E40DFA">
          <w:rPr>
            <w:rStyle w:val="Hyperlink"/>
            <w:rFonts w:ascii="Book Antiqua" w:hAnsi="Book Antiqua"/>
            <w:szCs w:val="22"/>
          </w:rPr>
          <w:t>https://www.ppic.org/publication/californias-prison-population/</w:t>
        </w:r>
      </w:hyperlink>
      <w:r w:rsidR="00D03C84" w:rsidRPr="00E40DFA">
        <w:rPr>
          <w:rFonts w:ascii="Book Antiqua" w:hAnsi="Book Antiqua"/>
          <w:szCs w:val="22"/>
        </w:rPr>
        <w:t xml:space="preserve"> (accessed June 28, 2021). </w:t>
      </w:r>
    </w:p>
  </w:footnote>
  <w:footnote w:id="244">
    <w:p w14:paraId="602E6857" w14:textId="42ED8150" w:rsidR="00B03EA8" w:rsidRPr="00F77D99" w:rsidRDefault="00B03EA8" w:rsidP="00B03EA8">
      <w:pPr>
        <w:pStyle w:val="FootnoteText"/>
        <w:rPr>
          <w:rFonts w:ascii="Book Antiqua" w:hAnsi="Book Antiqua"/>
          <w:szCs w:val="22"/>
        </w:rPr>
      </w:pPr>
      <w:r w:rsidRPr="00F77D99">
        <w:rPr>
          <w:rStyle w:val="FootnoteReference"/>
          <w:rFonts w:ascii="Book Antiqua" w:hAnsi="Book Antiqua"/>
          <w:szCs w:val="22"/>
        </w:rPr>
        <w:footnoteRef/>
      </w:r>
      <w:r w:rsidRPr="00F77D99">
        <w:rPr>
          <w:rFonts w:ascii="Book Antiqua" w:hAnsi="Book Antiqua"/>
          <w:szCs w:val="22"/>
        </w:rPr>
        <w:t xml:space="preserve"> Root and Rebound, Comments on Order Instituting Rulemaking at 3, citing, Saneta deVuono-powell, Chris Schweidler, Alicia Walters, and Azadeh Zohrabi. “Who Pays? The True Cost of Incarceration on Families.” Ella Baker Center for Human Rights, Forward Together, and Research Action Design. September 2015, available at: </w:t>
      </w:r>
      <w:hyperlink r:id="rId30" w:history="1">
        <w:r w:rsidRPr="00F77D99">
          <w:rPr>
            <w:rStyle w:val="Hyperlink"/>
            <w:rFonts w:ascii="Book Antiqua" w:hAnsi="Book Antiqua"/>
            <w:szCs w:val="22"/>
          </w:rPr>
          <w:t>http://www.whopaysreport.org/who-paysfull-report/</w:t>
        </w:r>
      </w:hyperlink>
      <w:r w:rsidR="001165EB">
        <w:rPr>
          <w:rFonts w:ascii="Book Antiqua" w:hAnsi="Book Antiqua"/>
          <w:szCs w:val="22"/>
        </w:rPr>
        <w:t xml:space="preserve"> (accessed June 28, 2021). </w:t>
      </w:r>
    </w:p>
  </w:footnote>
  <w:footnote w:id="245">
    <w:p w14:paraId="2E0C9C72" w14:textId="519D36D0" w:rsidR="00B03EA8" w:rsidRPr="00F77D99" w:rsidRDefault="00B03EA8" w:rsidP="00B03EA8">
      <w:pPr>
        <w:pStyle w:val="FootnoteText"/>
        <w:rPr>
          <w:rFonts w:ascii="Book Antiqua" w:hAnsi="Book Antiqua"/>
          <w:szCs w:val="22"/>
        </w:rPr>
      </w:pPr>
      <w:r w:rsidRPr="00F77D99">
        <w:rPr>
          <w:rStyle w:val="FootnoteReference"/>
          <w:rFonts w:ascii="Book Antiqua" w:hAnsi="Book Antiqua"/>
          <w:szCs w:val="22"/>
        </w:rPr>
        <w:footnoteRef/>
      </w:r>
      <w:r w:rsidRPr="00F77D99">
        <w:rPr>
          <w:rFonts w:ascii="Book Antiqua" w:hAnsi="Book Antiqua"/>
          <w:szCs w:val="22"/>
        </w:rPr>
        <w:t xml:space="preserve"> Root and Rebound, Comments on Order Instituting Rulemaking at 4, citing Bernadette Rabuy and Daniel Kopf. “Prisons of Poverty: Uncovering the pre-incarceration incomes of the imprisoned” Prison Policy Initiative. July 2015, available at </w:t>
      </w:r>
      <w:hyperlink r:id="rId31" w:history="1">
        <w:r w:rsidRPr="00F77D99">
          <w:rPr>
            <w:rStyle w:val="Hyperlink"/>
            <w:rFonts w:ascii="Book Antiqua" w:hAnsi="Book Antiqua"/>
            <w:szCs w:val="22"/>
          </w:rPr>
          <w:t>https://www.prisonpolicy.org/reports/income.html</w:t>
        </w:r>
      </w:hyperlink>
      <w:r w:rsidR="00B02482">
        <w:rPr>
          <w:rFonts w:ascii="Book Antiqua" w:hAnsi="Book Antiqua"/>
          <w:szCs w:val="22"/>
        </w:rPr>
        <w:t xml:space="preserve"> (accessed June 28, 2021)</w:t>
      </w:r>
    </w:p>
  </w:footnote>
  <w:footnote w:id="246">
    <w:p w14:paraId="176EEE7E" w14:textId="77777777" w:rsidR="00D03C84" w:rsidRPr="00F77D99" w:rsidRDefault="00D03C84" w:rsidP="00D03C84">
      <w:pPr>
        <w:pStyle w:val="FootnoteText"/>
        <w:rPr>
          <w:rFonts w:ascii="Book Antiqua" w:hAnsi="Book Antiqua"/>
          <w:szCs w:val="22"/>
        </w:rPr>
      </w:pPr>
      <w:r w:rsidRPr="00F77D99">
        <w:rPr>
          <w:rStyle w:val="FootnoteReference"/>
          <w:rFonts w:ascii="Book Antiqua" w:hAnsi="Book Antiqua"/>
          <w:szCs w:val="22"/>
        </w:rPr>
        <w:footnoteRef/>
      </w:r>
      <w:r w:rsidRPr="00F77D99">
        <w:rPr>
          <w:rFonts w:ascii="Book Antiqua" w:hAnsi="Book Antiqua"/>
          <w:szCs w:val="22"/>
        </w:rPr>
        <w:t xml:space="preserve">   California Public Utilities Commission Environmental and Social Justice Action Plan (Commission ESJA Plan). V. 1.0, February 21, 2019, available here: </w:t>
      </w:r>
      <w:hyperlink r:id="rId32" w:history="1">
        <w:r w:rsidRPr="00F77D99">
          <w:rPr>
            <w:rStyle w:val="Hyperlink"/>
            <w:rFonts w:ascii="Book Antiqua" w:hAnsi="Book Antiqua"/>
            <w:szCs w:val="22"/>
          </w:rPr>
          <w:t>https://www.cpuc.ca.gov/ESJactionplan/</w:t>
        </w:r>
      </w:hyperlink>
      <w:r w:rsidRPr="00F77D99">
        <w:rPr>
          <w:rFonts w:ascii="Book Antiqua" w:hAnsi="Book Antiqua"/>
          <w:szCs w:val="22"/>
        </w:rPr>
        <w:t xml:space="preserve"> (accessed June 28, 2021). </w:t>
      </w:r>
    </w:p>
  </w:footnote>
  <w:footnote w:id="247">
    <w:p w14:paraId="15C02879" w14:textId="77777777" w:rsidR="00D03C84" w:rsidRPr="00F77D99" w:rsidRDefault="00D03C84" w:rsidP="00D03C84">
      <w:pPr>
        <w:pStyle w:val="FootnoteText"/>
        <w:rPr>
          <w:rFonts w:ascii="Book Antiqua" w:hAnsi="Book Antiqua"/>
        </w:rPr>
      </w:pPr>
      <w:r w:rsidRPr="00F77D99">
        <w:rPr>
          <w:rStyle w:val="FootnoteReference"/>
          <w:rFonts w:ascii="Book Antiqua" w:hAnsi="Book Antiqua"/>
          <w:szCs w:val="22"/>
        </w:rPr>
        <w:footnoteRef/>
      </w:r>
      <w:r w:rsidRPr="00F77D99">
        <w:rPr>
          <w:rFonts w:ascii="Book Antiqua" w:hAnsi="Book Antiqua"/>
          <w:szCs w:val="22"/>
        </w:rPr>
        <w:t xml:space="preserve"> As identified by Cal EPA’s CalEnviroScreen, available here: </w:t>
      </w:r>
      <w:hyperlink r:id="rId33" w:history="1">
        <w:r w:rsidRPr="00F77D99">
          <w:rPr>
            <w:rStyle w:val="Hyperlink"/>
            <w:rFonts w:ascii="Book Antiqua" w:hAnsi="Book Antiqua"/>
            <w:szCs w:val="22"/>
          </w:rPr>
          <w:t>https://oehha.ca.gov/calenviroscreen</w:t>
        </w:r>
      </w:hyperlink>
      <w:r w:rsidRPr="00F77D99">
        <w:rPr>
          <w:rFonts w:ascii="Book Antiqua" w:hAnsi="Book Antiqua"/>
          <w:szCs w:val="22"/>
        </w:rPr>
        <w:t xml:space="preserve"> (accessed June 28, 2021).</w:t>
      </w:r>
      <w:r w:rsidRPr="00F77D99">
        <w:rPr>
          <w:rFonts w:ascii="Book Antiqua" w:hAnsi="Book Antiqua"/>
        </w:rPr>
        <w:t xml:space="preserve"> </w:t>
      </w:r>
    </w:p>
  </w:footnote>
  <w:footnote w:id="248">
    <w:p w14:paraId="07DD757D" w14:textId="77777777" w:rsidR="00D03C84" w:rsidRPr="00F77D99" w:rsidRDefault="00D03C84" w:rsidP="00D03C84">
      <w:pPr>
        <w:pStyle w:val="FootnoteText"/>
        <w:rPr>
          <w:rFonts w:ascii="Book Antiqua" w:hAnsi="Book Antiqua"/>
        </w:rPr>
      </w:pPr>
      <w:r w:rsidRPr="00F77D99">
        <w:rPr>
          <w:rStyle w:val="FootnoteReference"/>
          <w:rFonts w:ascii="Book Antiqua" w:hAnsi="Book Antiqua"/>
        </w:rPr>
        <w:footnoteRef/>
      </w:r>
      <w:r w:rsidRPr="00F77D99">
        <w:rPr>
          <w:rFonts w:ascii="Book Antiqua" w:hAnsi="Book Antiqua"/>
        </w:rPr>
        <w:t xml:space="preserve"> </w:t>
      </w:r>
      <w:r w:rsidRPr="00F77D99">
        <w:rPr>
          <w:rFonts w:ascii="Book Antiqua" w:hAnsi="Book Antiqua"/>
          <w:i/>
        </w:rPr>
        <w:t>ESJA Plan</w:t>
      </w:r>
      <w:r w:rsidRPr="00F77D99">
        <w:rPr>
          <w:rFonts w:ascii="Book Antiqua" w:hAnsi="Book Antiqua"/>
        </w:rPr>
        <w:t xml:space="preserve"> at 9.</w:t>
      </w:r>
    </w:p>
  </w:footnote>
  <w:footnote w:id="249">
    <w:p w14:paraId="55F0F37B" w14:textId="77777777" w:rsidR="00D03C84" w:rsidRPr="00F77D99" w:rsidRDefault="00D03C84" w:rsidP="00D03C84">
      <w:pPr>
        <w:pStyle w:val="FootnoteText"/>
        <w:rPr>
          <w:rFonts w:ascii="Book Antiqua" w:hAnsi="Book Antiqua"/>
        </w:rPr>
      </w:pPr>
      <w:r w:rsidRPr="00F77D99">
        <w:rPr>
          <w:rStyle w:val="FootnoteReference"/>
          <w:rFonts w:ascii="Book Antiqua" w:hAnsi="Book Antiqua"/>
        </w:rPr>
        <w:footnoteRef/>
      </w:r>
      <w:r w:rsidRPr="00F77D99">
        <w:rPr>
          <w:rFonts w:ascii="Book Antiqua" w:hAnsi="Book Antiqua"/>
        </w:rPr>
        <w:t xml:space="preserve"> </w:t>
      </w:r>
      <w:r w:rsidRPr="00F77D99">
        <w:rPr>
          <w:rFonts w:ascii="Book Antiqua" w:hAnsi="Book Antiqua"/>
          <w:i/>
        </w:rPr>
        <w:t>Id.</w:t>
      </w:r>
      <w:r w:rsidRPr="00F77D99">
        <w:rPr>
          <w:rFonts w:ascii="Book Antiqua" w:hAnsi="Book Antiqua"/>
        </w:rPr>
        <w:t xml:space="preserve"> at 6.</w:t>
      </w:r>
    </w:p>
  </w:footnote>
  <w:footnote w:id="250">
    <w:p w14:paraId="17B9A2EF" w14:textId="77777777" w:rsidR="00D03C84" w:rsidRDefault="00D03C84" w:rsidP="00D03C84">
      <w:pPr>
        <w:pStyle w:val="FootnoteText"/>
      </w:pPr>
      <w:r w:rsidRPr="00F77D99">
        <w:rPr>
          <w:rStyle w:val="FootnoteReference"/>
          <w:rFonts w:ascii="Book Antiqua" w:hAnsi="Book Antiqua"/>
        </w:rPr>
        <w:footnoteRef/>
      </w:r>
      <w:r w:rsidRPr="00F77D99">
        <w:rPr>
          <w:rFonts w:ascii="Book Antiqua" w:hAnsi="Book Antiqua"/>
        </w:rPr>
        <w:t xml:space="preserve"> </w:t>
      </w:r>
      <w:r w:rsidRPr="00F77D99">
        <w:rPr>
          <w:rFonts w:ascii="Book Antiqua" w:hAnsi="Book Antiqua"/>
          <w:i/>
        </w:rPr>
        <w:t>Id.</w:t>
      </w:r>
      <w:r w:rsidRPr="00F77D99">
        <w:rPr>
          <w:rFonts w:ascii="Book Antiqua" w:hAnsi="Book Antiqua"/>
        </w:rPr>
        <w:t xml:space="preserve"> at 16-18.</w:t>
      </w:r>
    </w:p>
  </w:footnote>
  <w:footnote w:id="251">
    <w:p w14:paraId="750F02F2" w14:textId="77777777" w:rsidR="008E4047" w:rsidRPr="001555E3" w:rsidRDefault="008E4047" w:rsidP="008E4047">
      <w:pPr>
        <w:pStyle w:val="FootnoteText"/>
        <w:rPr>
          <w:rFonts w:ascii="Book Antiqua" w:hAnsi="Book Antiqua"/>
        </w:rPr>
      </w:pPr>
      <w:r w:rsidRPr="001555E3">
        <w:rPr>
          <w:rStyle w:val="FootnoteReference"/>
          <w:rFonts w:ascii="Book Antiqua" w:hAnsi="Book Antiqua"/>
        </w:rPr>
        <w:footnoteRef/>
      </w:r>
      <w:r w:rsidRPr="001555E3">
        <w:rPr>
          <w:rFonts w:ascii="Book Antiqua" w:hAnsi="Book Antiqua"/>
        </w:rPr>
        <w:t xml:space="preserve"> Securus, Comments on Proposed Decision at 3.</w:t>
      </w:r>
    </w:p>
  </w:footnote>
  <w:footnote w:id="252">
    <w:p w14:paraId="01B23C27" w14:textId="776F33E1" w:rsidR="008E4047" w:rsidRDefault="008E4047">
      <w:pPr>
        <w:pStyle w:val="FootnoteText"/>
      </w:pPr>
      <w:r w:rsidRPr="001555E3">
        <w:rPr>
          <w:rStyle w:val="FootnoteReference"/>
          <w:rFonts w:ascii="Book Antiqua" w:hAnsi="Book Antiqua"/>
        </w:rPr>
        <w:footnoteRef/>
      </w:r>
      <w:r w:rsidRPr="001555E3">
        <w:rPr>
          <w:rFonts w:ascii="Book Antiqua" w:hAnsi="Book Antiqua"/>
        </w:rPr>
        <w:t xml:space="preserve"> GTL, Comments on Proposed Decision at </w:t>
      </w:r>
      <w:r w:rsidR="001555E3" w:rsidRPr="001555E3">
        <w:rPr>
          <w:rFonts w:ascii="Book Antiqua" w:hAnsi="Book Antiqua"/>
        </w:rPr>
        <w:t>6</w:t>
      </w:r>
      <w:r w:rsidR="00F7759C">
        <w:rPr>
          <w:rFonts w:ascii="Book Antiqua" w:hAnsi="Book Antiqua"/>
        </w:rPr>
        <w:t xml:space="preserve"> and 9</w:t>
      </w:r>
      <w:r w:rsidRPr="001555E3">
        <w:rPr>
          <w:rFonts w:ascii="Book Antiqua" w:hAnsi="Book Antiqua"/>
        </w:rPr>
        <w:t>.</w:t>
      </w:r>
      <w:r>
        <w:t xml:space="preserve"> </w:t>
      </w:r>
    </w:p>
  </w:footnote>
  <w:footnote w:id="253">
    <w:p w14:paraId="0977B452" w14:textId="5B8088CA" w:rsidR="001D3415" w:rsidRDefault="001D3415">
      <w:pPr>
        <w:pStyle w:val="FootnoteText"/>
      </w:pPr>
      <w:r>
        <w:rPr>
          <w:rStyle w:val="FootnoteReference"/>
        </w:rPr>
        <w:footnoteRef/>
      </w:r>
      <w:r>
        <w:t xml:space="preserve"> </w:t>
      </w:r>
      <w:r w:rsidR="00FA675E" w:rsidRPr="00FA675E">
        <w:rPr>
          <w:i/>
          <w:iCs/>
        </w:rPr>
        <w:t>Id</w:t>
      </w:r>
      <w:r w:rsidR="00FA675E">
        <w:t>.</w:t>
      </w:r>
      <w:r>
        <w:t xml:space="preserve"> </w:t>
      </w:r>
      <w:r w:rsidR="00FA675E">
        <w:t xml:space="preserve">at </w:t>
      </w:r>
      <w:r w:rsidR="00295042">
        <w:t>13.</w:t>
      </w:r>
    </w:p>
  </w:footnote>
  <w:footnote w:id="254">
    <w:p w14:paraId="7D707081" w14:textId="36F51573" w:rsidR="00364906" w:rsidRPr="00FA675E" w:rsidRDefault="00364906" w:rsidP="00364906">
      <w:pPr>
        <w:pStyle w:val="FootnoteText"/>
      </w:pPr>
      <w:r>
        <w:rPr>
          <w:rStyle w:val="FootnoteReference"/>
        </w:rPr>
        <w:footnoteRef/>
      </w:r>
      <w:r>
        <w:t xml:space="preserve"> </w:t>
      </w:r>
      <w:r w:rsidR="00FA675E" w:rsidRPr="004C521D">
        <w:rPr>
          <w:rFonts w:ascii="Book Antiqua" w:hAnsi="Book Antiqua"/>
        </w:rPr>
        <w:t>Securus, Comments on Proposed Decision at 7.</w:t>
      </w:r>
    </w:p>
  </w:footnote>
  <w:footnote w:id="255">
    <w:p w14:paraId="11A6EE93" w14:textId="7AC34986" w:rsidR="00C6202C" w:rsidRPr="00C6202C" w:rsidRDefault="00C6202C">
      <w:pPr>
        <w:pStyle w:val="FootnoteText"/>
        <w:rPr>
          <w:rFonts w:ascii="Book Antiqua" w:hAnsi="Book Antiqua"/>
        </w:rPr>
      </w:pPr>
      <w:r w:rsidRPr="00C6202C">
        <w:rPr>
          <w:rStyle w:val="FootnoteReference"/>
          <w:rFonts w:ascii="Book Antiqua" w:hAnsi="Book Antiqua"/>
        </w:rPr>
        <w:footnoteRef/>
      </w:r>
      <w:r w:rsidRPr="00C6202C">
        <w:rPr>
          <w:rFonts w:ascii="Book Antiqua" w:hAnsi="Book Antiqua"/>
        </w:rPr>
        <w:t xml:space="preserve"> GTL, Comments on Proposed Decision at 13-14. </w:t>
      </w:r>
    </w:p>
  </w:footnote>
  <w:footnote w:id="256">
    <w:p w14:paraId="470C508B" w14:textId="1BB7EB86" w:rsidR="00A43898" w:rsidRPr="00A43898" w:rsidRDefault="00A43898">
      <w:pPr>
        <w:pStyle w:val="FootnoteText"/>
        <w:rPr>
          <w:rFonts w:ascii="Book Antiqua" w:hAnsi="Book Antiqua"/>
        </w:rPr>
      </w:pPr>
      <w:r w:rsidRPr="00A43898">
        <w:rPr>
          <w:rStyle w:val="FootnoteReference"/>
          <w:rFonts w:ascii="Book Antiqua" w:hAnsi="Book Antiqua"/>
        </w:rPr>
        <w:footnoteRef/>
      </w:r>
      <w:r w:rsidRPr="00A43898">
        <w:rPr>
          <w:rFonts w:ascii="Book Antiqua" w:hAnsi="Book Antiqua"/>
        </w:rPr>
        <w:t xml:space="preserve"> Securus, Comments on Proposed Decision at 12.</w:t>
      </w:r>
    </w:p>
  </w:footnote>
  <w:footnote w:id="257">
    <w:p w14:paraId="5572B82E" w14:textId="02B632F1" w:rsidR="00A542EE" w:rsidRDefault="00A542EE">
      <w:pPr>
        <w:pStyle w:val="FootnoteText"/>
      </w:pPr>
      <w:r>
        <w:rPr>
          <w:rStyle w:val="FootnoteReference"/>
        </w:rPr>
        <w:footnoteRef/>
      </w:r>
      <w:r>
        <w:t xml:space="preserve"> GTL, Comments on Proposed Decision at </w:t>
      </w:r>
      <w:r w:rsidR="00824B74">
        <w:t>11.</w:t>
      </w:r>
    </w:p>
  </w:footnote>
  <w:footnote w:id="258">
    <w:p w14:paraId="769643AF" w14:textId="2B7C0EFC" w:rsidR="000432F4" w:rsidRDefault="000432F4">
      <w:pPr>
        <w:pStyle w:val="FootnoteText"/>
      </w:pPr>
      <w:r>
        <w:rPr>
          <w:rStyle w:val="FootnoteReference"/>
        </w:rPr>
        <w:footnoteRef/>
      </w:r>
      <w:r>
        <w:t xml:space="preserve"> </w:t>
      </w:r>
      <w:r w:rsidRPr="000432F4">
        <w:t>Rule 10.1 of the Commission’s Rules of Practice and Procedure (Rules) provide for discovery from parties.  However, to form part of the record of this proceeding, parties would have needed to append cost data to opening or reply comments on the Staff Proposal, with a request to file confidential data under seal pursuant to Rule 11.4. if needed, or to have filed a motion for leave to file evidence (Rule 13.6), exhibits (Rule 13.7), or prepared testimony (Rule 13.8), or to have filed a motion to hold evidentiary hearings (Rule 11.1).</w:t>
      </w:r>
    </w:p>
  </w:footnote>
  <w:footnote w:id="259">
    <w:p w14:paraId="1DB6F5DC" w14:textId="2DCB2992" w:rsidR="006E4980" w:rsidRPr="00F5044E" w:rsidRDefault="006E4980">
      <w:pPr>
        <w:pStyle w:val="FootnoteText"/>
        <w:rPr>
          <w:rFonts w:ascii="Book Antiqua" w:hAnsi="Book Antiqua"/>
        </w:rPr>
      </w:pPr>
      <w:r w:rsidRPr="00F5044E">
        <w:rPr>
          <w:rStyle w:val="FootnoteReference"/>
          <w:rFonts w:ascii="Book Antiqua" w:hAnsi="Book Antiqua"/>
        </w:rPr>
        <w:footnoteRef/>
      </w:r>
      <w:r w:rsidRPr="00F5044E">
        <w:rPr>
          <w:rFonts w:ascii="Book Antiqua" w:hAnsi="Book Antiqua"/>
        </w:rPr>
        <w:t xml:space="preserve"> Securus, Comments on Proposed Decision at 12 note</w:t>
      </w:r>
      <w:r w:rsidR="00F5044E">
        <w:rPr>
          <w:rFonts w:ascii="Book Antiqua" w:hAnsi="Book Antiqua"/>
        </w:rPr>
        <w:t>s</w:t>
      </w:r>
      <w:r w:rsidRPr="00F5044E">
        <w:rPr>
          <w:rFonts w:ascii="Book Antiqua" w:hAnsi="Book Antiqua"/>
        </w:rPr>
        <w:t xml:space="preserve"> that Securus pro</w:t>
      </w:r>
      <w:r w:rsidR="00F5044E" w:rsidRPr="00F5044E">
        <w:rPr>
          <w:rFonts w:ascii="Book Antiqua" w:hAnsi="Book Antiqua"/>
        </w:rPr>
        <w:t xml:space="preserve">duced to Cal Advocates a “comprehensive cost study” that it provided to the FCC. </w:t>
      </w:r>
    </w:p>
  </w:footnote>
  <w:footnote w:id="260">
    <w:p w14:paraId="45AC2F96" w14:textId="29E78F42" w:rsidR="73BF4038" w:rsidRPr="00966284" w:rsidRDefault="73BF4038" w:rsidP="00F95753">
      <w:pPr>
        <w:pStyle w:val="FootnoteText"/>
        <w:rPr>
          <w:rFonts w:ascii="Book Antiqua" w:hAnsi="Book Antiqua"/>
          <w:szCs w:val="22"/>
        </w:rPr>
      </w:pPr>
      <w:r w:rsidRPr="0034465D">
        <w:rPr>
          <w:rStyle w:val="FootnoteReference"/>
          <w:rFonts w:ascii="Book Antiqua" w:hAnsi="Book Antiqua"/>
          <w:szCs w:val="22"/>
        </w:rPr>
        <w:footnoteRef/>
      </w:r>
      <w:r w:rsidRPr="0034465D">
        <w:rPr>
          <w:rFonts w:ascii="Book Antiqua" w:hAnsi="Book Antiqua"/>
          <w:szCs w:val="22"/>
        </w:rPr>
        <w:t xml:space="preserve"> Securus</w:t>
      </w:r>
      <w:r w:rsidR="0034465D" w:rsidRPr="0034465D">
        <w:rPr>
          <w:rFonts w:ascii="Book Antiqua" w:hAnsi="Book Antiqua"/>
          <w:szCs w:val="22"/>
        </w:rPr>
        <w:t xml:space="preserve">, </w:t>
      </w:r>
      <w:r w:rsidRPr="0034465D">
        <w:rPr>
          <w:rFonts w:ascii="Book Antiqua" w:hAnsi="Book Antiqua"/>
          <w:szCs w:val="22"/>
        </w:rPr>
        <w:t>Opening Comments</w:t>
      </w:r>
      <w:r w:rsidR="0034465D" w:rsidRPr="0034465D">
        <w:rPr>
          <w:rFonts w:ascii="Book Antiqua" w:hAnsi="Book Antiqua"/>
          <w:szCs w:val="22"/>
        </w:rPr>
        <w:t xml:space="preserve"> on Proposed Decision at </w:t>
      </w:r>
      <w:r w:rsidRPr="0034465D">
        <w:rPr>
          <w:rFonts w:ascii="Book Antiqua" w:hAnsi="Book Antiqua"/>
          <w:szCs w:val="22"/>
        </w:rPr>
        <w:t>7, fn. 30</w:t>
      </w:r>
      <w:r w:rsidR="005B7496">
        <w:rPr>
          <w:rFonts w:ascii="Book Antiqua" w:hAnsi="Book Antiqua"/>
          <w:szCs w:val="22"/>
        </w:rPr>
        <w:t xml:space="preserve">, </w:t>
      </w:r>
      <w:r w:rsidR="005B7496">
        <w:rPr>
          <w:rFonts w:ascii="Book Antiqua" w:hAnsi="Book Antiqua"/>
          <w:i/>
          <w:iCs/>
          <w:szCs w:val="22"/>
        </w:rPr>
        <w:t>citing</w:t>
      </w:r>
      <w:r w:rsidR="005B7496">
        <w:rPr>
          <w:rFonts w:ascii="Book Antiqua" w:hAnsi="Book Antiqua"/>
          <w:szCs w:val="22"/>
        </w:rPr>
        <w:t xml:space="preserve"> </w:t>
      </w:r>
      <w:r w:rsidRPr="00F95753">
        <w:rPr>
          <w:rFonts w:ascii="Book Antiqua" w:hAnsi="Book Antiqua"/>
          <w:i/>
          <w:iCs/>
          <w:szCs w:val="22"/>
        </w:rPr>
        <w:t>Ponderosa Tel. Co. v. Cal. Pub. Util. Comm.</w:t>
      </w:r>
      <w:r w:rsidR="005B7496">
        <w:rPr>
          <w:rFonts w:ascii="Book Antiqua" w:hAnsi="Book Antiqua"/>
          <w:szCs w:val="22"/>
        </w:rPr>
        <w:t xml:space="preserve"> (2019)</w:t>
      </w:r>
      <w:r w:rsidRPr="00966284">
        <w:rPr>
          <w:rFonts w:ascii="Book Antiqua" w:hAnsi="Book Antiqua"/>
          <w:szCs w:val="22"/>
        </w:rPr>
        <w:t xml:space="preserve"> 36 Cal.App.5th 999, 1015.</w:t>
      </w:r>
    </w:p>
  </w:footnote>
  <w:footnote w:id="261">
    <w:p w14:paraId="73C1EF6E" w14:textId="0FD6BE50" w:rsidR="00FA3395" w:rsidRPr="00966284" w:rsidRDefault="00FA3395">
      <w:pPr>
        <w:pStyle w:val="FootnoteText"/>
      </w:pPr>
      <w:r w:rsidRPr="00966284">
        <w:rPr>
          <w:rStyle w:val="FootnoteReference"/>
        </w:rPr>
        <w:footnoteRef/>
      </w:r>
      <w:r w:rsidR="0034465D" w:rsidRPr="00966284">
        <w:t xml:space="preserve"> </w:t>
      </w:r>
      <w:r w:rsidR="00A95461" w:rsidRPr="00966284">
        <w:rPr>
          <w:i/>
          <w:iCs/>
        </w:rPr>
        <w:t xml:space="preserve">Ponderosa Tel. Co. v. Cal. Pub. Util. </w:t>
      </w:r>
      <w:proofErr w:type="gramStart"/>
      <w:r w:rsidR="00A95461" w:rsidRPr="00966284">
        <w:rPr>
          <w:i/>
          <w:iCs/>
        </w:rPr>
        <w:t>Comm</w:t>
      </w:r>
      <w:r w:rsidR="005B7496">
        <w:t xml:space="preserve"> </w:t>
      </w:r>
      <w:r w:rsidR="00A95461" w:rsidRPr="00966284">
        <w:rPr>
          <w:i/>
          <w:iCs/>
        </w:rPr>
        <w:t>.</w:t>
      </w:r>
      <w:proofErr w:type="gramEnd"/>
      <w:r w:rsidR="005B7496">
        <w:t>(2019)</w:t>
      </w:r>
      <w:r w:rsidR="00874CC6">
        <w:t xml:space="preserve"> </w:t>
      </w:r>
      <w:r w:rsidR="00A95461" w:rsidRPr="00966284">
        <w:t xml:space="preserve">36 Cal.App.5th 999, </w:t>
      </w:r>
      <w:r w:rsidR="005B7496">
        <w:t>10</w:t>
      </w:r>
      <w:r w:rsidR="003F589B" w:rsidRPr="00966284">
        <w:t>19</w:t>
      </w:r>
      <w:r w:rsidR="005B7496">
        <w:t>.</w:t>
      </w:r>
    </w:p>
  </w:footnote>
  <w:footnote w:id="262">
    <w:p w14:paraId="733A07A2" w14:textId="02A0DFF5" w:rsidR="00965859" w:rsidRDefault="00965859">
      <w:pPr>
        <w:pStyle w:val="FootnoteText"/>
      </w:pPr>
      <w:r w:rsidRPr="00966284">
        <w:rPr>
          <w:rStyle w:val="FootnoteReference"/>
          <w:rFonts w:ascii="Book Antiqua" w:hAnsi="Book Antiqua"/>
        </w:rPr>
        <w:footnoteRef/>
      </w:r>
      <w:r w:rsidRPr="00966284">
        <w:rPr>
          <w:rFonts w:ascii="Book Antiqua" w:hAnsi="Book Antiqua"/>
        </w:rPr>
        <w:t xml:space="preserve"> </w:t>
      </w:r>
      <w:r w:rsidR="00E716A7" w:rsidRPr="00966284">
        <w:rPr>
          <w:rFonts w:ascii="Book Antiqua" w:hAnsi="Book Antiqua"/>
          <w:i/>
          <w:iCs/>
        </w:rPr>
        <w:t>Ibid,</w:t>
      </w:r>
      <w:r w:rsidR="00E716A7" w:rsidRPr="00966284">
        <w:rPr>
          <w:rFonts w:ascii="Book Antiqua" w:hAnsi="Book Antiqua"/>
        </w:rPr>
        <w:t xml:space="preserve"> </w:t>
      </w:r>
      <w:r w:rsidR="00303EAC">
        <w:rPr>
          <w:rFonts w:ascii="Book Antiqua" w:hAnsi="Book Antiqua"/>
          <w:i/>
          <w:iCs/>
        </w:rPr>
        <w:t>citing</w:t>
      </w:r>
      <w:r w:rsidRPr="00966284">
        <w:rPr>
          <w:rFonts w:ascii="Book Antiqua" w:hAnsi="Book Antiqua"/>
        </w:rPr>
        <w:t xml:space="preserve"> </w:t>
      </w:r>
      <w:r w:rsidRPr="00C9169B">
        <w:rPr>
          <w:rFonts w:ascii="Book Antiqua" w:hAnsi="Book Antiqua"/>
          <w:i/>
        </w:rPr>
        <w:t>Duquesne</w:t>
      </w:r>
      <w:r w:rsidR="00E00E20" w:rsidRPr="00C9169B">
        <w:rPr>
          <w:rFonts w:ascii="Book Antiqua" w:hAnsi="Book Antiqua"/>
          <w:i/>
          <w:iCs/>
        </w:rPr>
        <w:t xml:space="preserve"> Light Co. </w:t>
      </w:r>
      <w:r w:rsidR="00303EAC" w:rsidRPr="00C9169B">
        <w:rPr>
          <w:rFonts w:ascii="Book Antiqua" w:hAnsi="Book Antiqua"/>
          <w:i/>
          <w:iCs/>
        </w:rPr>
        <w:t>v</w:t>
      </w:r>
      <w:r w:rsidR="00E00E20" w:rsidRPr="00C9169B">
        <w:rPr>
          <w:rFonts w:ascii="Book Antiqua" w:hAnsi="Book Antiqua"/>
          <w:i/>
          <w:iCs/>
        </w:rPr>
        <w:t xml:space="preserve">. </w:t>
      </w:r>
      <w:proofErr w:type="spellStart"/>
      <w:r w:rsidR="00E00E20" w:rsidRPr="00C9169B">
        <w:rPr>
          <w:rFonts w:ascii="Book Antiqua" w:hAnsi="Book Antiqua"/>
          <w:i/>
          <w:iCs/>
        </w:rPr>
        <w:t>Barasch</w:t>
      </w:r>
      <w:proofErr w:type="spellEnd"/>
      <w:r w:rsidR="00E00E20" w:rsidRPr="00966284">
        <w:rPr>
          <w:rFonts w:ascii="Book Antiqua" w:hAnsi="Book Antiqua"/>
        </w:rPr>
        <w:t xml:space="preserve"> (1989)</w:t>
      </w:r>
      <w:r w:rsidRPr="00966284">
        <w:rPr>
          <w:rFonts w:ascii="Book Antiqua" w:hAnsi="Book Antiqua"/>
        </w:rPr>
        <w:t xml:space="preserve"> 488 U.S. </w:t>
      </w:r>
      <w:r w:rsidR="00A315FD" w:rsidRPr="00966284">
        <w:rPr>
          <w:rFonts w:ascii="Book Antiqua" w:hAnsi="Book Antiqua"/>
        </w:rPr>
        <w:t>299</w:t>
      </w:r>
      <w:r w:rsidR="00C9169B">
        <w:rPr>
          <w:rFonts w:ascii="Book Antiqua" w:hAnsi="Book Antiqua"/>
        </w:rPr>
        <w:t>,</w:t>
      </w:r>
      <w:r w:rsidRPr="00966284">
        <w:rPr>
          <w:rFonts w:ascii="Book Antiqua" w:hAnsi="Book Antiqua"/>
        </w:rPr>
        <w:t xml:space="preserve"> 308</w:t>
      </w:r>
      <w:r>
        <w:rPr>
          <w:rFonts w:ascii="Book Antiqua" w:hAnsi="Book Antiqua"/>
        </w:rPr>
        <w:t>;</w:t>
      </w:r>
      <w:r w:rsidRPr="00966284">
        <w:rPr>
          <w:rFonts w:ascii="Book Antiqua" w:hAnsi="Book Antiqua"/>
        </w:rPr>
        <w:t xml:space="preserve"> </w:t>
      </w:r>
      <w:r w:rsidRPr="00C9169B">
        <w:rPr>
          <w:rFonts w:ascii="Book Antiqua" w:hAnsi="Book Antiqua"/>
          <w:i/>
        </w:rPr>
        <w:t>Fed</w:t>
      </w:r>
      <w:r w:rsidR="00C9169B" w:rsidRPr="00C9169B">
        <w:rPr>
          <w:rFonts w:ascii="Book Antiqua" w:hAnsi="Book Antiqua"/>
          <w:i/>
          <w:iCs/>
        </w:rPr>
        <w:t>.</w:t>
      </w:r>
      <w:r w:rsidRPr="00C9169B">
        <w:rPr>
          <w:rFonts w:ascii="Book Antiqua" w:hAnsi="Book Antiqua"/>
          <w:i/>
        </w:rPr>
        <w:t xml:space="preserve"> Power</w:t>
      </w:r>
      <w:r w:rsidR="00C1380E" w:rsidRPr="00C9169B">
        <w:rPr>
          <w:rFonts w:ascii="Book Antiqua" w:hAnsi="Book Antiqua"/>
          <w:i/>
          <w:iCs/>
        </w:rPr>
        <w:t xml:space="preserve"> Com</w:t>
      </w:r>
      <w:r w:rsidR="00C9169B" w:rsidRPr="00C9169B">
        <w:rPr>
          <w:rFonts w:ascii="Book Antiqua" w:hAnsi="Book Antiqua"/>
          <w:i/>
          <w:iCs/>
        </w:rPr>
        <w:t>.</w:t>
      </w:r>
      <w:r w:rsidR="00C1380E" w:rsidRPr="00C9169B">
        <w:rPr>
          <w:rFonts w:ascii="Book Antiqua" w:hAnsi="Book Antiqua"/>
          <w:i/>
          <w:iCs/>
        </w:rPr>
        <w:t xml:space="preserve"> v. Hope Natural Gas Co.</w:t>
      </w:r>
      <w:r w:rsidR="00C1380E" w:rsidRPr="00966284">
        <w:rPr>
          <w:rFonts w:ascii="Book Antiqua" w:hAnsi="Book Antiqua"/>
        </w:rPr>
        <w:t xml:space="preserve"> (1944) 320</w:t>
      </w:r>
      <w:r w:rsidRPr="00965859">
        <w:rPr>
          <w:rFonts w:ascii="Book Antiqua" w:hAnsi="Book Antiqua"/>
        </w:rPr>
        <w:t xml:space="preserve"> U.S. </w:t>
      </w:r>
      <w:r w:rsidR="00C1380E" w:rsidRPr="00966284">
        <w:rPr>
          <w:rFonts w:ascii="Book Antiqua" w:hAnsi="Book Antiqua"/>
        </w:rPr>
        <w:t>591</w:t>
      </w:r>
      <w:r w:rsidR="00C9169B">
        <w:rPr>
          <w:rFonts w:ascii="Book Antiqua" w:hAnsi="Book Antiqua"/>
        </w:rPr>
        <w:t>,</w:t>
      </w:r>
      <w:r w:rsidRPr="00965859">
        <w:rPr>
          <w:rFonts w:ascii="Book Antiqua" w:hAnsi="Book Antiqua"/>
        </w:rPr>
        <w:t xml:space="preserve"> 585-586.</w:t>
      </w:r>
    </w:p>
  </w:footnote>
  <w:footnote w:id="263">
    <w:p w14:paraId="4A9C6741" w14:textId="6375CA54" w:rsidR="222DBE68" w:rsidRDefault="222DBE68" w:rsidP="00F95753">
      <w:pPr>
        <w:pStyle w:val="FootnoteText"/>
      </w:pPr>
      <w:r w:rsidRPr="222DBE68">
        <w:rPr>
          <w:rStyle w:val="FootnoteReference"/>
          <w:szCs w:val="22"/>
        </w:rPr>
        <w:footnoteRef/>
      </w:r>
      <w:r w:rsidRPr="222DBE68">
        <w:rPr>
          <w:szCs w:val="22"/>
        </w:rPr>
        <w:t xml:space="preserve"> </w:t>
      </w:r>
      <w:r w:rsidRPr="00F95753">
        <w:rPr>
          <w:i/>
          <w:iCs/>
          <w:szCs w:val="22"/>
        </w:rPr>
        <w:t>Pub</w:t>
      </w:r>
      <w:r w:rsidR="00303EAC">
        <w:rPr>
          <w:i/>
          <w:iCs/>
          <w:szCs w:val="22"/>
        </w:rPr>
        <w:t>.</w:t>
      </w:r>
      <w:r w:rsidRPr="00F95753">
        <w:rPr>
          <w:i/>
          <w:iCs/>
          <w:szCs w:val="22"/>
        </w:rPr>
        <w:t xml:space="preserve"> Serv</w:t>
      </w:r>
      <w:r w:rsidR="00303EAC">
        <w:rPr>
          <w:i/>
          <w:iCs/>
          <w:szCs w:val="22"/>
        </w:rPr>
        <w:t>.</w:t>
      </w:r>
      <w:r w:rsidRPr="00F95753">
        <w:rPr>
          <w:i/>
          <w:iCs/>
          <w:szCs w:val="22"/>
        </w:rPr>
        <w:t xml:space="preserve"> Com</w:t>
      </w:r>
      <w:r w:rsidR="00C9169B">
        <w:rPr>
          <w:i/>
          <w:iCs/>
          <w:szCs w:val="22"/>
        </w:rPr>
        <w:t>.</w:t>
      </w:r>
      <w:r w:rsidRPr="00F95753">
        <w:rPr>
          <w:i/>
          <w:iCs/>
          <w:szCs w:val="22"/>
        </w:rPr>
        <w:t xml:space="preserve"> of Montana v. Great Northern Utilities Co.</w:t>
      </w:r>
      <w:r w:rsidRPr="222DBE68">
        <w:rPr>
          <w:szCs w:val="22"/>
        </w:rPr>
        <w:t xml:space="preserve"> (1933) 289 U.S. 130, 136-137, (italics added.)</w:t>
      </w:r>
    </w:p>
  </w:footnote>
  <w:footnote w:id="264">
    <w:p w14:paraId="2CBA38FA" w14:textId="6EBA73BF" w:rsidR="00846C2E" w:rsidRDefault="00846C2E">
      <w:pPr>
        <w:pStyle w:val="FootnoteText"/>
      </w:pPr>
      <w:r>
        <w:rPr>
          <w:rStyle w:val="FootnoteReference"/>
        </w:rPr>
        <w:footnoteRef/>
      </w:r>
      <w:r>
        <w:t xml:space="preserve"> </w:t>
      </w:r>
      <w:r w:rsidRPr="00E431AE">
        <w:rPr>
          <w:rFonts w:ascii="Book Antiqua" w:hAnsi="Book Antiqua"/>
        </w:rPr>
        <w:t>NCIC Inmate Communications, Comments on Proposed Decision at 3.</w:t>
      </w:r>
    </w:p>
  </w:footnote>
  <w:footnote w:id="265">
    <w:p w14:paraId="3D567933" w14:textId="35D2604E" w:rsidR="00506724" w:rsidRPr="00E431AE" w:rsidRDefault="00506724">
      <w:pPr>
        <w:pStyle w:val="FootnoteText"/>
        <w:rPr>
          <w:rFonts w:ascii="Book Antiqua" w:hAnsi="Book Antiqua"/>
        </w:rPr>
      </w:pPr>
      <w:r w:rsidRPr="00E431AE">
        <w:rPr>
          <w:rStyle w:val="FootnoteReference"/>
          <w:rFonts w:ascii="Book Antiqua" w:hAnsi="Book Antiqua"/>
        </w:rPr>
        <w:footnoteRef/>
      </w:r>
      <w:r w:rsidRPr="00E431AE">
        <w:rPr>
          <w:rFonts w:ascii="Book Antiqua" w:hAnsi="Book Antiqua"/>
        </w:rPr>
        <w:t xml:space="preserve"> </w:t>
      </w:r>
      <w:r w:rsidR="00846C2E" w:rsidRPr="00846C2E">
        <w:rPr>
          <w:rFonts w:ascii="Book Antiqua" w:hAnsi="Book Antiqua"/>
          <w:i/>
          <w:iCs/>
        </w:rPr>
        <w:t>Ibid.</w:t>
      </w:r>
    </w:p>
  </w:footnote>
  <w:footnote w:id="266">
    <w:p w14:paraId="0B94344D" w14:textId="02EC3BAC" w:rsidR="004B5EC4" w:rsidRPr="00D66D06" w:rsidRDefault="004B5EC4">
      <w:pPr>
        <w:pStyle w:val="FootnoteText"/>
        <w:rPr>
          <w:rFonts w:ascii="Book Antiqua" w:hAnsi="Book Antiqua"/>
        </w:rPr>
      </w:pPr>
      <w:r w:rsidRPr="00D66D06">
        <w:rPr>
          <w:rStyle w:val="FootnoteReference"/>
          <w:rFonts w:ascii="Book Antiqua" w:hAnsi="Book Antiqua"/>
        </w:rPr>
        <w:footnoteRef/>
      </w:r>
      <w:r w:rsidRPr="00D66D06">
        <w:rPr>
          <w:rFonts w:ascii="Book Antiqua" w:hAnsi="Book Antiqua"/>
        </w:rPr>
        <w:t xml:space="preserve"> GTL, Comments on Proposed Decision at </w:t>
      </w:r>
      <w:r w:rsidR="000B0640" w:rsidRPr="00D66D06">
        <w:rPr>
          <w:rFonts w:ascii="Book Antiqua" w:hAnsi="Book Antiqua"/>
        </w:rPr>
        <w:t xml:space="preserve">14.  </w:t>
      </w:r>
    </w:p>
  </w:footnote>
  <w:footnote w:id="267">
    <w:p w14:paraId="00EC4207" w14:textId="31B3E163" w:rsidR="006C0095" w:rsidRDefault="006C0095">
      <w:pPr>
        <w:pStyle w:val="FootnoteText"/>
      </w:pPr>
      <w:r w:rsidRPr="00D66D06">
        <w:rPr>
          <w:rStyle w:val="FootnoteReference"/>
          <w:rFonts w:ascii="Book Antiqua" w:hAnsi="Book Antiqua"/>
        </w:rPr>
        <w:footnoteRef/>
      </w:r>
      <w:r w:rsidRPr="00D66D06">
        <w:rPr>
          <w:rFonts w:ascii="Book Antiqua" w:hAnsi="Book Antiqua"/>
        </w:rPr>
        <w:t xml:space="preserve"> </w:t>
      </w:r>
      <w:r w:rsidRPr="00D82963">
        <w:rPr>
          <w:rFonts w:ascii="Book Antiqua" w:hAnsi="Book Antiqua"/>
          <w:i/>
          <w:iCs/>
        </w:rPr>
        <w:t>Id.</w:t>
      </w:r>
      <w:r w:rsidRPr="00D66D06">
        <w:rPr>
          <w:rFonts w:ascii="Book Antiqua" w:hAnsi="Book Antiqua"/>
        </w:rPr>
        <w:t xml:space="preserve"> at </w:t>
      </w:r>
      <w:r w:rsidR="00D66D06" w:rsidRPr="00D66D06">
        <w:rPr>
          <w:rFonts w:ascii="Book Antiqua" w:hAnsi="Book Antiqua"/>
        </w:rPr>
        <w:t>2-3.</w:t>
      </w:r>
      <w:r w:rsidR="00D66D06">
        <w:t xml:space="preserve"> </w:t>
      </w:r>
    </w:p>
  </w:footnote>
  <w:footnote w:id="268">
    <w:p w14:paraId="16166EB8" w14:textId="77777777" w:rsidR="000C38A2" w:rsidRPr="00AB15CE" w:rsidRDefault="000C38A2" w:rsidP="000C38A2">
      <w:pPr>
        <w:pStyle w:val="FootnoteText"/>
        <w:rPr>
          <w:rFonts w:ascii="Book Antiqua" w:hAnsi="Book Antiqua"/>
        </w:rPr>
      </w:pPr>
      <w:r w:rsidRPr="00AB15CE">
        <w:rPr>
          <w:rStyle w:val="FootnoteReference"/>
          <w:rFonts w:ascii="Book Antiqua" w:hAnsi="Book Antiqua"/>
        </w:rPr>
        <w:footnoteRef/>
      </w:r>
      <w:r w:rsidRPr="00AB15CE">
        <w:rPr>
          <w:rFonts w:ascii="Book Antiqua" w:hAnsi="Book Antiqua"/>
        </w:rPr>
        <w:t xml:space="preserve"> Securus, Comments on Proposed Decision at 11. </w:t>
      </w:r>
    </w:p>
  </w:footnote>
  <w:footnote w:id="269">
    <w:p w14:paraId="00E08ED9" w14:textId="6092D9F2" w:rsidR="00640367" w:rsidRDefault="00640367">
      <w:pPr>
        <w:pStyle w:val="FootnoteText"/>
      </w:pPr>
      <w:r>
        <w:rPr>
          <w:rStyle w:val="FootnoteReference"/>
        </w:rPr>
        <w:footnoteRef/>
      </w:r>
      <w:r>
        <w:t xml:space="preserve"> </w:t>
      </w:r>
      <w:r w:rsidR="00D82963" w:rsidRPr="00D82963">
        <w:rPr>
          <w:i/>
          <w:iCs/>
        </w:rPr>
        <w:t>Id.</w:t>
      </w:r>
      <w:r w:rsidR="00D82963">
        <w:t xml:space="preserve"> at 10</w:t>
      </w:r>
      <w:r w:rsidR="000506BE">
        <w:t>.</w:t>
      </w:r>
    </w:p>
  </w:footnote>
  <w:footnote w:id="270">
    <w:p w14:paraId="1ED2B561" w14:textId="7F87085A" w:rsidR="73BF4038" w:rsidRPr="002D4D30" w:rsidRDefault="73BF4038" w:rsidP="00F95753">
      <w:pPr>
        <w:pStyle w:val="FootnoteText"/>
        <w:rPr>
          <w:rFonts w:ascii="Book Antiqua" w:hAnsi="Book Antiqua"/>
          <w:szCs w:val="22"/>
        </w:rPr>
      </w:pPr>
      <w:r w:rsidRPr="002D4D30">
        <w:rPr>
          <w:rStyle w:val="FootnoteReference"/>
          <w:rFonts w:ascii="Book Antiqua" w:hAnsi="Book Antiqua"/>
          <w:szCs w:val="22"/>
        </w:rPr>
        <w:footnoteRef/>
      </w:r>
      <w:r w:rsidRPr="002D4D30">
        <w:rPr>
          <w:rFonts w:ascii="Book Antiqua" w:hAnsi="Book Antiqua"/>
          <w:szCs w:val="22"/>
        </w:rPr>
        <w:t xml:space="preserve"> Securus</w:t>
      </w:r>
      <w:r w:rsidR="002D4D30" w:rsidRPr="002D4D30">
        <w:rPr>
          <w:rFonts w:ascii="Book Antiqua" w:hAnsi="Book Antiqua"/>
          <w:szCs w:val="22"/>
        </w:rPr>
        <w:t xml:space="preserve">, </w:t>
      </w:r>
      <w:r w:rsidRPr="002D4D30">
        <w:rPr>
          <w:rFonts w:ascii="Book Antiqua" w:hAnsi="Book Antiqua"/>
          <w:szCs w:val="22"/>
        </w:rPr>
        <w:t>Opening Comments</w:t>
      </w:r>
      <w:r w:rsidR="002D4D30" w:rsidRPr="002D4D30">
        <w:rPr>
          <w:rFonts w:ascii="Book Antiqua" w:hAnsi="Book Antiqua"/>
          <w:szCs w:val="22"/>
        </w:rPr>
        <w:t xml:space="preserve"> on Proposed Decision at</w:t>
      </w:r>
      <w:r w:rsidRPr="002D4D30">
        <w:rPr>
          <w:rFonts w:ascii="Book Antiqua" w:hAnsi="Book Antiqua"/>
          <w:szCs w:val="22"/>
        </w:rPr>
        <w:t xml:space="preserve"> 1-2.</w:t>
      </w:r>
    </w:p>
  </w:footnote>
  <w:footnote w:id="271">
    <w:p w14:paraId="4204C883" w14:textId="7A587468" w:rsidR="222DBE68" w:rsidRPr="002D4D30" w:rsidRDefault="222DBE68" w:rsidP="00F95753">
      <w:pPr>
        <w:pStyle w:val="FootnoteText"/>
        <w:rPr>
          <w:rFonts w:ascii="Book Antiqua" w:hAnsi="Book Antiqua"/>
          <w:szCs w:val="22"/>
        </w:rPr>
      </w:pPr>
      <w:r w:rsidRPr="002D4D30">
        <w:rPr>
          <w:rStyle w:val="FootnoteReference"/>
          <w:rFonts w:ascii="Book Antiqua" w:hAnsi="Book Antiqua"/>
          <w:szCs w:val="22"/>
        </w:rPr>
        <w:footnoteRef/>
      </w:r>
      <w:r w:rsidRPr="002D4D30">
        <w:rPr>
          <w:rFonts w:ascii="Book Antiqua" w:hAnsi="Book Antiqua"/>
          <w:szCs w:val="22"/>
        </w:rPr>
        <w:t xml:space="preserve"> GTL</w:t>
      </w:r>
      <w:r w:rsidR="002D4D30" w:rsidRPr="002D4D30">
        <w:rPr>
          <w:rFonts w:ascii="Book Antiqua" w:hAnsi="Book Antiqua"/>
          <w:szCs w:val="22"/>
        </w:rPr>
        <w:t>,</w:t>
      </w:r>
      <w:r w:rsidRPr="002D4D30">
        <w:rPr>
          <w:rFonts w:ascii="Book Antiqua" w:hAnsi="Book Antiqua"/>
          <w:szCs w:val="22"/>
        </w:rPr>
        <w:t xml:space="preserve"> Opening Comments</w:t>
      </w:r>
      <w:r w:rsidR="002D4D30" w:rsidRPr="002D4D30">
        <w:rPr>
          <w:rFonts w:ascii="Book Antiqua" w:hAnsi="Book Antiqua"/>
          <w:szCs w:val="22"/>
        </w:rPr>
        <w:t xml:space="preserve"> on Proposed Decision at </w:t>
      </w:r>
      <w:r w:rsidRPr="002D4D30">
        <w:rPr>
          <w:rFonts w:ascii="Book Antiqua" w:hAnsi="Book Antiqua"/>
          <w:szCs w:val="22"/>
        </w:rPr>
        <w:t>12.</w:t>
      </w:r>
    </w:p>
  </w:footnote>
  <w:footnote w:id="272">
    <w:p w14:paraId="1900573D" w14:textId="1848F2A5" w:rsidR="73BF4038" w:rsidRPr="002D4D30" w:rsidRDefault="73BF4038" w:rsidP="00F95753">
      <w:pPr>
        <w:pStyle w:val="FootnoteText"/>
        <w:rPr>
          <w:rFonts w:ascii="Book Antiqua" w:hAnsi="Book Antiqua"/>
          <w:szCs w:val="22"/>
        </w:rPr>
      </w:pPr>
      <w:r w:rsidRPr="002D4D30">
        <w:rPr>
          <w:rStyle w:val="FootnoteReference"/>
          <w:rFonts w:ascii="Book Antiqua" w:hAnsi="Book Antiqua"/>
          <w:szCs w:val="22"/>
        </w:rPr>
        <w:footnoteRef/>
      </w:r>
      <w:r w:rsidRPr="002D4D30">
        <w:rPr>
          <w:rFonts w:ascii="Book Antiqua" w:hAnsi="Book Antiqua"/>
          <w:szCs w:val="22"/>
        </w:rPr>
        <w:t xml:space="preserve"> Securus</w:t>
      </w:r>
      <w:r w:rsidR="002D4D30" w:rsidRPr="002D4D30">
        <w:rPr>
          <w:rFonts w:ascii="Book Antiqua" w:hAnsi="Book Antiqua"/>
          <w:szCs w:val="22"/>
        </w:rPr>
        <w:t xml:space="preserve">, </w:t>
      </w:r>
      <w:r w:rsidRPr="002D4D30">
        <w:rPr>
          <w:rFonts w:ascii="Book Antiqua" w:hAnsi="Book Antiqua"/>
          <w:szCs w:val="22"/>
        </w:rPr>
        <w:t>Opening Comments</w:t>
      </w:r>
      <w:r w:rsidR="002D4D30" w:rsidRPr="002D4D30">
        <w:rPr>
          <w:rFonts w:ascii="Book Antiqua" w:hAnsi="Book Antiqua"/>
          <w:szCs w:val="22"/>
        </w:rPr>
        <w:t xml:space="preserve"> on Proposed Decision at</w:t>
      </w:r>
      <w:r w:rsidRPr="002D4D30">
        <w:rPr>
          <w:rFonts w:ascii="Book Antiqua" w:hAnsi="Book Antiqua"/>
          <w:szCs w:val="22"/>
        </w:rPr>
        <w:t>. 7-9.</w:t>
      </w:r>
    </w:p>
  </w:footnote>
  <w:footnote w:id="273">
    <w:p w14:paraId="430169E9" w14:textId="03C46827" w:rsidR="222DBE68" w:rsidRPr="002D4D30" w:rsidRDefault="222DBE68" w:rsidP="00F95753">
      <w:pPr>
        <w:pStyle w:val="FootnoteText"/>
        <w:rPr>
          <w:rFonts w:ascii="Book Antiqua" w:hAnsi="Book Antiqua"/>
          <w:szCs w:val="22"/>
        </w:rPr>
      </w:pPr>
      <w:r w:rsidRPr="002D4D30">
        <w:rPr>
          <w:rStyle w:val="FootnoteReference"/>
          <w:rFonts w:ascii="Book Antiqua" w:hAnsi="Book Antiqua"/>
          <w:szCs w:val="22"/>
        </w:rPr>
        <w:footnoteRef/>
      </w:r>
      <w:r w:rsidRPr="002D4D30">
        <w:rPr>
          <w:rFonts w:ascii="Book Antiqua" w:hAnsi="Book Antiqua"/>
          <w:szCs w:val="22"/>
        </w:rPr>
        <w:t xml:space="preserve"> GTL</w:t>
      </w:r>
      <w:r w:rsidR="002D4D30" w:rsidRPr="002D4D30">
        <w:rPr>
          <w:rFonts w:ascii="Book Antiqua" w:hAnsi="Book Antiqua"/>
          <w:szCs w:val="22"/>
        </w:rPr>
        <w:t xml:space="preserve">, </w:t>
      </w:r>
      <w:r w:rsidRPr="002D4D30">
        <w:rPr>
          <w:rFonts w:ascii="Book Antiqua" w:hAnsi="Book Antiqua"/>
          <w:szCs w:val="22"/>
        </w:rPr>
        <w:t>Opening Comments</w:t>
      </w:r>
      <w:r w:rsidR="002D4D30" w:rsidRPr="002D4D30">
        <w:rPr>
          <w:rFonts w:ascii="Book Antiqua" w:hAnsi="Book Antiqua"/>
          <w:szCs w:val="22"/>
        </w:rPr>
        <w:t xml:space="preserve"> on Proposed Decision at </w:t>
      </w:r>
      <w:r w:rsidRPr="002D4D30">
        <w:rPr>
          <w:rFonts w:ascii="Book Antiqua" w:hAnsi="Book Antiqua"/>
          <w:szCs w:val="22"/>
        </w:rPr>
        <w:t>8-11.</w:t>
      </w:r>
    </w:p>
  </w:footnote>
  <w:footnote w:id="274">
    <w:p w14:paraId="0CB7C3F8" w14:textId="270C333A" w:rsidR="222DBE68" w:rsidRPr="00F95753" w:rsidRDefault="222DBE68" w:rsidP="00F95753">
      <w:pPr>
        <w:pStyle w:val="FootnoteText"/>
        <w:rPr>
          <w:szCs w:val="22"/>
        </w:rPr>
      </w:pPr>
      <w:r w:rsidRPr="002D4D30">
        <w:rPr>
          <w:rStyle w:val="FootnoteReference"/>
          <w:rFonts w:ascii="Book Antiqua" w:hAnsi="Book Antiqua"/>
          <w:szCs w:val="22"/>
        </w:rPr>
        <w:footnoteRef/>
      </w:r>
      <w:r w:rsidRPr="00F95753">
        <w:rPr>
          <w:rFonts w:ascii="Book Antiqua" w:hAnsi="Book Antiqua"/>
          <w:i/>
          <w:iCs/>
          <w:szCs w:val="22"/>
        </w:rPr>
        <w:t xml:space="preserve"> Ponderosa Tel. Co. v. Cal. Pub. Util. Com.</w:t>
      </w:r>
      <w:r w:rsidRPr="002D4D30">
        <w:rPr>
          <w:rFonts w:ascii="Book Antiqua" w:hAnsi="Book Antiqua"/>
          <w:szCs w:val="22"/>
        </w:rPr>
        <w:t xml:space="preserve">, 36 Cal.App.5th 999, 1015 (2019) citing to </w:t>
      </w:r>
      <w:r w:rsidRPr="00F95753">
        <w:rPr>
          <w:rFonts w:ascii="Book Antiqua" w:hAnsi="Book Antiqua"/>
          <w:i/>
          <w:iCs/>
          <w:szCs w:val="22"/>
        </w:rPr>
        <w:t>Pacific Gas &amp; Elec</w:t>
      </w:r>
      <w:r w:rsidR="007F2D46">
        <w:rPr>
          <w:rFonts w:ascii="Book Antiqua" w:hAnsi="Book Antiqua"/>
          <w:i/>
          <w:iCs/>
          <w:szCs w:val="22"/>
        </w:rPr>
        <w:t>.</w:t>
      </w:r>
      <w:r w:rsidRPr="00F95753">
        <w:rPr>
          <w:rFonts w:ascii="Book Antiqua" w:hAnsi="Book Antiqua"/>
          <w:i/>
          <w:iCs/>
          <w:szCs w:val="22"/>
        </w:rPr>
        <w:t xml:space="preserve"> Co. v.</w:t>
      </w:r>
      <w:r w:rsidRPr="002D4D30">
        <w:rPr>
          <w:rFonts w:ascii="Book Antiqua" w:hAnsi="Book Antiqua"/>
          <w:i/>
          <w:iCs/>
          <w:szCs w:val="22"/>
        </w:rPr>
        <w:t xml:space="preserve"> </w:t>
      </w:r>
      <w:r w:rsidRPr="00F95753">
        <w:rPr>
          <w:rFonts w:ascii="Book Antiqua" w:hAnsi="Book Antiqua"/>
          <w:i/>
          <w:iCs/>
          <w:szCs w:val="22"/>
        </w:rPr>
        <w:t>Pub</w:t>
      </w:r>
      <w:r w:rsidR="007F2D46">
        <w:rPr>
          <w:rFonts w:ascii="Book Antiqua" w:hAnsi="Book Antiqua"/>
          <w:i/>
          <w:iCs/>
          <w:szCs w:val="22"/>
        </w:rPr>
        <w:t>.</w:t>
      </w:r>
      <w:r w:rsidRPr="00F95753">
        <w:rPr>
          <w:rFonts w:ascii="Book Antiqua" w:hAnsi="Book Antiqua"/>
          <w:i/>
          <w:iCs/>
          <w:szCs w:val="22"/>
        </w:rPr>
        <w:t xml:space="preserve"> Util</w:t>
      </w:r>
      <w:r w:rsidR="007F2D46">
        <w:rPr>
          <w:rFonts w:ascii="Book Antiqua" w:hAnsi="Book Antiqua"/>
          <w:i/>
          <w:iCs/>
          <w:szCs w:val="22"/>
        </w:rPr>
        <w:t>.</w:t>
      </w:r>
      <w:r w:rsidRPr="00F95753">
        <w:rPr>
          <w:rFonts w:ascii="Book Antiqua" w:hAnsi="Book Antiqua"/>
          <w:i/>
          <w:iCs/>
          <w:szCs w:val="22"/>
        </w:rPr>
        <w:t xml:space="preserve"> Com.</w:t>
      </w:r>
      <w:r w:rsidRPr="002D4D30">
        <w:rPr>
          <w:rFonts w:ascii="Book Antiqua" w:hAnsi="Book Antiqua"/>
          <w:szCs w:val="22"/>
        </w:rPr>
        <w:t xml:space="preserve"> (2015) 237 Cal.App.4th 812, 838.</w:t>
      </w:r>
    </w:p>
  </w:footnote>
  <w:footnote w:id="275">
    <w:p w14:paraId="42C27D65" w14:textId="6EB54170" w:rsidR="006C7E53" w:rsidRPr="00D67F2A" w:rsidRDefault="006C7E53">
      <w:pPr>
        <w:pStyle w:val="FootnoteText"/>
        <w:rPr>
          <w:rFonts w:ascii="Book Antiqua" w:hAnsi="Book Antiqua"/>
        </w:rPr>
      </w:pPr>
      <w:r w:rsidRPr="00D67F2A">
        <w:rPr>
          <w:rStyle w:val="FootnoteReference"/>
          <w:rFonts w:ascii="Book Antiqua" w:hAnsi="Book Antiqua"/>
        </w:rPr>
        <w:footnoteRef/>
      </w:r>
      <w:r w:rsidRPr="00D67F2A">
        <w:rPr>
          <w:rFonts w:ascii="Book Antiqua" w:hAnsi="Book Antiqua"/>
        </w:rPr>
        <w:t xml:space="preserve"> Prison Policy Initiative, Comments on Proposed Decision at 1-2</w:t>
      </w:r>
      <w:r w:rsidR="00851FDC" w:rsidRPr="00D67F2A">
        <w:rPr>
          <w:rFonts w:ascii="Book Antiqua" w:hAnsi="Book Antiqua"/>
        </w:rPr>
        <w:t>.  Section 1013(a) states that “[</w:t>
      </w:r>
      <w:r w:rsidR="00D67F2A" w:rsidRPr="00D67F2A">
        <w:rPr>
          <w:rFonts w:ascii="Book Antiqua" w:hAnsi="Book Antiqua"/>
        </w:rPr>
        <w:t xml:space="preserve">t]elephone corporations that the </w:t>
      </w:r>
      <w:r w:rsidR="00D67F2A">
        <w:rPr>
          <w:rFonts w:ascii="Book Antiqua" w:hAnsi="Book Antiqua"/>
        </w:rPr>
        <w:t>C</w:t>
      </w:r>
      <w:r w:rsidR="00D67F2A" w:rsidRPr="00D67F2A">
        <w:rPr>
          <w:rFonts w:ascii="Book Antiqua" w:hAnsi="Book Antiqua"/>
        </w:rPr>
        <w:t>ommission determines have monopoly power or market power in a relevant market or markets shall have a certificate of public convenience and necessity and shall not be eligible for designation as registered telephone corporations.”</w:t>
      </w:r>
    </w:p>
  </w:footnote>
  <w:footnote w:id="276">
    <w:p w14:paraId="297D1E14" w14:textId="57B90737" w:rsidR="006C287A" w:rsidRDefault="006C287A">
      <w:pPr>
        <w:pStyle w:val="FootnoteText"/>
      </w:pPr>
      <w:r>
        <w:rPr>
          <w:rStyle w:val="FootnoteReference"/>
        </w:rPr>
        <w:footnoteRef/>
      </w:r>
      <w:r>
        <w:t xml:space="preserve"> </w:t>
      </w:r>
      <w:r w:rsidRPr="00A549D6">
        <w:rPr>
          <w:i/>
          <w:iCs/>
        </w:rPr>
        <w:t>Id.</w:t>
      </w:r>
      <w:r>
        <w:t xml:space="preserve"> at 2. </w:t>
      </w:r>
    </w:p>
  </w:footnote>
  <w:footnote w:id="277">
    <w:p w14:paraId="63789161" w14:textId="39ACA123" w:rsidR="00DC6235" w:rsidRDefault="00DC6235">
      <w:pPr>
        <w:pStyle w:val="FootnoteText"/>
      </w:pPr>
      <w:r>
        <w:rPr>
          <w:rStyle w:val="FootnoteReference"/>
        </w:rPr>
        <w:footnoteRef/>
      </w:r>
      <w:r>
        <w:t xml:space="preserve"> </w:t>
      </w:r>
      <w:r w:rsidRPr="00DC6235">
        <w:t>Securus, Comments on Proposed Decision at 13</w:t>
      </w:r>
      <w:r>
        <w:t>.</w:t>
      </w:r>
    </w:p>
  </w:footnote>
  <w:footnote w:id="278">
    <w:p w14:paraId="2FD2FC29" w14:textId="75C42CF2" w:rsidR="009C56EC" w:rsidRPr="00761706" w:rsidRDefault="009C56EC">
      <w:pPr>
        <w:pStyle w:val="FootnoteText"/>
        <w:rPr>
          <w:rFonts w:ascii="Book Antiqua" w:hAnsi="Book Antiqua"/>
        </w:rPr>
      </w:pPr>
      <w:r w:rsidRPr="00761706">
        <w:rPr>
          <w:rStyle w:val="FootnoteReference"/>
          <w:rFonts w:ascii="Book Antiqua" w:hAnsi="Book Antiqua"/>
        </w:rPr>
        <w:footnoteRef/>
      </w:r>
      <w:r w:rsidR="00DC6235" w:rsidRPr="00DC6235">
        <w:rPr>
          <w:rFonts w:ascii="Book Antiqua" w:hAnsi="Book Antiqua"/>
          <w:i/>
          <w:iCs/>
        </w:rPr>
        <w:t>Ibid</w:t>
      </w:r>
      <w:r w:rsidR="00D538E4" w:rsidRPr="00761706">
        <w:rPr>
          <w:rFonts w:ascii="Book Antiqua" w:hAnsi="Book Antiqua"/>
        </w:rPr>
        <w:t xml:space="preserve">, citing the FCC 2020 Order at ¶ 53. </w:t>
      </w:r>
    </w:p>
  </w:footnote>
  <w:footnote w:id="279">
    <w:p w14:paraId="362BFEB3" w14:textId="70687D05" w:rsidR="00761706" w:rsidRDefault="00761706">
      <w:pPr>
        <w:pStyle w:val="FootnoteText"/>
      </w:pPr>
      <w:r w:rsidRPr="00761706">
        <w:rPr>
          <w:rStyle w:val="FootnoteReference"/>
          <w:rFonts w:ascii="Book Antiqua" w:hAnsi="Book Antiqua"/>
        </w:rPr>
        <w:footnoteRef/>
      </w:r>
      <w:r w:rsidRPr="00761706">
        <w:rPr>
          <w:rFonts w:ascii="Book Antiqua" w:hAnsi="Book Antiqua"/>
        </w:rPr>
        <w:t xml:space="preserve"> FCC 2020 Order at ¶ 52.</w:t>
      </w:r>
    </w:p>
  </w:footnote>
  <w:footnote w:id="280">
    <w:p w14:paraId="1351A948" w14:textId="2E094F3A" w:rsidR="001D444B" w:rsidRPr="00EA1FFB" w:rsidRDefault="001D444B">
      <w:pPr>
        <w:pStyle w:val="FootnoteText"/>
        <w:rPr>
          <w:rFonts w:ascii="Book Antiqua" w:hAnsi="Book Antiqua"/>
        </w:rPr>
      </w:pPr>
      <w:r w:rsidRPr="00EA1FFB">
        <w:rPr>
          <w:rStyle w:val="FootnoteReference"/>
          <w:rFonts w:ascii="Book Antiqua" w:hAnsi="Book Antiqua"/>
        </w:rPr>
        <w:footnoteRef/>
      </w:r>
      <w:r w:rsidRPr="00EA1FFB">
        <w:rPr>
          <w:rFonts w:ascii="Book Antiqua" w:hAnsi="Book Antiqua"/>
        </w:rPr>
        <w:t xml:space="preserve"> </w:t>
      </w:r>
      <w:r w:rsidR="00526032" w:rsidRPr="00EA1FFB">
        <w:rPr>
          <w:rFonts w:ascii="Book Antiqua" w:hAnsi="Book Antiqua"/>
          <w:i/>
          <w:iCs/>
        </w:rPr>
        <w:t>Id</w:t>
      </w:r>
      <w:r w:rsidR="00526032" w:rsidRPr="00EA1FFB">
        <w:rPr>
          <w:rFonts w:ascii="Book Antiqua" w:hAnsi="Book Antiqua"/>
        </w:rPr>
        <w:t xml:space="preserve">. at </w:t>
      </w:r>
      <w:r w:rsidR="00EA1FFB" w:rsidRPr="00EA1FFB">
        <w:rPr>
          <w:rFonts w:ascii="Book Antiqua" w:hAnsi="Book Antiqua"/>
        </w:rPr>
        <w:t xml:space="preserve">¶ </w:t>
      </w:r>
      <w:r w:rsidR="00526032" w:rsidRPr="00EA1FFB">
        <w:rPr>
          <w:rFonts w:ascii="Book Antiqua" w:hAnsi="Book Antiqua"/>
        </w:rPr>
        <w:t xml:space="preserve">53. </w:t>
      </w:r>
    </w:p>
  </w:footnote>
  <w:footnote w:id="281">
    <w:p w14:paraId="74811383" w14:textId="35DC1460" w:rsidR="00D44510" w:rsidRDefault="00D44510">
      <w:pPr>
        <w:pStyle w:val="FootnoteText"/>
      </w:pPr>
      <w:r w:rsidRPr="00EA1FFB">
        <w:rPr>
          <w:rStyle w:val="FootnoteReference"/>
          <w:rFonts w:ascii="Book Antiqua" w:hAnsi="Book Antiqua"/>
        </w:rPr>
        <w:footnoteRef/>
      </w:r>
      <w:r w:rsidRPr="00EA1FFB">
        <w:rPr>
          <w:rFonts w:ascii="Book Antiqua" w:hAnsi="Book Antiqua"/>
        </w:rPr>
        <w:t xml:space="preserve"> </w:t>
      </w:r>
      <w:r w:rsidRPr="00EA1FFB">
        <w:rPr>
          <w:rFonts w:ascii="Book Antiqua" w:hAnsi="Book Antiqua"/>
          <w:i/>
          <w:iCs/>
        </w:rPr>
        <w:t>Id.</w:t>
      </w:r>
      <w:r w:rsidRPr="00EA1FFB">
        <w:rPr>
          <w:rFonts w:ascii="Book Antiqua" w:hAnsi="Book Antiqua"/>
        </w:rPr>
        <w:t xml:space="preserve"> at </w:t>
      </w:r>
      <w:r w:rsidR="00EA1FFB" w:rsidRPr="00EA1FFB">
        <w:rPr>
          <w:rFonts w:ascii="Book Antiqua" w:hAnsi="Book Antiqua"/>
        </w:rPr>
        <w:t>¶ 48.</w:t>
      </w:r>
      <w:r w:rsidR="00EA1FFB">
        <w:t xml:space="preserve"> </w:t>
      </w:r>
    </w:p>
  </w:footnote>
  <w:footnote w:id="282">
    <w:p w14:paraId="347EDC26" w14:textId="77777777" w:rsidR="00FB2DA1" w:rsidRPr="007B1CF4" w:rsidRDefault="00FB2DA1" w:rsidP="00FB2DA1">
      <w:pPr>
        <w:pStyle w:val="FootnoteText"/>
        <w:rPr>
          <w:rFonts w:ascii="Book Antiqua" w:hAnsi="Book Antiqua"/>
        </w:rPr>
      </w:pPr>
      <w:r w:rsidRPr="006C5F2B">
        <w:rPr>
          <w:rStyle w:val="FootnoteReference"/>
          <w:rFonts w:ascii="Book Antiqua" w:hAnsi="Book Antiqua"/>
        </w:rPr>
        <w:footnoteRef/>
      </w:r>
      <w:r w:rsidRPr="006C5F2B">
        <w:rPr>
          <w:rFonts w:ascii="Book Antiqua" w:hAnsi="Book Antiqua"/>
        </w:rPr>
        <w:t xml:space="preserve"> TURN, Reply Comments on Staff Proposal at 15, citing at FCC Third Order at 97, ¶ 218; 2020 Order on Remand, para. 47 (2020) (stating that “to the extent a state allows or requires an inmate calling services provider to impose fees lower than those contained in our rules, that state law or requirement is not preempted by our action here”); </w:t>
      </w:r>
      <w:r w:rsidRPr="006C5F2B">
        <w:rPr>
          <w:rFonts w:ascii="Book Antiqua" w:hAnsi="Book Antiqua"/>
          <w:i/>
        </w:rPr>
        <w:t>See also</w:t>
      </w:r>
      <w:r w:rsidRPr="006C5F2B">
        <w:rPr>
          <w:rFonts w:ascii="Book Antiqua" w:hAnsi="Book Antiqua"/>
        </w:rPr>
        <w:t xml:space="preserve"> Third Order at ¶ 271, ¶ </w:t>
      </w:r>
      <w:r w:rsidRPr="007B1CF4">
        <w:rPr>
          <w:rFonts w:ascii="Book Antiqua" w:hAnsi="Book Antiqua"/>
        </w:rPr>
        <w:t xml:space="preserve">254; 2020 Order on Remand at ¶ 217. </w:t>
      </w:r>
    </w:p>
  </w:footnote>
  <w:footnote w:id="283">
    <w:p w14:paraId="6D8DF069" w14:textId="5FB0875C" w:rsidR="002C3984" w:rsidRPr="00C150AE" w:rsidRDefault="002C3984">
      <w:pPr>
        <w:pStyle w:val="FootnoteText"/>
        <w:rPr>
          <w:rFonts w:ascii="Book Antiqua" w:hAnsi="Book Antiqua"/>
          <w:szCs w:val="22"/>
        </w:rPr>
      </w:pPr>
      <w:r>
        <w:rPr>
          <w:rStyle w:val="FootnoteReference"/>
        </w:rPr>
        <w:footnoteRef/>
      </w:r>
      <w:r>
        <w:t xml:space="preserve"> </w:t>
      </w:r>
      <w:r w:rsidR="00C150AE" w:rsidRPr="00C150AE">
        <w:rPr>
          <w:rFonts w:ascii="Book Antiqua" w:hAnsi="Book Antiqua"/>
          <w:szCs w:val="22"/>
        </w:rPr>
        <w:t>Staff recognizes the sensitivity in the use of the term ‘inmate’ in this Staff Proposal, however, we use the term to be consistent with FCC as the framework is adopted and use the term ‘incarcerated’ as appropriate.</w:t>
      </w:r>
    </w:p>
  </w:footnote>
  <w:footnote w:id="284">
    <w:p w14:paraId="7266076E" w14:textId="77777777" w:rsidR="00400A0E" w:rsidRPr="00C150AE" w:rsidRDefault="00400A0E" w:rsidP="00400A0E">
      <w:pPr>
        <w:spacing w:before="77" w:line="223" w:lineRule="auto"/>
        <w:ind w:right="109"/>
        <w:rPr>
          <w:rFonts w:ascii="Book Antiqua" w:hAnsi="Book Antiqua"/>
          <w:sz w:val="22"/>
          <w:szCs w:val="22"/>
        </w:rPr>
      </w:pPr>
      <w:r w:rsidRPr="00C150AE">
        <w:rPr>
          <w:rStyle w:val="FootnoteReference"/>
          <w:rFonts w:ascii="Book Antiqua" w:hAnsi="Book Antiqua"/>
          <w:sz w:val="22"/>
          <w:szCs w:val="22"/>
        </w:rPr>
        <w:footnoteRef/>
      </w:r>
      <w:r w:rsidRPr="00C150AE">
        <w:rPr>
          <w:rFonts w:ascii="Book Antiqua" w:hAnsi="Book Antiqua"/>
          <w:sz w:val="22"/>
          <w:szCs w:val="22"/>
        </w:rPr>
        <w:t xml:space="preserve"> </w:t>
      </w:r>
      <w:r w:rsidRPr="00C150AE">
        <w:rPr>
          <w:rFonts w:ascii="Book Antiqua" w:hAnsi="Book Antiqua"/>
          <w:spacing w:val="-4"/>
          <w:sz w:val="22"/>
          <w:szCs w:val="22"/>
        </w:rPr>
        <w:t>As</w:t>
      </w:r>
      <w:r w:rsidRPr="00C150AE">
        <w:rPr>
          <w:rFonts w:ascii="Book Antiqua" w:hAnsi="Book Antiqua"/>
          <w:spacing w:val="-10"/>
          <w:sz w:val="22"/>
          <w:szCs w:val="22"/>
        </w:rPr>
        <w:t xml:space="preserve"> </w:t>
      </w:r>
      <w:r w:rsidRPr="00C150AE">
        <w:rPr>
          <w:rFonts w:ascii="Book Antiqua" w:hAnsi="Book Antiqua"/>
          <w:sz w:val="22"/>
          <w:szCs w:val="22"/>
        </w:rPr>
        <w:t>described</w:t>
      </w:r>
      <w:r w:rsidRPr="00C150AE">
        <w:rPr>
          <w:rFonts w:ascii="Book Antiqua" w:hAnsi="Book Antiqua"/>
          <w:spacing w:val="-17"/>
          <w:sz w:val="22"/>
          <w:szCs w:val="22"/>
        </w:rPr>
        <w:t xml:space="preserve"> </w:t>
      </w:r>
      <w:r w:rsidRPr="00C150AE">
        <w:rPr>
          <w:rFonts w:ascii="Book Antiqua" w:hAnsi="Book Antiqua"/>
          <w:spacing w:val="-5"/>
          <w:sz w:val="22"/>
          <w:szCs w:val="22"/>
        </w:rPr>
        <w:t>in</w:t>
      </w:r>
      <w:r w:rsidRPr="00C150AE">
        <w:rPr>
          <w:rFonts w:ascii="Book Antiqua" w:hAnsi="Book Antiqua"/>
          <w:spacing w:val="-16"/>
          <w:sz w:val="22"/>
          <w:szCs w:val="22"/>
        </w:rPr>
        <w:t xml:space="preserve"> </w:t>
      </w:r>
      <w:r w:rsidRPr="00C150AE">
        <w:rPr>
          <w:rFonts w:ascii="Book Antiqua" w:hAnsi="Book Antiqua"/>
          <w:spacing w:val="4"/>
          <w:sz w:val="22"/>
          <w:szCs w:val="22"/>
        </w:rPr>
        <w:t>the</w:t>
      </w:r>
      <w:r w:rsidRPr="00C150AE">
        <w:rPr>
          <w:rFonts w:ascii="Book Antiqua" w:hAnsi="Book Antiqua"/>
          <w:spacing w:val="-18"/>
          <w:sz w:val="22"/>
          <w:szCs w:val="22"/>
        </w:rPr>
        <w:t xml:space="preserve"> </w:t>
      </w:r>
      <w:r w:rsidRPr="00C150AE">
        <w:rPr>
          <w:rFonts w:ascii="Book Antiqua" w:hAnsi="Book Antiqua"/>
          <w:sz w:val="22"/>
          <w:szCs w:val="22"/>
        </w:rPr>
        <w:t>January</w:t>
      </w:r>
      <w:r w:rsidRPr="00C150AE">
        <w:rPr>
          <w:rFonts w:ascii="Book Antiqua" w:hAnsi="Book Antiqua"/>
          <w:spacing w:val="-31"/>
          <w:sz w:val="22"/>
          <w:szCs w:val="22"/>
        </w:rPr>
        <w:t xml:space="preserve"> </w:t>
      </w:r>
      <w:r w:rsidRPr="00C150AE">
        <w:rPr>
          <w:rFonts w:ascii="Book Antiqua" w:hAnsi="Book Antiqua"/>
          <w:spacing w:val="4"/>
          <w:sz w:val="22"/>
          <w:szCs w:val="22"/>
        </w:rPr>
        <w:t>12,</w:t>
      </w:r>
      <w:r w:rsidRPr="00C150AE">
        <w:rPr>
          <w:rFonts w:ascii="Book Antiqua" w:hAnsi="Book Antiqua"/>
          <w:spacing w:val="-27"/>
          <w:sz w:val="22"/>
          <w:szCs w:val="22"/>
        </w:rPr>
        <w:t xml:space="preserve"> </w:t>
      </w:r>
      <w:r w:rsidRPr="00C150AE">
        <w:rPr>
          <w:rFonts w:ascii="Book Antiqua" w:hAnsi="Book Antiqua"/>
          <w:sz w:val="22"/>
          <w:szCs w:val="22"/>
        </w:rPr>
        <w:t>2021</w:t>
      </w:r>
      <w:r w:rsidRPr="00C150AE">
        <w:rPr>
          <w:rFonts w:ascii="Book Antiqua" w:hAnsi="Book Antiqua"/>
          <w:spacing w:val="-31"/>
          <w:sz w:val="22"/>
          <w:szCs w:val="22"/>
        </w:rPr>
        <w:t xml:space="preserve"> </w:t>
      </w:r>
      <w:r w:rsidRPr="00C150AE">
        <w:rPr>
          <w:rFonts w:ascii="Book Antiqua" w:hAnsi="Book Antiqua"/>
          <w:spacing w:val="-3"/>
          <w:sz w:val="22"/>
          <w:szCs w:val="22"/>
        </w:rPr>
        <w:t>Assigned</w:t>
      </w:r>
      <w:r w:rsidRPr="00C150AE">
        <w:rPr>
          <w:rFonts w:ascii="Book Antiqua" w:hAnsi="Book Antiqua"/>
          <w:spacing w:val="-17"/>
          <w:sz w:val="22"/>
          <w:szCs w:val="22"/>
        </w:rPr>
        <w:t xml:space="preserve"> </w:t>
      </w:r>
      <w:r w:rsidRPr="00C150AE">
        <w:rPr>
          <w:rFonts w:ascii="Book Antiqua" w:hAnsi="Book Antiqua"/>
          <w:spacing w:val="-4"/>
          <w:sz w:val="22"/>
          <w:szCs w:val="22"/>
        </w:rPr>
        <w:t>Commissioner’s</w:t>
      </w:r>
      <w:r w:rsidRPr="00C150AE">
        <w:rPr>
          <w:rFonts w:ascii="Book Antiqua" w:hAnsi="Book Antiqua"/>
          <w:spacing w:val="-25"/>
          <w:sz w:val="22"/>
          <w:szCs w:val="22"/>
        </w:rPr>
        <w:t xml:space="preserve"> </w:t>
      </w:r>
      <w:r w:rsidRPr="00C150AE">
        <w:rPr>
          <w:rFonts w:ascii="Book Antiqua" w:hAnsi="Book Antiqua"/>
          <w:sz w:val="22"/>
          <w:szCs w:val="22"/>
        </w:rPr>
        <w:t>Scoping</w:t>
      </w:r>
      <w:r w:rsidRPr="00C150AE">
        <w:rPr>
          <w:rFonts w:ascii="Book Antiqua" w:hAnsi="Book Antiqua"/>
          <w:spacing w:val="-31"/>
          <w:sz w:val="22"/>
          <w:szCs w:val="22"/>
        </w:rPr>
        <w:t xml:space="preserve"> </w:t>
      </w:r>
      <w:r w:rsidRPr="00C150AE">
        <w:rPr>
          <w:rFonts w:ascii="Book Antiqua" w:hAnsi="Book Antiqua"/>
          <w:sz w:val="22"/>
          <w:szCs w:val="22"/>
        </w:rPr>
        <w:t>Memo</w:t>
      </w:r>
      <w:r w:rsidRPr="00C150AE">
        <w:rPr>
          <w:rFonts w:ascii="Book Antiqua" w:hAnsi="Book Antiqua"/>
          <w:spacing w:val="-16"/>
          <w:sz w:val="22"/>
          <w:szCs w:val="22"/>
        </w:rPr>
        <w:t xml:space="preserve"> </w:t>
      </w:r>
      <w:r w:rsidRPr="00C150AE">
        <w:rPr>
          <w:rFonts w:ascii="Book Antiqua" w:hAnsi="Book Antiqua"/>
          <w:sz w:val="22"/>
          <w:szCs w:val="22"/>
        </w:rPr>
        <w:t>and</w:t>
      </w:r>
      <w:r w:rsidRPr="00C150AE">
        <w:rPr>
          <w:rFonts w:ascii="Book Antiqua" w:hAnsi="Book Antiqua"/>
          <w:spacing w:val="-17"/>
          <w:sz w:val="22"/>
          <w:szCs w:val="22"/>
        </w:rPr>
        <w:t xml:space="preserve"> </w:t>
      </w:r>
      <w:r w:rsidRPr="00C150AE">
        <w:rPr>
          <w:rFonts w:ascii="Book Antiqua" w:hAnsi="Book Antiqua"/>
          <w:spacing w:val="-3"/>
          <w:sz w:val="22"/>
          <w:szCs w:val="22"/>
        </w:rPr>
        <w:t>Ruling</w:t>
      </w:r>
      <w:r w:rsidRPr="00C150AE">
        <w:rPr>
          <w:rFonts w:ascii="Book Antiqua" w:hAnsi="Book Antiqua"/>
          <w:spacing w:val="-22"/>
          <w:sz w:val="22"/>
          <w:szCs w:val="22"/>
        </w:rPr>
        <w:t xml:space="preserve"> </w:t>
      </w:r>
      <w:r w:rsidRPr="00C150AE">
        <w:rPr>
          <w:rFonts w:ascii="Book Antiqua" w:hAnsi="Book Antiqua"/>
          <w:spacing w:val="9"/>
          <w:sz w:val="22"/>
          <w:szCs w:val="22"/>
        </w:rPr>
        <w:t>at</w:t>
      </w:r>
      <w:r w:rsidRPr="00C150AE">
        <w:rPr>
          <w:rFonts w:ascii="Book Antiqua" w:hAnsi="Book Antiqua"/>
          <w:spacing w:val="-18"/>
          <w:sz w:val="22"/>
          <w:szCs w:val="22"/>
        </w:rPr>
        <w:t xml:space="preserve"> </w:t>
      </w:r>
      <w:r w:rsidRPr="00C150AE">
        <w:rPr>
          <w:rFonts w:ascii="Book Antiqua" w:hAnsi="Book Antiqua"/>
          <w:spacing w:val="3"/>
          <w:sz w:val="22"/>
          <w:szCs w:val="22"/>
        </w:rPr>
        <w:t>23</w:t>
      </w:r>
      <w:r w:rsidRPr="00C150AE">
        <w:rPr>
          <w:rFonts w:ascii="Book Antiqua" w:hAnsi="Book Antiqua"/>
          <w:spacing w:val="-15"/>
          <w:sz w:val="22"/>
          <w:szCs w:val="22"/>
        </w:rPr>
        <w:t xml:space="preserve"> </w:t>
      </w:r>
      <w:r w:rsidRPr="00C150AE">
        <w:rPr>
          <w:rFonts w:ascii="Book Antiqua" w:hAnsi="Book Antiqua"/>
          <w:sz w:val="22"/>
          <w:szCs w:val="22"/>
        </w:rPr>
        <w:t>-</w:t>
      </w:r>
      <w:r w:rsidRPr="00C150AE">
        <w:rPr>
          <w:rFonts w:ascii="Book Antiqua" w:hAnsi="Book Antiqua"/>
          <w:spacing w:val="-28"/>
          <w:sz w:val="22"/>
          <w:szCs w:val="22"/>
        </w:rPr>
        <w:t xml:space="preserve"> </w:t>
      </w:r>
      <w:r w:rsidRPr="00C150AE">
        <w:rPr>
          <w:rFonts w:ascii="Book Antiqua" w:hAnsi="Book Antiqua"/>
          <w:spacing w:val="5"/>
          <w:sz w:val="22"/>
          <w:szCs w:val="22"/>
        </w:rPr>
        <w:t>24,</w:t>
      </w:r>
      <w:r w:rsidRPr="00C150AE">
        <w:rPr>
          <w:rFonts w:ascii="Book Antiqua" w:hAnsi="Book Antiqua"/>
          <w:spacing w:val="-26"/>
          <w:sz w:val="22"/>
          <w:szCs w:val="22"/>
        </w:rPr>
        <w:t xml:space="preserve"> </w:t>
      </w:r>
      <w:r w:rsidRPr="00C150AE">
        <w:rPr>
          <w:rFonts w:ascii="Book Antiqua" w:hAnsi="Book Antiqua"/>
          <w:spacing w:val="-4"/>
          <w:sz w:val="22"/>
          <w:szCs w:val="22"/>
        </w:rPr>
        <w:t>we</w:t>
      </w:r>
      <w:r w:rsidRPr="00C150AE">
        <w:rPr>
          <w:rFonts w:ascii="Book Antiqua" w:hAnsi="Book Antiqua"/>
          <w:spacing w:val="-21"/>
          <w:sz w:val="22"/>
          <w:szCs w:val="22"/>
        </w:rPr>
        <w:t xml:space="preserve"> </w:t>
      </w:r>
      <w:r w:rsidRPr="00C150AE">
        <w:rPr>
          <w:rFonts w:ascii="Book Antiqua" w:hAnsi="Book Antiqua"/>
          <w:spacing w:val="2"/>
          <w:sz w:val="22"/>
          <w:szCs w:val="22"/>
        </w:rPr>
        <w:t>define</w:t>
      </w:r>
      <w:r w:rsidRPr="00C150AE">
        <w:rPr>
          <w:rFonts w:ascii="Book Antiqua" w:hAnsi="Book Antiqua"/>
          <w:spacing w:val="-18"/>
          <w:sz w:val="22"/>
          <w:szCs w:val="22"/>
        </w:rPr>
        <w:t xml:space="preserve"> </w:t>
      </w:r>
      <w:r w:rsidRPr="00C150AE">
        <w:rPr>
          <w:rFonts w:ascii="Book Antiqua" w:hAnsi="Book Antiqua"/>
          <w:sz w:val="22"/>
          <w:szCs w:val="22"/>
        </w:rPr>
        <w:t>“inmate communication</w:t>
      </w:r>
      <w:r w:rsidRPr="00C150AE">
        <w:rPr>
          <w:rFonts w:ascii="Book Antiqua" w:hAnsi="Book Antiqua"/>
          <w:spacing w:val="-31"/>
          <w:sz w:val="22"/>
          <w:szCs w:val="22"/>
        </w:rPr>
        <w:t xml:space="preserve"> </w:t>
      </w:r>
      <w:r w:rsidRPr="00C150AE">
        <w:rPr>
          <w:rFonts w:ascii="Book Antiqua" w:hAnsi="Book Antiqua"/>
          <w:spacing w:val="-2"/>
          <w:sz w:val="22"/>
          <w:szCs w:val="22"/>
        </w:rPr>
        <w:t>services”</w:t>
      </w:r>
      <w:r w:rsidRPr="00C150AE">
        <w:rPr>
          <w:rFonts w:ascii="Book Antiqua" w:hAnsi="Book Antiqua"/>
          <w:spacing w:val="-20"/>
          <w:sz w:val="22"/>
          <w:szCs w:val="22"/>
        </w:rPr>
        <w:t xml:space="preserve"> </w:t>
      </w:r>
      <w:r w:rsidRPr="00C150AE">
        <w:rPr>
          <w:rFonts w:ascii="Book Antiqua" w:hAnsi="Book Antiqua"/>
          <w:sz w:val="22"/>
          <w:szCs w:val="22"/>
        </w:rPr>
        <w:t>as</w:t>
      </w:r>
      <w:r w:rsidRPr="00C150AE">
        <w:rPr>
          <w:rFonts w:ascii="Book Antiqua" w:hAnsi="Book Antiqua"/>
          <w:spacing w:val="-19"/>
          <w:sz w:val="22"/>
          <w:szCs w:val="22"/>
        </w:rPr>
        <w:t xml:space="preserve"> </w:t>
      </w:r>
      <w:r w:rsidRPr="00C150AE">
        <w:rPr>
          <w:rFonts w:ascii="Book Antiqua" w:hAnsi="Book Antiqua"/>
          <w:spacing w:val="2"/>
          <w:sz w:val="22"/>
          <w:szCs w:val="22"/>
        </w:rPr>
        <w:t>applying to</w:t>
      </w:r>
      <w:r w:rsidRPr="00C150AE">
        <w:rPr>
          <w:rFonts w:ascii="Book Antiqua" w:hAnsi="Book Antiqua"/>
          <w:spacing w:val="-16"/>
          <w:sz w:val="22"/>
          <w:szCs w:val="22"/>
        </w:rPr>
        <w:t xml:space="preserve"> </w:t>
      </w:r>
      <w:r w:rsidRPr="00C150AE">
        <w:rPr>
          <w:rFonts w:ascii="Book Antiqua" w:hAnsi="Book Antiqua"/>
          <w:spacing w:val="3"/>
          <w:sz w:val="22"/>
          <w:szCs w:val="22"/>
        </w:rPr>
        <w:t>any</w:t>
      </w:r>
      <w:r w:rsidRPr="00C150AE">
        <w:rPr>
          <w:rFonts w:ascii="Book Antiqua" w:hAnsi="Book Antiqua"/>
          <w:spacing w:val="-30"/>
          <w:sz w:val="22"/>
          <w:szCs w:val="22"/>
        </w:rPr>
        <w:t xml:space="preserve"> </w:t>
      </w:r>
      <w:r w:rsidRPr="00C150AE">
        <w:rPr>
          <w:rFonts w:ascii="Book Antiqua" w:hAnsi="Book Antiqua"/>
          <w:sz w:val="22"/>
          <w:szCs w:val="22"/>
        </w:rPr>
        <w:t>local,</w:t>
      </w:r>
      <w:r w:rsidRPr="00C150AE">
        <w:rPr>
          <w:rFonts w:ascii="Book Antiqua" w:hAnsi="Book Antiqua"/>
          <w:spacing w:val="-25"/>
          <w:sz w:val="22"/>
          <w:szCs w:val="22"/>
        </w:rPr>
        <w:t xml:space="preserve"> </w:t>
      </w:r>
      <w:r w:rsidRPr="00C150AE">
        <w:rPr>
          <w:rFonts w:ascii="Book Antiqua" w:hAnsi="Book Antiqua"/>
          <w:spacing w:val="2"/>
          <w:sz w:val="22"/>
          <w:szCs w:val="22"/>
        </w:rPr>
        <w:t>state,</w:t>
      </w:r>
      <w:r w:rsidRPr="00C150AE">
        <w:rPr>
          <w:rFonts w:ascii="Book Antiqua" w:hAnsi="Book Antiqua"/>
          <w:spacing w:val="-26"/>
          <w:sz w:val="22"/>
          <w:szCs w:val="22"/>
        </w:rPr>
        <w:t xml:space="preserve"> </w:t>
      </w:r>
      <w:r w:rsidRPr="00C150AE">
        <w:rPr>
          <w:rFonts w:ascii="Book Antiqua" w:hAnsi="Book Antiqua"/>
          <w:spacing w:val="3"/>
          <w:sz w:val="22"/>
          <w:szCs w:val="22"/>
        </w:rPr>
        <w:t>or</w:t>
      </w:r>
      <w:r w:rsidRPr="00C150AE">
        <w:rPr>
          <w:rFonts w:ascii="Book Antiqua" w:hAnsi="Book Antiqua"/>
          <w:spacing w:val="-27"/>
          <w:sz w:val="22"/>
          <w:szCs w:val="22"/>
        </w:rPr>
        <w:t xml:space="preserve"> </w:t>
      </w:r>
      <w:r w:rsidRPr="00C150AE">
        <w:rPr>
          <w:rFonts w:ascii="Book Antiqua" w:hAnsi="Book Antiqua"/>
          <w:sz w:val="22"/>
          <w:szCs w:val="22"/>
        </w:rPr>
        <w:t>federal correctional</w:t>
      </w:r>
      <w:r w:rsidRPr="00C150AE">
        <w:rPr>
          <w:rFonts w:ascii="Book Antiqua" w:hAnsi="Book Antiqua"/>
          <w:spacing w:val="-33"/>
          <w:sz w:val="22"/>
          <w:szCs w:val="22"/>
        </w:rPr>
        <w:t xml:space="preserve"> </w:t>
      </w:r>
      <w:r w:rsidRPr="00C150AE">
        <w:rPr>
          <w:rFonts w:ascii="Book Antiqua" w:hAnsi="Book Antiqua"/>
          <w:spacing w:val="3"/>
          <w:sz w:val="22"/>
          <w:szCs w:val="22"/>
        </w:rPr>
        <w:t>or</w:t>
      </w:r>
      <w:r w:rsidRPr="00C150AE">
        <w:rPr>
          <w:rFonts w:ascii="Book Antiqua" w:hAnsi="Book Antiqua"/>
          <w:spacing w:val="-28"/>
          <w:sz w:val="22"/>
          <w:szCs w:val="22"/>
        </w:rPr>
        <w:t xml:space="preserve"> </w:t>
      </w:r>
      <w:r w:rsidRPr="00C150AE">
        <w:rPr>
          <w:rFonts w:ascii="Book Antiqua" w:hAnsi="Book Antiqua"/>
          <w:sz w:val="22"/>
          <w:szCs w:val="22"/>
        </w:rPr>
        <w:t>detention</w:t>
      </w:r>
      <w:r w:rsidRPr="00C150AE">
        <w:rPr>
          <w:rFonts w:ascii="Book Antiqua" w:hAnsi="Book Antiqua"/>
          <w:spacing w:val="-27"/>
          <w:sz w:val="22"/>
          <w:szCs w:val="22"/>
        </w:rPr>
        <w:t xml:space="preserve"> </w:t>
      </w:r>
      <w:r w:rsidRPr="00C150AE">
        <w:rPr>
          <w:rFonts w:ascii="Book Antiqua" w:hAnsi="Book Antiqua"/>
          <w:sz w:val="22"/>
          <w:szCs w:val="22"/>
        </w:rPr>
        <w:t>facility</w:t>
      </w:r>
      <w:r w:rsidRPr="00C150AE">
        <w:rPr>
          <w:rFonts w:ascii="Book Antiqua" w:hAnsi="Book Antiqua"/>
          <w:spacing w:val="-15"/>
          <w:sz w:val="22"/>
          <w:szCs w:val="22"/>
        </w:rPr>
        <w:t xml:space="preserve"> </w:t>
      </w:r>
      <w:r w:rsidRPr="00C150AE">
        <w:rPr>
          <w:rFonts w:ascii="Book Antiqua" w:hAnsi="Book Antiqua"/>
          <w:sz w:val="22"/>
          <w:szCs w:val="22"/>
        </w:rPr>
        <w:t>type</w:t>
      </w:r>
      <w:r w:rsidRPr="00C150AE">
        <w:rPr>
          <w:rFonts w:ascii="Book Antiqua" w:hAnsi="Book Antiqua"/>
          <w:spacing w:val="-35"/>
          <w:sz w:val="22"/>
          <w:szCs w:val="22"/>
        </w:rPr>
        <w:t xml:space="preserve"> </w:t>
      </w:r>
      <w:r w:rsidRPr="00C150AE">
        <w:rPr>
          <w:rFonts w:ascii="Book Antiqua" w:hAnsi="Book Antiqua"/>
          <w:sz w:val="22"/>
          <w:szCs w:val="22"/>
        </w:rPr>
        <w:t>operated</w:t>
      </w:r>
      <w:r w:rsidRPr="00C150AE">
        <w:rPr>
          <w:rFonts w:ascii="Book Antiqua" w:hAnsi="Book Antiqua"/>
          <w:spacing w:val="-15"/>
          <w:sz w:val="22"/>
          <w:szCs w:val="22"/>
        </w:rPr>
        <w:t xml:space="preserve"> </w:t>
      </w:r>
      <w:r w:rsidRPr="00C150AE">
        <w:rPr>
          <w:rFonts w:ascii="Book Antiqua" w:hAnsi="Book Antiqua"/>
          <w:spacing w:val="-5"/>
          <w:sz w:val="22"/>
          <w:szCs w:val="22"/>
        </w:rPr>
        <w:t>in</w:t>
      </w:r>
      <w:r w:rsidRPr="00C150AE">
        <w:rPr>
          <w:rFonts w:ascii="Book Antiqua" w:hAnsi="Book Antiqua"/>
          <w:sz w:val="22"/>
          <w:szCs w:val="22"/>
        </w:rPr>
        <w:t xml:space="preserve"> California</w:t>
      </w:r>
      <w:r w:rsidRPr="00C150AE">
        <w:rPr>
          <w:rFonts w:ascii="Book Antiqua" w:hAnsi="Book Antiqua"/>
          <w:spacing w:val="-24"/>
          <w:sz w:val="22"/>
          <w:szCs w:val="22"/>
        </w:rPr>
        <w:t xml:space="preserve"> </w:t>
      </w:r>
      <w:r w:rsidRPr="00C150AE">
        <w:rPr>
          <w:rFonts w:ascii="Book Antiqua" w:hAnsi="Book Antiqua"/>
          <w:sz w:val="22"/>
          <w:szCs w:val="22"/>
        </w:rPr>
        <w:t>housing</w:t>
      </w:r>
      <w:r w:rsidRPr="00C150AE">
        <w:rPr>
          <w:rFonts w:ascii="Book Antiqua" w:hAnsi="Book Antiqua"/>
          <w:spacing w:val="-34"/>
          <w:sz w:val="22"/>
          <w:szCs w:val="22"/>
        </w:rPr>
        <w:t xml:space="preserve"> </w:t>
      </w:r>
      <w:r w:rsidRPr="00C150AE">
        <w:rPr>
          <w:rFonts w:ascii="Book Antiqua" w:hAnsi="Book Antiqua"/>
          <w:spacing w:val="2"/>
          <w:sz w:val="22"/>
          <w:szCs w:val="22"/>
        </w:rPr>
        <w:t>adults and/or</w:t>
      </w:r>
      <w:r w:rsidRPr="00C150AE">
        <w:rPr>
          <w:rFonts w:ascii="Book Antiqua" w:hAnsi="Book Antiqua"/>
          <w:spacing w:val="-32"/>
          <w:sz w:val="22"/>
          <w:szCs w:val="22"/>
        </w:rPr>
        <w:t xml:space="preserve"> </w:t>
      </w:r>
      <w:r w:rsidRPr="00C150AE">
        <w:rPr>
          <w:rFonts w:ascii="Book Antiqua" w:hAnsi="Book Antiqua"/>
          <w:sz w:val="22"/>
          <w:szCs w:val="22"/>
        </w:rPr>
        <w:t>juveniles,</w:t>
      </w:r>
      <w:r w:rsidRPr="00C150AE">
        <w:rPr>
          <w:rFonts w:ascii="Book Antiqua" w:hAnsi="Book Antiqua"/>
          <w:spacing w:val="-30"/>
          <w:sz w:val="22"/>
          <w:szCs w:val="22"/>
        </w:rPr>
        <w:t xml:space="preserve"> </w:t>
      </w:r>
      <w:r w:rsidRPr="00C150AE">
        <w:rPr>
          <w:rFonts w:ascii="Book Antiqua" w:hAnsi="Book Antiqua"/>
          <w:sz w:val="22"/>
          <w:szCs w:val="22"/>
        </w:rPr>
        <w:t>including</w:t>
      </w:r>
      <w:r w:rsidRPr="00C150AE">
        <w:rPr>
          <w:rFonts w:ascii="Book Antiqua" w:hAnsi="Book Antiqua"/>
          <w:spacing w:val="-35"/>
          <w:sz w:val="22"/>
          <w:szCs w:val="22"/>
        </w:rPr>
        <w:t xml:space="preserve"> </w:t>
      </w:r>
      <w:r w:rsidRPr="00C150AE">
        <w:rPr>
          <w:rFonts w:ascii="Book Antiqua" w:hAnsi="Book Antiqua"/>
          <w:spacing w:val="4"/>
          <w:sz w:val="22"/>
          <w:szCs w:val="22"/>
        </w:rPr>
        <w:t>but</w:t>
      </w:r>
      <w:r w:rsidRPr="00C150AE">
        <w:rPr>
          <w:rFonts w:ascii="Book Antiqua" w:hAnsi="Book Antiqua"/>
          <w:spacing w:val="-23"/>
          <w:sz w:val="22"/>
          <w:szCs w:val="22"/>
        </w:rPr>
        <w:t xml:space="preserve"> </w:t>
      </w:r>
      <w:r w:rsidRPr="00C150AE">
        <w:rPr>
          <w:rFonts w:ascii="Book Antiqua" w:hAnsi="Book Antiqua"/>
          <w:sz w:val="22"/>
          <w:szCs w:val="22"/>
        </w:rPr>
        <w:t>not</w:t>
      </w:r>
      <w:r w:rsidRPr="00C150AE">
        <w:rPr>
          <w:rFonts w:ascii="Book Antiqua" w:hAnsi="Book Antiqua"/>
          <w:spacing w:val="-24"/>
          <w:sz w:val="22"/>
          <w:szCs w:val="22"/>
        </w:rPr>
        <w:t xml:space="preserve"> </w:t>
      </w:r>
      <w:r w:rsidRPr="00C150AE">
        <w:rPr>
          <w:rFonts w:ascii="Book Antiqua" w:hAnsi="Book Antiqua"/>
          <w:sz w:val="22"/>
          <w:szCs w:val="22"/>
        </w:rPr>
        <w:t>limited</w:t>
      </w:r>
      <w:r w:rsidRPr="00C150AE">
        <w:rPr>
          <w:rFonts w:ascii="Book Antiqua" w:hAnsi="Book Antiqua"/>
          <w:spacing w:val="-34"/>
          <w:sz w:val="22"/>
          <w:szCs w:val="22"/>
        </w:rPr>
        <w:t xml:space="preserve"> </w:t>
      </w:r>
      <w:r w:rsidRPr="00C150AE">
        <w:rPr>
          <w:rFonts w:ascii="Book Antiqua" w:hAnsi="Book Antiqua"/>
          <w:spacing w:val="3"/>
          <w:sz w:val="22"/>
          <w:szCs w:val="22"/>
        </w:rPr>
        <w:t>to</w:t>
      </w:r>
      <w:r w:rsidRPr="00C150AE">
        <w:rPr>
          <w:rFonts w:ascii="Book Antiqua" w:hAnsi="Book Antiqua"/>
          <w:spacing w:val="-18"/>
          <w:sz w:val="22"/>
          <w:szCs w:val="22"/>
        </w:rPr>
        <w:t xml:space="preserve"> </w:t>
      </w:r>
      <w:r w:rsidRPr="00C150AE">
        <w:rPr>
          <w:rFonts w:ascii="Book Antiqua" w:hAnsi="Book Antiqua"/>
          <w:sz w:val="22"/>
          <w:szCs w:val="22"/>
        </w:rPr>
        <w:t>city</w:t>
      </w:r>
      <w:r w:rsidRPr="00C150AE">
        <w:rPr>
          <w:rFonts w:ascii="Book Antiqua" w:hAnsi="Book Antiqua"/>
          <w:spacing w:val="-22"/>
          <w:sz w:val="22"/>
          <w:szCs w:val="22"/>
        </w:rPr>
        <w:t xml:space="preserve"> </w:t>
      </w:r>
      <w:r w:rsidRPr="00C150AE">
        <w:rPr>
          <w:rFonts w:ascii="Book Antiqua" w:hAnsi="Book Antiqua"/>
          <w:spacing w:val="3"/>
          <w:sz w:val="22"/>
          <w:szCs w:val="22"/>
        </w:rPr>
        <w:t>and</w:t>
      </w:r>
      <w:r w:rsidRPr="00C150AE">
        <w:rPr>
          <w:rFonts w:ascii="Book Antiqua" w:hAnsi="Book Antiqua"/>
          <w:spacing w:val="-35"/>
          <w:sz w:val="22"/>
          <w:szCs w:val="22"/>
        </w:rPr>
        <w:t xml:space="preserve"> </w:t>
      </w:r>
      <w:r w:rsidRPr="00C150AE">
        <w:rPr>
          <w:rFonts w:ascii="Book Antiqua" w:hAnsi="Book Antiqua"/>
          <w:sz w:val="22"/>
          <w:szCs w:val="22"/>
        </w:rPr>
        <w:t>county</w:t>
      </w:r>
      <w:r w:rsidRPr="00C150AE">
        <w:rPr>
          <w:rFonts w:ascii="Book Antiqua" w:hAnsi="Book Antiqua"/>
          <w:spacing w:val="-32"/>
          <w:sz w:val="22"/>
          <w:szCs w:val="22"/>
        </w:rPr>
        <w:t xml:space="preserve"> </w:t>
      </w:r>
      <w:r w:rsidRPr="00C150AE">
        <w:rPr>
          <w:rFonts w:ascii="Book Antiqua" w:hAnsi="Book Antiqua"/>
          <w:spacing w:val="-2"/>
          <w:sz w:val="22"/>
          <w:szCs w:val="22"/>
        </w:rPr>
        <w:t>jails,</w:t>
      </w:r>
      <w:r w:rsidRPr="00C150AE">
        <w:rPr>
          <w:rFonts w:ascii="Book Antiqua" w:hAnsi="Book Antiqua"/>
          <w:spacing w:val="-30"/>
          <w:sz w:val="22"/>
          <w:szCs w:val="22"/>
        </w:rPr>
        <w:t xml:space="preserve"> </w:t>
      </w:r>
      <w:r w:rsidRPr="00C150AE">
        <w:rPr>
          <w:rFonts w:ascii="Book Antiqua" w:hAnsi="Book Antiqua"/>
          <w:spacing w:val="2"/>
          <w:sz w:val="22"/>
          <w:szCs w:val="22"/>
        </w:rPr>
        <w:t>federal</w:t>
      </w:r>
      <w:r w:rsidRPr="00C150AE">
        <w:rPr>
          <w:rFonts w:ascii="Book Antiqua" w:hAnsi="Book Antiqua"/>
          <w:spacing w:val="-36"/>
          <w:sz w:val="22"/>
          <w:szCs w:val="22"/>
        </w:rPr>
        <w:t xml:space="preserve"> </w:t>
      </w:r>
      <w:r w:rsidRPr="00C150AE">
        <w:rPr>
          <w:rFonts w:ascii="Book Antiqua" w:hAnsi="Book Antiqua"/>
          <w:spacing w:val="3"/>
          <w:sz w:val="22"/>
          <w:szCs w:val="22"/>
        </w:rPr>
        <w:t>and</w:t>
      </w:r>
      <w:r w:rsidRPr="00C150AE">
        <w:rPr>
          <w:rFonts w:ascii="Book Antiqua" w:hAnsi="Book Antiqua"/>
          <w:spacing w:val="-34"/>
          <w:sz w:val="22"/>
          <w:szCs w:val="22"/>
        </w:rPr>
        <w:t xml:space="preserve"> </w:t>
      </w:r>
      <w:r w:rsidRPr="00C150AE">
        <w:rPr>
          <w:rFonts w:ascii="Book Antiqua" w:hAnsi="Book Antiqua"/>
          <w:spacing w:val="2"/>
          <w:sz w:val="22"/>
          <w:szCs w:val="22"/>
        </w:rPr>
        <w:t>state</w:t>
      </w:r>
      <w:r w:rsidRPr="00C150AE">
        <w:rPr>
          <w:rFonts w:ascii="Book Antiqua" w:hAnsi="Book Antiqua"/>
          <w:spacing w:val="-38"/>
          <w:sz w:val="22"/>
          <w:szCs w:val="22"/>
        </w:rPr>
        <w:t xml:space="preserve"> </w:t>
      </w:r>
      <w:r w:rsidRPr="00C150AE">
        <w:rPr>
          <w:rFonts w:ascii="Book Antiqua" w:hAnsi="Book Antiqua"/>
          <w:sz w:val="22"/>
          <w:szCs w:val="22"/>
        </w:rPr>
        <w:t>prisons, correctional</w:t>
      </w:r>
      <w:r w:rsidRPr="00C150AE">
        <w:rPr>
          <w:rFonts w:ascii="Book Antiqua" w:hAnsi="Book Antiqua"/>
          <w:spacing w:val="-36"/>
          <w:sz w:val="22"/>
          <w:szCs w:val="22"/>
        </w:rPr>
        <w:t xml:space="preserve"> </w:t>
      </w:r>
      <w:r w:rsidRPr="00C150AE">
        <w:rPr>
          <w:rFonts w:ascii="Book Antiqua" w:hAnsi="Book Antiqua"/>
          <w:sz w:val="22"/>
          <w:szCs w:val="22"/>
        </w:rPr>
        <w:t>facilities,</w:t>
      </w:r>
      <w:r w:rsidRPr="00C150AE">
        <w:rPr>
          <w:rFonts w:ascii="Book Antiqua" w:hAnsi="Book Antiqua"/>
          <w:spacing w:val="-32"/>
          <w:sz w:val="22"/>
          <w:szCs w:val="22"/>
        </w:rPr>
        <w:t xml:space="preserve"> </w:t>
      </w:r>
      <w:r w:rsidRPr="00C150AE">
        <w:rPr>
          <w:rFonts w:ascii="Book Antiqua" w:hAnsi="Book Antiqua"/>
          <w:sz w:val="22"/>
          <w:szCs w:val="22"/>
        </w:rPr>
        <w:t>juvenile</w:t>
      </w:r>
      <w:r w:rsidRPr="00C150AE">
        <w:rPr>
          <w:rFonts w:ascii="Book Antiqua" w:hAnsi="Book Antiqua"/>
          <w:spacing w:val="-25"/>
          <w:sz w:val="22"/>
          <w:szCs w:val="22"/>
        </w:rPr>
        <w:t xml:space="preserve"> </w:t>
      </w:r>
      <w:r w:rsidRPr="00C150AE">
        <w:rPr>
          <w:rFonts w:ascii="Book Antiqua" w:hAnsi="Book Antiqua"/>
          <w:sz w:val="22"/>
          <w:szCs w:val="22"/>
        </w:rPr>
        <w:t>detention</w:t>
      </w:r>
      <w:r w:rsidRPr="00C150AE">
        <w:rPr>
          <w:rFonts w:ascii="Book Antiqua" w:hAnsi="Book Antiqua"/>
          <w:spacing w:val="-34"/>
          <w:sz w:val="22"/>
          <w:szCs w:val="22"/>
        </w:rPr>
        <w:t xml:space="preserve"> </w:t>
      </w:r>
      <w:r w:rsidRPr="00C150AE">
        <w:rPr>
          <w:rFonts w:ascii="Book Antiqua" w:hAnsi="Book Antiqua"/>
          <w:spacing w:val="-3"/>
          <w:sz w:val="22"/>
          <w:szCs w:val="22"/>
        </w:rPr>
        <w:t>facilities,</w:t>
      </w:r>
      <w:r w:rsidRPr="00C150AE">
        <w:rPr>
          <w:rFonts w:ascii="Book Antiqua" w:hAnsi="Book Antiqua"/>
          <w:spacing w:val="-32"/>
          <w:sz w:val="22"/>
          <w:szCs w:val="22"/>
        </w:rPr>
        <w:t xml:space="preserve"> </w:t>
      </w:r>
      <w:r w:rsidRPr="00C150AE">
        <w:rPr>
          <w:rFonts w:ascii="Book Antiqua" w:hAnsi="Book Antiqua"/>
          <w:sz w:val="22"/>
          <w:szCs w:val="22"/>
        </w:rPr>
        <w:t>holding</w:t>
      </w:r>
      <w:r w:rsidRPr="00C150AE">
        <w:rPr>
          <w:rFonts w:ascii="Book Antiqua" w:hAnsi="Book Antiqua"/>
          <w:spacing w:val="-34"/>
          <w:sz w:val="22"/>
          <w:szCs w:val="22"/>
        </w:rPr>
        <w:t xml:space="preserve"> </w:t>
      </w:r>
      <w:r w:rsidRPr="00C150AE">
        <w:rPr>
          <w:rFonts w:ascii="Book Antiqua" w:hAnsi="Book Antiqua"/>
          <w:sz w:val="22"/>
          <w:szCs w:val="22"/>
        </w:rPr>
        <w:t>centers,</w:t>
      </w:r>
      <w:r w:rsidRPr="00C150AE">
        <w:rPr>
          <w:rFonts w:ascii="Book Antiqua" w:hAnsi="Book Antiqua"/>
          <w:spacing w:val="-31"/>
          <w:sz w:val="22"/>
          <w:szCs w:val="22"/>
        </w:rPr>
        <w:t xml:space="preserve"> </w:t>
      </w:r>
      <w:r w:rsidRPr="00C150AE">
        <w:rPr>
          <w:rFonts w:ascii="Book Antiqua" w:hAnsi="Book Antiqua"/>
          <w:sz w:val="22"/>
          <w:szCs w:val="22"/>
        </w:rPr>
        <w:t>camps,</w:t>
      </w:r>
      <w:r w:rsidRPr="00C150AE">
        <w:rPr>
          <w:rFonts w:ascii="Book Antiqua" w:hAnsi="Book Antiqua"/>
          <w:spacing w:val="-32"/>
          <w:sz w:val="22"/>
          <w:szCs w:val="22"/>
        </w:rPr>
        <w:t xml:space="preserve"> </w:t>
      </w:r>
      <w:r w:rsidRPr="00C150AE">
        <w:rPr>
          <w:rFonts w:ascii="Book Antiqua" w:hAnsi="Book Antiqua"/>
          <w:spacing w:val="-3"/>
          <w:sz w:val="22"/>
          <w:szCs w:val="22"/>
        </w:rPr>
        <w:t>psychiatric</w:t>
      </w:r>
      <w:r w:rsidRPr="00C150AE">
        <w:rPr>
          <w:rFonts w:ascii="Book Antiqua" w:hAnsi="Book Antiqua"/>
          <w:spacing w:val="-25"/>
          <w:sz w:val="22"/>
          <w:szCs w:val="22"/>
        </w:rPr>
        <w:t xml:space="preserve"> </w:t>
      </w:r>
      <w:r w:rsidRPr="00C150AE">
        <w:rPr>
          <w:rFonts w:ascii="Book Antiqua" w:hAnsi="Book Antiqua"/>
          <w:sz w:val="22"/>
          <w:szCs w:val="22"/>
        </w:rPr>
        <w:t>hospitals,</w:t>
      </w:r>
      <w:r w:rsidRPr="00C150AE">
        <w:rPr>
          <w:rFonts w:ascii="Book Antiqua" w:hAnsi="Book Antiqua"/>
          <w:spacing w:val="-31"/>
          <w:sz w:val="22"/>
          <w:szCs w:val="22"/>
        </w:rPr>
        <w:t xml:space="preserve"> </w:t>
      </w:r>
      <w:r w:rsidRPr="00C150AE">
        <w:rPr>
          <w:rFonts w:ascii="Book Antiqua" w:hAnsi="Book Antiqua"/>
          <w:sz w:val="22"/>
          <w:szCs w:val="22"/>
        </w:rPr>
        <w:t>immigration</w:t>
      </w:r>
      <w:r w:rsidRPr="00C150AE">
        <w:rPr>
          <w:rFonts w:ascii="Book Antiqua" w:hAnsi="Book Antiqua"/>
          <w:spacing w:val="-35"/>
          <w:sz w:val="22"/>
          <w:szCs w:val="22"/>
        </w:rPr>
        <w:t xml:space="preserve"> </w:t>
      </w:r>
      <w:r w:rsidRPr="00C150AE">
        <w:rPr>
          <w:rFonts w:ascii="Book Antiqua" w:hAnsi="Book Antiqua"/>
          <w:sz w:val="22"/>
          <w:szCs w:val="22"/>
        </w:rPr>
        <w:t>detention centers,</w:t>
      </w:r>
      <w:r w:rsidRPr="00C150AE">
        <w:rPr>
          <w:rFonts w:ascii="Book Antiqua" w:hAnsi="Book Antiqua"/>
          <w:spacing w:val="-24"/>
          <w:sz w:val="22"/>
          <w:szCs w:val="22"/>
        </w:rPr>
        <w:t xml:space="preserve"> </w:t>
      </w:r>
      <w:r w:rsidRPr="00C150AE">
        <w:rPr>
          <w:rFonts w:ascii="Book Antiqua" w:hAnsi="Book Antiqua"/>
          <w:sz w:val="22"/>
          <w:szCs w:val="22"/>
        </w:rPr>
        <w:t>military</w:t>
      </w:r>
      <w:r w:rsidRPr="00C150AE">
        <w:rPr>
          <w:rFonts w:ascii="Book Antiqua" w:hAnsi="Book Antiqua"/>
          <w:spacing w:val="-29"/>
          <w:sz w:val="22"/>
          <w:szCs w:val="22"/>
        </w:rPr>
        <w:t xml:space="preserve"> </w:t>
      </w:r>
      <w:r w:rsidRPr="00C150AE">
        <w:rPr>
          <w:rFonts w:ascii="Book Antiqua" w:hAnsi="Book Antiqua"/>
          <w:spacing w:val="-3"/>
          <w:sz w:val="22"/>
          <w:szCs w:val="22"/>
        </w:rPr>
        <w:t>jails</w:t>
      </w:r>
      <w:r w:rsidRPr="00C150AE">
        <w:rPr>
          <w:rFonts w:ascii="Book Antiqua" w:hAnsi="Book Antiqua"/>
          <w:spacing w:val="-22"/>
          <w:sz w:val="22"/>
          <w:szCs w:val="22"/>
        </w:rPr>
        <w:t xml:space="preserve"> </w:t>
      </w:r>
      <w:r w:rsidRPr="00C150AE">
        <w:rPr>
          <w:rFonts w:ascii="Book Antiqua" w:hAnsi="Book Antiqua"/>
          <w:spacing w:val="8"/>
          <w:sz w:val="22"/>
          <w:szCs w:val="22"/>
        </w:rPr>
        <w:t>and</w:t>
      </w:r>
      <w:r w:rsidRPr="00C150AE">
        <w:rPr>
          <w:rFonts w:ascii="Book Antiqua" w:hAnsi="Book Antiqua"/>
          <w:spacing w:val="-29"/>
          <w:sz w:val="22"/>
          <w:szCs w:val="22"/>
        </w:rPr>
        <w:t xml:space="preserve"> </w:t>
      </w:r>
      <w:r w:rsidRPr="00C150AE">
        <w:rPr>
          <w:rFonts w:ascii="Book Antiqua" w:hAnsi="Book Antiqua"/>
          <w:sz w:val="22"/>
          <w:szCs w:val="22"/>
        </w:rPr>
        <w:t>tribal</w:t>
      </w:r>
      <w:r w:rsidRPr="00C150AE">
        <w:rPr>
          <w:rFonts w:ascii="Book Antiqua" w:hAnsi="Book Antiqua"/>
          <w:spacing w:val="-31"/>
          <w:sz w:val="22"/>
          <w:szCs w:val="22"/>
        </w:rPr>
        <w:t xml:space="preserve"> </w:t>
      </w:r>
      <w:r w:rsidRPr="00C150AE">
        <w:rPr>
          <w:rFonts w:ascii="Book Antiqua" w:hAnsi="Book Antiqua"/>
          <w:sz w:val="22"/>
          <w:szCs w:val="22"/>
        </w:rPr>
        <w:t>jails.”</w:t>
      </w:r>
      <w:r w:rsidRPr="00C150AE">
        <w:rPr>
          <w:rFonts w:ascii="Book Antiqua" w:hAnsi="Book Antiqua"/>
          <w:spacing w:val="28"/>
          <w:sz w:val="22"/>
          <w:szCs w:val="22"/>
        </w:rPr>
        <w:t xml:space="preserve"> </w:t>
      </w:r>
      <w:r w:rsidRPr="00C150AE">
        <w:rPr>
          <w:rFonts w:ascii="Book Antiqua" w:hAnsi="Book Antiqua"/>
          <w:sz w:val="22"/>
          <w:szCs w:val="22"/>
        </w:rPr>
        <w:t>See</w:t>
      </w:r>
      <w:r w:rsidRPr="00C150AE">
        <w:rPr>
          <w:rFonts w:ascii="Book Antiqua" w:hAnsi="Book Antiqua"/>
          <w:spacing w:val="-17"/>
          <w:sz w:val="22"/>
          <w:szCs w:val="22"/>
        </w:rPr>
        <w:t xml:space="preserve"> </w:t>
      </w:r>
      <w:r w:rsidRPr="00C150AE">
        <w:rPr>
          <w:rFonts w:ascii="Book Antiqua" w:hAnsi="Book Antiqua"/>
          <w:sz w:val="22"/>
          <w:szCs w:val="22"/>
        </w:rPr>
        <w:t>also</w:t>
      </w:r>
      <w:r w:rsidRPr="00C150AE">
        <w:rPr>
          <w:rFonts w:ascii="Book Antiqua" w:hAnsi="Book Antiqua"/>
          <w:spacing w:val="-13"/>
          <w:sz w:val="22"/>
          <w:szCs w:val="22"/>
        </w:rPr>
        <w:t xml:space="preserve"> </w:t>
      </w:r>
      <w:r w:rsidRPr="00C150AE">
        <w:rPr>
          <w:rFonts w:ascii="Book Antiqua" w:hAnsi="Book Antiqua"/>
          <w:sz w:val="22"/>
          <w:szCs w:val="22"/>
        </w:rPr>
        <w:t>footnote</w:t>
      </w:r>
      <w:r w:rsidRPr="00C150AE">
        <w:rPr>
          <w:rFonts w:ascii="Book Antiqua" w:hAnsi="Book Antiqua"/>
          <w:spacing w:val="-31"/>
          <w:sz w:val="22"/>
          <w:szCs w:val="22"/>
        </w:rPr>
        <w:t xml:space="preserve"> </w:t>
      </w:r>
      <w:r w:rsidRPr="00C150AE">
        <w:rPr>
          <w:rFonts w:ascii="Book Antiqua" w:hAnsi="Book Antiqua"/>
          <w:spacing w:val="8"/>
          <w:sz w:val="22"/>
          <w:szCs w:val="22"/>
        </w:rPr>
        <w:t>11. For purposes of this proposal, Staff is only addressing rates for voice-only communication services.</w:t>
      </w:r>
    </w:p>
  </w:footnote>
  <w:footnote w:id="285">
    <w:p w14:paraId="4F380284" w14:textId="699397AF" w:rsidR="00400A0E" w:rsidRPr="00C150AE" w:rsidRDefault="00400A0E" w:rsidP="00400A0E">
      <w:pPr>
        <w:pStyle w:val="FootnoteText"/>
        <w:rPr>
          <w:rFonts w:ascii="Book Antiqua" w:hAnsi="Book Antiqua"/>
          <w:szCs w:val="22"/>
        </w:rPr>
      </w:pPr>
      <w:r w:rsidRPr="00C150AE">
        <w:rPr>
          <w:rStyle w:val="FootnoteReference"/>
          <w:rFonts w:ascii="Book Antiqua" w:hAnsi="Book Antiqua"/>
          <w:szCs w:val="22"/>
        </w:rPr>
        <w:footnoteRef/>
      </w:r>
      <w:r w:rsidRPr="00C150AE">
        <w:rPr>
          <w:rFonts w:ascii="Book Antiqua" w:hAnsi="Book Antiqua"/>
          <w:szCs w:val="22"/>
        </w:rPr>
        <w:t xml:space="preserve"> </w:t>
      </w:r>
      <w:bookmarkStart w:id="84" w:name="_Hlk73454531"/>
      <w:r w:rsidRPr="00C150AE">
        <w:rPr>
          <w:rFonts w:ascii="Book Antiqua" w:hAnsi="Book Antiqua"/>
          <w:szCs w:val="22"/>
        </w:rPr>
        <w:t>FCC Third Report and Order, Order on Reconsideration, and Fifth Further Notice of Proposed Rulemaking (Fifth NPRM) (May 24, 2021)</w:t>
      </w:r>
      <w:bookmarkEnd w:id="84"/>
      <w:r w:rsidR="00C150AE">
        <w:rPr>
          <w:rFonts w:ascii="Book Antiqua" w:hAnsi="Book Antiqua"/>
          <w:szCs w:val="22"/>
        </w:rPr>
        <w:t>.</w:t>
      </w:r>
    </w:p>
  </w:footnote>
  <w:footnote w:id="286">
    <w:p w14:paraId="32C57006" w14:textId="77777777" w:rsidR="00400A0E" w:rsidRPr="00C150AE" w:rsidRDefault="00400A0E" w:rsidP="00400A0E">
      <w:pPr>
        <w:pStyle w:val="FootnoteText"/>
        <w:rPr>
          <w:rFonts w:ascii="Book Antiqua" w:hAnsi="Book Antiqua"/>
          <w:szCs w:val="22"/>
        </w:rPr>
      </w:pPr>
      <w:r w:rsidRPr="00C150AE">
        <w:rPr>
          <w:rStyle w:val="FootnoteReference"/>
          <w:rFonts w:ascii="Book Antiqua" w:hAnsi="Book Antiqua"/>
          <w:szCs w:val="22"/>
        </w:rPr>
        <w:footnoteRef/>
      </w:r>
      <w:r w:rsidRPr="00C150AE">
        <w:rPr>
          <w:rFonts w:ascii="Book Antiqua" w:hAnsi="Book Antiqua"/>
          <w:szCs w:val="22"/>
        </w:rPr>
        <w:t xml:space="preserve"> Federal Register, Vol. 85, No. 206 ¶ (Friday, October 23, 2020). </w:t>
      </w:r>
    </w:p>
  </w:footnote>
  <w:footnote w:id="287">
    <w:p w14:paraId="5B676980" w14:textId="77777777" w:rsidR="00400A0E" w:rsidRDefault="00400A0E" w:rsidP="00400A0E">
      <w:pPr>
        <w:pStyle w:val="FootnoteText"/>
      </w:pPr>
      <w:r>
        <w:rPr>
          <w:rStyle w:val="FootnoteReference"/>
        </w:rPr>
        <w:footnoteRef/>
      </w:r>
      <w:r>
        <w:t xml:space="preserve"> </w:t>
      </w:r>
      <w:r>
        <w:rPr>
          <w:rFonts w:eastAsiaTheme="minorHAnsi"/>
          <w:i/>
          <w:iCs/>
        </w:rPr>
        <w:t xml:space="preserve">Fifth NPRM </w:t>
      </w:r>
      <w:r>
        <w:t>¶ 212, at page 96.</w:t>
      </w:r>
    </w:p>
  </w:footnote>
  <w:footnote w:id="288">
    <w:p w14:paraId="29472CBE" w14:textId="77777777" w:rsidR="00400A0E" w:rsidRDefault="00400A0E" w:rsidP="00C150AE">
      <w:pPr>
        <w:spacing w:before="15" w:line="223" w:lineRule="auto"/>
        <w:ind w:right="109"/>
      </w:pPr>
      <w:r>
        <w:rPr>
          <w:rStyle w:val="FootnoteReference"/>
        </w:rPr>
        <w:footnoteRef/>
      </w:r>
      <w:r>
        <w:t xml:space="preserve"> </w:t>
      </w:r>
      <w:r>
        <w:rPr>
          <w:sz w:val="21"/>
        </w:rPr>
        <w:t>Securus</w:t>
      </w:r>
      <w:r>
        <w:rPr>
          <w:spacing w:val="-27"/>
          <w:sz w:val="21"/>
        </w:rPr>
        <w:t xml:space="preserve"> </w:t>
      </w:r>
      <w:r>
        <w:rPr>
          <w:sz w:val="21"/>
        </w:rPr>
        <w:t>Technologies,</w:t>
      </w:r>
      <w:r>
        <w:rPr>
          <w:spacing w:val="-29"/>
          <w:sz w:val="21"/>
        </w:rPr>
        <w:t xml:space="preserve"> </w:t>
      </w:r>
      <w:r>
        <w:rPr>
          <w:sz w:val="21"/>
        </w:rPr>
        <w:t>LLC,</w:t>
      </w:r>
      <w:r>
        <w:rPr>
          <w:spacing w:val="-29"/>
          <w:sz w:val="21"/>
        </w:rPr>
        <w:t xml:space="preserve"> </w:t>
      </w:r>
      <w:r>
        <w:rPr>
          <w:sz w:val="21"/>
        </w:rPr>
        <w:t>Global</w:t>
      </w:r>
      <w:r>
        <w:rPr>
          <w:spacing w:val="-35"/>
          <w:sz w:val="21"/>
        </w:rPr>
        <w:t xml:space="preserve"> </w:t>
      </w:r>
      <w:r>
        <w:rPr>
          <w:spacing w:val="-3"/>
          <w:sz w:val="21"/>
        </w:rPr>
        <w:t>Tel*Link</w:t>
      </w:r>
      <w:r>
        <w:rPr>
          <w:spacing w:val="-19"/>
          <w:sz w:val="21"/>
        </w:rPr>
        <w:t xml:space="preserve"> </w:t>
      </w:r>
      <w:r>
        <w:rPr>
          <w:spacing w:val="-3"/>
          <w:sz w:val="21"/>
        </w:rPr>
        <w:t>Corporation,</w:t>
      </w:r>
      <w:r>
        <w:rPr>
          <w:spacing w:val="-29"/>
          <w:sz w:val="21"/>
        </w:rPr>
        <w:t xml:space="preserve"> </w:t>
      </w:r>
      <w:r>
        <w:rPr>
          <w:sz w:val="21"/>
        </w:rPr>
        <w:t>Inmate</w:t>
      </w:r>
      <w:r>
        <w:rPr>
          <w:spacing w:val="-36"/>
          <w:sz w:val="21"/>
        </w:rPr>
        <w:t xml:space="preserve"> </w:t>
      </w:r>
      <w:r>
        <w:rPr>
          <w:spacing w:val="-3"/>
          <w:sz w:val="21"/>
        </w:rPr>
        <w:t>Calling</w:t>
      </w:r>
      <w:r>
        <w:rPr>
          <w:spacing w:val="-33"/>
          <w:sz w:val="21"/>
        </w:rPr>
        <w:t xml:space="preserve"> </w:t>
      </w:r>
      <w:r>
        <w:rPr>
          <w:sz w:val="21"/>
        </w:rPr>
        <w:t>Solutions,</w:t>
      </w:r>
      <w:r>
        <w:rPr>
          <w:spacing w:val="-29"/>
          <w:sz w:val="21"/>
        </w:rPr>
        <w:t xml:space="preserve"> </w:t>
      </w:r>
      <w:r>
        <w:rPr>
          <w:sz w:val="21"/>
        </w:rPr>
        <w:t>LLC,</w:t>
      </w:r>
      <w:r>
        <w:rPr>
          <w:spacing w:val="-29"/>
          <w:sz w:val="21"/>
        </w:rPr>
        <w:t xml:space="preserve"> </w:t>
      </w:r>
      <w:r>
        <w:rPr>
          <w:sz w:val="21"/>
        </w:rPr>
        <w:t>Legacy</w:t>
      </w:r>
      <w:r>
        <w:rPr>
          <w:spacing w:val="-33"/>
          <w:sz w:val="21"/>
        </w:rPr>
        <w:t xml:space="preserve"> </w:t>
      </w:r>
      <w:r>
        <w:rPr>
          <w:sz w:val="21"/>
        </w:rPr>
        <w:t>Inmate Communications,</w:t>
      </w:r>
      <w:r>
        <w:rPr>
          <w:spacing w:val="-31"/>
          <w:sz w:val="21"/>
        </w:rPr>
        <w:t xml:space="preserve"> </w:t>
      </w:r>
      <w:r>
        <w:rPr>
          <w:sz w:val="21"/>
        </w:rPr>
        <w:t>Network</w:t>
      </w:r>
      <w:r>
        <w:rPr>
          <w:spacing w:val="-22"/>
          <w:sz w:val="21"/>
        </w:rPr>
        <w:t xml:space="preserve"> </w:t>
      </w:r>
      <w:r>
        <w:rPr>
          <w:spacing w:val="-4"/>
          <w:sz w:val="21"/>
        </w:rPr>
        <w:t>Communications</w:t>
      </w:r>
      <w:r>
        <w:rPr>
          <w:spacing w:val="-28"/>
          <w:sz w:val="21"/>
        </w:rPr>
        <w:t xml:space="preserve"> </w:t>
      </w:r>
      <w:r>
        <w:rPr>
          <w:spacing w:val="-3"/>
          <w:sz w:val="21"/>
        </w:rPr>
        <w:t>International</w:t>
      </w:r>
      <w:r>
        <w:rPr>
          <w:spacing w:val="-36"/>
          <w:sz w:val="21"/>
        </w:rPr>
        <w:t xml:space="preserve"> </w:t>
      </w:r>
      <w:r>
        <w:rPr>
          <w:sz w:val="21"/>
        </w:rPr>
        <w:t>Corporation,</w:t>
      </w:r>
      <w:r>
        <w:rPr>
          <w:spacing w:val="-31"/>
          <w:sz w:val="21"/>
        </w:rPr>
        <w:t xml:space="preserve"> </w:t>
      </w:r>
      <w:r>
        <w:rPr>
          <w:spacing w:val="8"/>
          <w:sz w:val="21"/>
        </w:rPr>
        <w:t>and</w:t>
      </w:r>
      <w:r>
        <w:rPr>
          <w:spacing w:val="-34"/>
          <w:sz w:val="21"/>
        </w:rPr>
        <w:t xml:space="preserve"> </w:t>
      </w:r>
      <w:r>
        <w:rPr>
          <w:sz w:val="21"/>
        </w:rPr>
        <w:t>Pay</w:t>
      </w:r>
      <w:r>
        <w:rPr>
          <w:spacing w:val="-21"/>
          <w:sz w:val="21"/>
        </w:rPr>
        <w:t xml:space="preserve"> </w:t>
      </w:r>
      <w:r>
        <w:rPr>
          <w:sz w:val="21"/>
        </w:rPr>
        <w:t>Tel</w:t>
      </w:r>
      <w:r>
        <w:rPr>
          <w:spacing w:val="-36"/>
          <w:sz w:val="21"/>
        </w:rPr>
        <w:t xml:space="preserve"> </w:t>
      </w:r>
      <w:r>
        <w:rPr>
          <w:spacing w:val="-3"/>
          <w:sz w:val="21"/>
        </w:rPr>
        <w:t>Communications,</w:t>
      </w:r>
      <w:r>
        <w:rPr>
          <w:spacing w:val="-30"/>
          <w:sz w:val="21"/>
        </w:rPr>
        <w:t xml:space="preserve"> </w:t>
      </w:r>
      <w:r>
        <w:rPr>
          <w:spacing w:val="5"/>
          <w:sz w:val="21"/>
        </w:rPr>
        <w:t>In</w:t>
      </w:r>
      <w:r>
        <w:rPr>
          <w:spacing w:val="-34"/>
          <w:sz w:val="21"/>
        </w:rPr>
        <w:t xml:space="preserve"> </w:t>
      </w:r>
      <w:r>
        <w:rPr>
          <w:spacing w:val="-13"/>
          <w:sz w:val="21"/>
        </w:rPr>
        <w:t>c.</w:t>
      </w:r>
    </w:p>
  </w:footnote>
  <w:footnote w:id="289">
    <w:p w14:paraId="2A8C3550" w14:textId="77777777" w:rsidR="00400A0E" w:rsidRPr="00C150AE" w:rsidRDefault="00400A0E" w:rsidP="00C150AE">
      <w:pPr>
        <w:spacing w:before="2" w:after="120"/>
        <w:rPr>
          <w:rFonts w:ascii="Book Antiqua" w:hAnsi="Book Antiqua"/>
          <w:sz w:val="22"/>
          <w:szCs w:val="22"/>
        </w:rPr>
      </w:pPr>
      <w:r w:rsidRPr="00C150AE">
        <w:rPr>
          <w:rStyle w:val="FootnoteReference"/>
          <w:rFonts w:ascii="Book Antiqua" w:hAnsi="Book Antiqua"/>
          <w:sz w:val="22"/>
          <w:szCs w:val="22"/>
        </w:rPr>
        <w:footnoteRef/>
      </w:r>
      <w:r w:rsidRPr="00C150AE">
        <w:rPr>
          <w:rFonts w:ascii="Book Antiqua" w:hAnsi="Book Antiqua"/>
          <w:sz w:val="22"/>
          <w:szCs w:val="22"/>
        </w:rPr>
        <w:t xml:space="preserve"> WC Docket No.12-375.</w:t>
      </w:r>
    </w:p>
  </w:footnote>
  <w:footnote w:id="290">
    <w:p w14:paraId="5FE6120E" w14:textId="77777777" w:rsidR="00400A0E" w:rsidRPr="00C150AE" w:rsidRDefault="00400A0E" w:rsidP="00C150AE">
      <w:pPr>
        <w:spacing w:before="47" w:after="120" w:line="241" w:lineRule="exact"/>
        <w:rPr>
          <w:rFonts w:ascii="Book Antiqua" w:hAnsi="Book Antiqua"/>
          <w:sz w:val="22"/>
          <w:szCs w:val="22"/>
        </w:rPr>
      </w:pPr>
      <w:r w:rsidRPr="00C150AE">
        <w:rPr>
          <w:rStyle w:val="FootnoteReference"/>
          <w:rFonts w:ascii="Book Antiqua" w:hAnsi="Book Antiqua"/>
          <w:sz w:val="22"/>
          <w:szCs w:val="22"/>
        </w:rPr>
        <w:footnoteRef/>
      </w:r>
      <w:r w:rsidRPr="00C150AE">
        <w:rPr>
          <w:rFonts w:ascii="Book Antiqua" w:hAnsi="Book Antiqua"/>
          <w:sz w:val="22"/>
          <w:szCs w:val="22"/>
        </w:rPr>
        <w:t xml:space="preserve"> </w:t>
      </w:r>
      <w:r w:rsidRPr="00C150AE">
        <w:rPr>
          <w:rFonts w:ascii="Book Antiqua" w:hAnsi="Book Antiqua"/>
          <w:spacing w:val="2"/>
          <w:sz w:val="22"/>
          <w:szCs w:val="22"/>
        </w:rPr>
        <w:t>Pub.</w:t>
      </w:r>
      <w:r w:rsidRPr="00C150AE">
        <w:rPr>
          <w:rFonts w:ascii="Book Antiqua" w:hAnsi="Book Antiqua"/>
          <w:spacing w:val="-29"/>
          <w:sz w:val="22"/>
          <w:szCs w:val="22"/>
        </w:rPr>
        <w:t xml:space="preserve"> </w:t>
      </w:r>
      <w:r w:rsidRPr="00C150AE">
        <w:rPr>
          <w:rFonts w:ascii="Book Antiqua" w:hAnsi="Book Antiqua"/>
          <w:spacing w:val="-5"/>
          <w:sz w:val="22"/>
          <w:szCs w:val="22"/>
        </w:rPr>
        <w:t>Util.</w:t>
      </w:r>
      <w:r w:rsidRPr="00C150AE">
        <w:rPr>
          <w:rFonts w:ascii="Book Antiqua" w:hAnsi="Book Antiqua"/>
          <w:sz w:val="22"/>
          <w:szCs w:val="22"/>
        </w:rPr>
        <w:t xml:space="preserve"> </w:t>
      </w:r>
      <w:r w:rsidRPr="00C150AE">
        <w:rPr>
          <w:rFonts w:ascii="Book Antiqua" w:hAnsi="Book Antiqua"/>
          <w:spacing w:val="4"/>
          <w:sz w:val="22"/>
          <w:szCs w:val="22"/>
        </w:rPr>
        <w:t>Code</w:t>
      </w:r>
      <w:r w:rsidRPr="00C150AE">
        <w:rPr>
          <w:rFonts w:ascii="Book Antiqua" w:hAnsi="Book Antiqua"/>
          <w:spacing w:val="-22"/>
          <w:sz w:val="22"/>
          <w:szCs w:val="22"/>
        </w:rPr>
        <w:t xml:space="preserve"> </w:t>
      </w:r>
      <w:r w:rsidRPr="00C150AE">
        <w:rPr>
          <w:rFonts w:ascii="Book Antiqua" w:hAnsi="Book Antiqua"/>
          <w:sz w:val="22"/>
          <w:szCs w:val="22"/>
        </w:rPr>
        <w:t>Section</w:t>
      </w:r>
      <w:r w:rsidRPr="00C150AE">
        <w:rPr>
          <w:rFonts w:ascii="Book Antiqua" w:hAnsi="Book Antiqua"/>
          <w:spacing w:val="-17"/>
          <w:sz w:val="22"/>
          <w:szCs w:val="22"/>
        </w:rPr>
        <w:t xml:space="preserve"> </w:t>
      </w:r>
      <w:r w:rsidRPr="00C150AE">
        <w:rPr>
          <w:rFonts w:ascii="Book Antiqua" w:hAnsi="Book Antiqua"/>
          <w:spacing w:val="-3"/>
          <w:sz w:val="22"/>
          <w:szCs w:val="22"/>
        </w:rPr>
        <w:t>451.</w:t>
      </w:r>
    </w:p>
  </w:footnote>
  <w:footnote w:id="291">
    <w:p w14:paraId="184F94AE" w14:textId="6F69F036" w:rsidR="00400A0E" w:rsidRPr="00C150AE" w:rsidRDefault="00400A0E" w:rsidP="00C150AE">
      <w:pPr>
        <w:spacing w:after="120" w:line="232" w:lineRule="exact"/>
        <w:rPr>
          <w:rFonts w:ascii="Book Antiqua" w:hAnsi="Book Antiqua"/>
          <w:sz w:val="22"/>
          <w:szCs w:val="22"/>
        </w:rPr>
      </w:pPr>
      <w:r w:rsidRPr="00C150AE">
        <w:rPr>
          <w:rStyle w:val="FootnoteReference"/>
          <w:rFonts w:ascii="Book Antiqua" w:hAnsi="Book Antiqua"/>
          <w:sz w:val="22"/>
          <w:szCs w:val="22"/>
        </w:rPr>
        <w:footnoteRef/>
      </w:r>
      <w:r w:rsidRPr="00C150AE">
        <w:rPr>
          <w:rFonts w:ascii="Book Antiqua" w:hAnsi="Book Antiqua"/>
          <w:sz w:val="22"/>
          <w:szCs w:val="22"/>
        </w:rPr>
        <w:t xml:space="preserve"> </w:t>
      </w:r>
      <w:r w:rsidRPr="00C150AE">
        <w:rPr>
          <w:rFonts w:ascii="Book Antiqua" w:hAnsi="Book Antiqua"/>
          <w:i/>
          <w:iCs/>
          <w:sz w:val="22"/>
          <w:szCs w:val="22"/>
        </w:rPr>
        <w:t>See</w:t>
      </w:r>
      <w:r w:rsidRPr="00C150AE">
        <w:rPr>
          <w:rFonts w:ascii="Book Antiqua" w:hAnsi="Book Antiqua"/>
          <w:spacing w:val="-19"/>
          <w:sz w:val="22"/>
          <w:szCs w:val="22"/>
        </w:rPr>
        <w:t xml:space="preserve"> </w:t>
      </w:r>
      <w:r w:rsidRPr="00C150AE">
        <w:rPr>
          <w:rFonts w:ascii="Book Antiqua" w:hAnsi="Book Antiqua"/>
          <w:sz w:val="22"/>
          <w:szCs w:val="22"/>
        </w:rPr>
        <w:t>D.07-09-018,</w:t>
      </w:r>
      <w:r w:rsidRPr="00C150AE">
        <w:rPr>
          <w:rFonts w:ascii="Book Antiqua" w:hAnsi="Book Antiqua"/>
          <w:spacing w:val="-26"/>
          <w:sz w:val="22"/>
          <w:szCs w:val="22"/>
        </w:rPr>
        <w:t xml:space="preserve"> </w:t>
      </w:r>
      <w:r w:rsidR="00C150AE">
        <w:rPr>
          <w:rFonts w:ascii="Book Antiqua" w:hAnsi="Book Antiqua"/>
          <w:sz w:val="22"/>
          <w:szCs w:val="22"/>
        </w:rPr>
        <w:t>at</w:t>
      </w:r>
      <w:r w:rsidRPr="00C150AE">
        <w:rPr>
          <w:rFonts w:ascii="Book Antiqua" w:hAnsi="Book Antiqua"/>
          <w:spacing w:val="-26"/>
          <w:sz w:val="22"/>
          <w:szCs w:val="22"/>
        </w:rPr>
        <w:t xml:space="preserve"> </w:t>
      </w:r>
      <w:r w:rsidRPr="00C150AE">
        <w:rPr>
          <w:rFonts w:ascii="Book Antiqua" w:hAnsi="Book Antiqua"/>
          <w:sz w:val="22"/>
          <w:szCs w:val="22"/>
        </w:rPr>
        <w:t>43-44.</w:t>
      </w:r>
    </w:p>
  </w:footnote>
  <w:footnote w:id="292">
    <w:p w14:paraId="400798C6" w14:textId="77777777" w:rsidR="00400A0E" w:rsidRPr="00C150AE" w:rsidRDefault="00400A0E" w:rsidP="00C150AE">
      <w:pPr>
        <w:spacing w:after="120" w:line="232" w:lineRule="exact"/>
        <w:rPr>
          <w:rFonts w:ascii="Book Antiqua" w:hAnsi="Book Antiqua"/>
          <w:sz w:val="22"/>
          <w:szCs w:val="22"/>
        </w:rPr>
      </w:pPr>
      <w:r w:rsidRPr="00C150AE">
        <w:rPr>
          <w:rStyle w:val="FootnoteReference"/>
          <w:rFonts w:ascii="Book Antiqua" w:hAnsi="Book Antiqua"/>
          <w:sz w:val="22"/>
          <w:szCs w:val="22"/>
        </w:rPr>
        <w:footnoteRef/>
      </w:r>
      <w:r w:rsidRPr="00C150AE">
        <w:rPr>
          <w:rFonts w:ascii="Book Antiqua" w:hAnsi="Book Antiqua"/>
          <w:sz w:val="22"/>
          <w:szCs w:val="22"/>
        </w:rPr>
        <w:t xml:space="preserve"> </w:t>
      </w:r>
      <w:r w:rsidRPr="00C150AE">
        <w:rPr>
          <w:rFonts w:ascii="Book Antiqua" w:hAnsi="Book Antiqua"/>
          <w:i/>
          <w:iCs/>
          <w:sz w:val="22"/>
          <w:szCs w:val="22"/>
        </w:rPr>
        <w:t>See</w:t>
      </w:r>
      <w:r w:rsidRPr="00C150AE">
        <w:rPr>
          <w:rFonts w:ascii="Book Antiqua" w:hAnsi="Book Antiqua"/>
          <w:sz w:val="22"/>
          <w:szCs w:val="22"/>
        </w:rPr>
        <w:t xml:space="preserve"> D.06-08-030, Conclusion of Law 32.</w:t>
      </w:r>
    </w:p>
  </w:footnote>
  <w:footnote w:id="293">
    <w:p w14:paraId="7E7CBB4B" w14:textId="2142B2E7" w:rsidR="00400A0E" w:rsidRPr="00C150AE" w:rsidRDefault="00400A0E" w:rsidP="00C150AE">
      <w:pPr>
        <w:pStyle w:val="FootnoteText"/>
        <w:rPr>
          <w:rFonts w:ascii="Book Antiqua" w:hAnsi="Book Antiqua"/>
          <w:szCs w:val="22"/>
        </w:rPr>
      </w:pPr>
      <w:r>
        <w:rPr>
          <w:rStyle w:val="FootnoteReference"/>
        </w:rPr>
        <w:footnoteRef/>
      </w:r>
      <w:r>
        <w:t xml:space="preserve"> </w:t>
      </w:r>
      <w:r w:rsidRPr="00C150AE">
        <w:rPr>
          <w:rFonts w:ascii="Book Antiqua" w:hAnsi="Book Antiqua"/>
          <w:szCs w:val="22"/>
        </w:rPr>
        <w:t>FCC</w:t>
      </w:r>
      <w:r w:rsidRPr="00C150AE">
        <w:rPr>
          <w:rFonts w:ascii="Book Antiqua" w:hAnsi="Book Antiqua"/>
          <w:spacing w:val="-24"/>
          <w:szCs w:val="22"/>
        </w:rPr>
        <w:t xml:space="preserve"> </w:t>
      </w:r>
      <w:r w:rsidRPr="00C150AE">
        <w:rPr>
          <w:rFonts w:ascii="Book Antiqua" w:hAnsi="Book Antiqua"/>
          <w:spacing w:val="2"/>
          <w:szCs w:val="22"/>
        </w:rPr>
        <w:t>20-111,</w:t>
      </w:r>
      <w:r w:rsidRPr="00C150AE">
        <w:rPr>
          <w:rFonts w:ascii="Book Antiqua" w:hAnsi="Book Antiqua"/>
          <w:spacing w:val="-31"/>
          <w:szCs w:val="22"/>
        </w:rPr>
        <w:t xml:space="preserve"> </w:t>
      </w:r>
      <w:r w:rsidRPr="00C150AE">
        <w:rPr>
          <w:rFonts w:ascii="Book Antiqua" w:hAnsi="Book Antiqua"/>
          <w:i/>
          <w:szCs w:val="22"/>
        </w:rPr>
        <w:t>Report</w:t>
      </w:r>
      <w:r w:rsidRPr="00C150AE">
        <w:rPr>
          <w:rFonts w:ascii="Book Antiqua" w:hAnsi="Book Antiqua"/>
          <w:i/>
          <w:spacing w:val="-23"/>
          <w:szCs w:val="22"/>
        </w:rPr>
        <w:t xml:space="preserve"> </w:t>
      </w:r>
      <w:r w:rsidRPr="00C150AE">
        <w:rPr>
          <w:rFonts w:ascii="Book Antiqua" w:hAnsi="Book Antiqua"/>
          <w:i/>
          <w:szCs w:val="22"/>
        </w:rPr>
        <w:t>and</w:t>
      </w:r>
      <w:r w:rsidRPr="00C150AE">
        <w:rPr>
          <w:rFonts w:ascii="Book Antiqua" w:hAnsi="Book Antiqua"/>
          <w:i/>
          <w:spacing w:val="-22"/>
          <w:szCs w:val="22"/>
        </w:rPr>
        <w:t xml:space="preserve"> </w:t>
      </w:r>
      <w:r w:rsidRPr="00C150AE">
        <w:rPr>
          <w:rFonts w:ascii="Book Antiqua" w:hAnsi="Book Antiqua"/>
          <w:i/>
          <w:spacing w:val="-3"/>
          <w:szCs w:val="22"/>
        </w:rPr>
        <w:t>Order</w:t>
      </w:r>
      <w:r w:rsidRPr="00C150AE">
        <w:rPr>
          <w:rFonts w:ascii="Book Antiqua" w:hAnsi="Book Antiqua"/>
          <w:i/>
          <w:spacing w:val="-29"/>
          <w:szCs w:val="22"/>
        </w:rPr>
        <w:t xml:space="preserve"> </w:t>
      </w:r>
      <w:r w:rsidRPr="00C150AE">
        <w:rPr>
          <w:rFonts w:ascii="Book Antiqua" w:hAnsi="Book Antiqua"/>
          <w:i/>
          <w:spacing w:val="3"/>
          <w:szCs w:val="22"/>
        </w:rPr>
        <w:t>on</w:t>
      </w:r>
      <w:r w:rsidRPr="00C150AE">
        <w:rPr>
          <w:rFonts w:ascii="Book Antiqua" w:hAnsi="Book Antiqua"/>
          <w:i/>
          <w:spacing w:val="-22"/>
          <w:szCs w:val="22"/>
        </w:rPr>
        <w:t xml:space="preserve"> </w:t>
      </w:r>
      <w:r w:rsidRPr="00C150AE">
        <w:rPr>
          <w:rFonts w:ascii="Book Antiqua" w:hAnsi="Book Antiqua"/>
          <w:i/>
          <w:szCs w:val="22"/>
        </w:rPr>
        <w:t>Remand</w:t>
      </w:r>
      <w:r w:rsidRPr="00C150AE">
        <w:rPr>
          <w:rFonts w:ascii="Book Antiqua" w:hAnsi="Book Antiqua"/>
          <w:i/>
          <w:spacing w:val="-34"/>
          <w:szCs w:val="22"/>
        </w:rPr>
        <w:t xml:space="preserve"> </w:t>
      </w:r>
      <w:r w:rsidRPr="00C150AE">
        <w:rPr>
          <w:rFonts w:ascii="Book Antiqua" w:hAnsi="Book Antiqua"/>
          <w:i/>
          <w:szCs w:val="22"/>
        </w:rPr>
        <w:t>and</w:t>
      </w:r>
      <w:r w:rsidRPr="00C150AE">
        <w:rPr>
          <w:rFonts w:ascii="Book Antiqua" w:hAnsi="Book Antiqua"/>
          <w:i/>
          <w:spacing w:val="-22"/>
          <w:szCs w:val="22"/>
        </w:rPr>
        <w:t xml:space="preserve"> </w:t>
      </w:r>
      <w:r w:rsidRPr="00C150AE">
        <w:rPr>
          <w:rFonts w:ascii="Book Antiqua" w:hAnsi="Book Antiqua"/>
          <w:i/>
          <w:spacing w:val="-2"/>
          <w:szCs w:val="22"/>
        </w:rPr>
        <w:t>Fourth</w:t>
      </w:r>
      <w:r w:rsidRPr="00C150AE">
        <w:rPr>
          <w:rFonts w:ascii="Book Antiqua" w:hAnsi="Book Antiqua"/>
          <w:i/>
          <w:spacing w:val="-22"/>
          <w:szCs w:val="22"/>
        </w:rPr>
        <w:t xml:space="preserve"> </w:t>
      </w:r>
      <w:r w:rsidRPr="00C150AE">
        <w:rPr>
          <w:rFonts w:ascii="Book Antiqua" w:hAnsi="Book Antiqua"/>
          <w:i/>
          <w:szCs w:val="22"/>
        </w:rPr>
        <w:t>Further</w:t>
      </w:r>
      <w:r w:rsidRPr="00C150AE">
        <w:rPr>
          <w:rFonts w:ascii="Book Antiqua" w:hAnsi="Book Antiqua"/>
          <w:i/>
          <w:spacing w:val="-29"/>
          <w:szCs w:val="22"/>
        </w:rPr>
        <w:t xml:space="preserve"> </w:t>
      </w:r>
      <w:r w:rsidRPr="00C150AE">
        <w:rPr>
          <w:rFonts w:ascii="Book Antiqua" w:hAnsi="Book Antiqua"/>
          <w:i/>
          <w:spacing w:val="2"/>
          <w:szCs w:val="22"/>
        </w:rPr>
        <w:t>Notice of</w:t>
      </w:r>
      <w:r w:rsidRPr="00C150AE">
        <w:rPr>
          <w:rFonts w:ascii="Book Antiqua" w:hAnsi="Book Antiqua"/>
          <w:i/>
          <w:spacing w:val="-24"/>
          <w:szCs w:val="22"/>
        </w:rPr>
        <w:t xml:space="preserve"> </w:t>
      </w:r>
      <w:r w:rsidRPr="00C150AE">
        <w:rPr>
          <w:rFonts w:ascii="Book Antiqua" w:hAnsi="Book Antiqua"/>
          <w:i/>
          <w:szCs w:val="22"/>
        </w:rPr>
        <w:t>Proposed</w:t>
      </w:r>
      <w:r w:rsidRPr="00C150AE">
        <w:rPr>
          <w:rFonts w:ascii="Book Antiqua" w:hAnsi="Book Antiqua"/>
          <w:i/>
          <w:spacing w:val="-34"/>
          <w:szCs w:val="22"/>
        </w:rPr>
        <w:t xml:space="preserve"> </w:t>
      </w:r>
      <w:r w:rsidRPr="00C150AE">
        <w:rPr>
          <w:rFonts w:ascii="Book Antiqua" w:hAnsi="Book Antiqua"/>
          <w:i/>
          <w:szCs w:val="22"/>
        </w:rPr>
        <w:t>Rulemaking</w:t>
      </w:r>
      <w:r w:rsidRPr="00C150AE">
        <w:rPr>
          <w:rFonts w:ascii="Book Antiqua" w:hAnsi="Book Antiqua"/>
          <w:i/>
          <w:spacing w:val="-23"/>
          <w:szCs w:val="22"/>
        </w:rPr>
        <w:t xml:space="preserve"> </w:t>
      </w:r>
      <w:r w:rsidRPr="00C150AE">
        <w:rPr>
          <w:rFonts w:ascii="Book Antiqua" w:hAnsi="Book Antiqua"/>
          <w:szCs w:val="22"/>
        </w:rPr>
        <w:t>(</w:t>
      </w:r>
      <w:r w:rsidR="00773216" w:rsidRPr="00C150AE">
        <w:rPr>
          <w:rFonts w:ascii="Book Antiqua" w:hAnsi="Book Antiqua"/>
          <w:spacing w:val="-3"/>
          <w:szCs w:val="22"/>
        </w:rPr>
        <w:t>2020 Order on Remand</w:t>
      </w:r>
      <w:r w:rsidRPr="00C150AE">
        <w:rPr>
          <w:rFonts w:ascii="Book Antiqua" w:hAnsi="Book Antiqua"/>
          <w:spacing w:val="-3"/>
          <w:szCs w:val="22"/>
        </w:rPr>
        <w:t>)</w:t>
      </w:r>
      <w:r w:rsidRPr="00C150AE">
        <w:rPr>
          <w:rFonts w:ascii="Book Antiqua" w:hAnsi="Book Antiqua"/>
          <w:spacing w:val="-30"/>
          <w:szCs w:val="22"/>
        </w:rPr>
        <w:t xml:space="preserve"> </w:t>
      </w:r>
      <w:r w:rsidRPr="00C150AE">
        <w:rPr>
          <w:rFonts w:ascii="Book Antiqua" w:hAnsi="Book Antiqua"/>
          <w:szCs w:val="22"/>
        </w:rPr>
        <w:t>(August</w:t>
      </w:r>
      <w:r w:rsidRPr="00C150AE">
        <w:rPr>
          <w:rFonts w:ascii="Book Antiqua" w:hAnsi="Book Antiqua"/>
          <w:spacing w:val="-24"/>
          <w:szCs w:val="22"/>
        </w:rPr>
        <w:t xml:space="preserve"> </w:t>
      </w:r>
      <w:r w:rsidRPr="00C150AE">
        <w:rPr>
          <w:rFonts w:ascii="Book Antiqua" w:hAnsi="Book Antiqua"/>
          <w:spacing w:val="-4"/>
          <w:szCs w:val="22"/>
        </w:rPr>
        <w:t xml:space="preserve">7, </w:t>
      </w:r>
      <w:r w:rsidRPr="00C150AE">
        <w:rPr>
          <w:rFonts w:ascii="Book Antiqua" w:hAnsi="Book Antiqua"/>
          <w:spacing w:val="3"/>
          <w:szCs w:val="22"/>
        </w:rPr>
        <w:t>2020),</w:t>
      </w:r>
      <w:r w:rsidRPr="00C150AE">
        <w:rPr>
          <w:rFonts w:ascii="Book Antiqua" w:hAnsi="Book Antiqua"/>
          <w:spacing w:val="-45"/>
          <w:szCs w:val="22"/>
        </w:rPr>
        <w:t xml:space="preserve"> </w:t>
      </w:r>
      <w:r w:rsidRPr="00C150AE">
        <w:rPr>
          <w:rFonts w:ascii="Book Antiqua" w:hAnsi="Book Antiqua"/>
          <w:szCs w:val="22"/>
        </w:rPr>
        <w:t xml:space="preserve">¶ </w:t>
      </w:r>
      <w:r w:rsidRPr="00C150AE">
        <w:rPr>
          <w:rFonts w:ascii="Book Antiqua" w:hAnsi="Book Antiqua"/>
          <w:spacing w:val="3"/>
          <w:szCs w:val="22"/>
        </w:rPr>
        <w:t>2.</w:t>
      </w:r>
    </w:p>
  </w:footnote>
  <w:footnote w:id="294">
    <w:p w14:paraId="122A2482" w14:textId="77777777" w:rsidR="00400A0E" w:rsidRPr="00C150AE" w:rsidRDefault="00400A0E" w:rsidP="00C150AE">
      <w:pPr>
        <w:pStyle w:val="FootnoteText"/>
        <w:rPr>
          <w:rFonts w:ascii="Book Antiqua" w:hAnsi="Book Antiqua"/>
          <w:szCs w:val="22"/>
        </w:rPr>
      </w:pPr>
      <w:r w:rsidRPr="00C150AE">
        <w:rPr>
          <w:rStyle w:val="FootnoteReference"/>
          <w:rFonts w:ascii="Book Antiqua" w:hAnsi="Book Antiqua"/>
          <w:szCs w:val="22"/>
        </w:rPr>
        <w:footnoteRef/>
      </w:r>
      <w:r w:rsidRPr="00C150AE">
        <w:rPr>
          <w:rFonts w:ascii="Book Antiqua" w:hAnsi="Book Antiqua"/>
          <w:szCs w:val="22"/>
        </w:rPr>
        <w:t xml:space="preserve"> FCC 64.60000 defines </w:t>
      </w:r>
      <w:bookmarkStart w:id="85" w:name="_Hlk73454561"/>
      <w:r w:rsidRPr="00C150AE">
        <w:rPr>
          <w:rFonts w:ascii="Book Antiqua" w:hAnsi="Book Antiqua"/>
          <w:szCs w:val="22"/>
        </w:rPr>
        <w:t>prisons as including facilities that would otherwise fall under the definition of a jail but in which the majority of inmates are post-conviction or are committed to confinement for sentences of longer than one year.</w:t>
      </w:r>
      <w:bookmarkEnd w:id="85"/>
    </w:p>
  </w:footnote>
  <w:footnote w:id="295">
    <w:p w14:paraId="75C7573B" w14:textId="4AED4607" w:rsidR="00400A0E" w:rsidRPr="00C150AE" w:rsidRDefault="00400A0E" w:rsidP="00C150AE">
      <w:pPr>
        <w:pStyle w:val="NormalWeb"/>
        <w:shd w:val="clear" w:color="auto" w:fill="FFFFFF" w:themeFill="background1"/>
        <w:spacing w:after="120"/>
        <w:rPr>
          <w:rFonts w:ascii="Book Antiqua" w:hAnsi="Book Antiqua"/>
          <w:color w:val="222222"/>
          <w:sz w:val="22"/>
          <w:szCs w:val="22"/>
        </w:rPr>
      </w:pPr>
      <w:r w:rsidRPr="00C150AE">
        <w:rPr>
          <w:rStyle w:val="FootnoteReference"/>
          <w:rFonts w:ascii="Book Antiqua" w:hAnsi="Book Antiqua"/>
          <w:sz w:val="22"/>
          <w:szCs w:val="22"/>
        </w:rPr>
        <w:footnoteRef/>
      </w:r>
      <w:r w:rsidRPr="00C150AE">
        <w:rPr>
          <w:rFonts w:ascii="Book Antiqua" w:hAnsi="Book Antiqua"/>
          <w:sz w:val="22"/>
          <w:szCs w:val="22"/>
        </w:rPr>
        <w:t xml:space="preserve"> </w:t>
      </w:r>
      <w:bookmarkStart w:id="86" w:name="_Hlk73454598"/>
      <w:r w:rsidRPr="00C150AE">
        <w:rPr>
          <w:rFonts w:ascii="Book Antiqua" w:hAnsi="Book Antiqua"/>
          <w:sz w:val="22"/>
          <w:szCs w:val="22"/>
        </w:rPr>
        <w:t xml:space="preserve">FCC 64.60000 defines jails as </w:t>
      </w:r>
      <w:r w:rsidRPr="00C150AE">
        <w:rPr>
          <w:rFonts w:ascii="Book Antiqua" w:hAnsi="Book Antiqua"/>
          <w:color w:val="222222"/>
          <w:sz w:val="22"/>
          <w:szCs w:val="22"/>
        </w:rPr>
        <w:t>a facility of a local, state, or federal law enforcement agency that is used primarily to hold individuals who are; (1) Awaiting adjudication of criminal charges; (2)</w:t>
      </w:r>
      <w:r w:rsidR="00C150AE">
        <w:rPr>
          <w:rFonts w:ascii="Book Antiqua" w:hAnsi="Book Antiqua"/>
          <w:color w:val="222222"/>
          <w:sz w:val="22"/>
          <w:szCs w:val="22"/>
        </w:rPr>
        <w:t> </w:t>
      </w:r>
      <w:r w:rsidRPr="00C150AE">
        <w:rPr>
          <w:rFonts w:ascii="Book Antiqua" w:hAnsi="Book Antiqua"/>
          <w:color w:val="222222"/>
          <w:sz w:val="22"/>
          <w:szCs w:val="22"/>
        </w:rPr>
        <w:t>Post</w:t>
      </w:r>
      <w:r w:rsidR="00C150AE">
        <w:rPr>
          <w:rFonts w:ascii="Book Antiqua" w:hAnsi="Book Antiqua"/>
          <w:color w:val="222222"/>
          <w:sz w:val="22"/>
          <w:szCs w:val="22"/>
        </w:rPr>
        <w:noBreakHyphen/>
      </w:r>
      <w:r w:rsidRPr="00C150AE">
        <w:rPr>
          <w:rFonts w:ascii="Book Antiqua" w:hAnsi="Book Antiqua"/>
          <w:color w:val="222222"/>
          <w:sz w:val="22"/>
          <w:szCs w:val="22"/>
        </w:rPr>
        <w:t>conviction and committed to confinement for sentences of one year or less; or (3)</w:t>
      </w:r>
      <w:r w:rsidR="00C150AE">
        <w:rPr>
          <w:rFonts w:ascii="Book Antiqua" w:hAnsi="Book Antiqua"/>
          <w:color w:val="222222"/>
          <w:sz w:val="22"/>
          <w:szCs w:val="22"/>
        </w:rPr>
        <w:t> </w:t>
      </w:r>
      <w:r w:rsidRPr="00C150AE">
        <w:rPr>
          <w:rFonts w:ascii="Book Antiqua" w:hAnsi="Book Antiqua"/>
          <w:color w:val="222222"/>
          <w:sz w:val="22"/>
          <w:szCs w:val="22"/>
        </w:rPr>
        <w:t>Post</w:t>
      </w:r>
      <w:r w:rsidR="00C150AE">
        <w:rPr>
          <w:rFonts w:ascii="Book Antiqua" w:hAnsi="Book Antiqua"/>
          <w:color w:val="222222"/>
          <w:sz w:val="22"/>
          <w:szCs w:val="22"/>
        </w:rPr>
        <w:noBreakHyphen/>
      </w:r>
      <w:r w:rsidRPr="00C150AE">
        <w:rPr>
          <w:rFonts w:ascii="Book Antiqua" w:hAnsi="Book Antiqua"/>
          <w:color w:val="222222"/>
          <w:sz w:val="22"/>
          <w:szCs w:val="22"/>
        </w:rPr>
        <w:t>conviction and awaiting transfer to another facility. The term also includes city, county or regional facilities that have contracted with a private company to manage day-to-day operations; privately-owned and operated facilities primarily engaged in housing city, county or regional inmates; and facilities used to detain individuals pursuant to a contract with U.S. Immigration and Customs Enforcement</w:t>
      </w:r>
      <w:bookmarkEnd w:id="86"/>
      <w:r w:rsidRPr="00C150AE">
        <w:rPr>
          <w:rFonts w:ascii="Book Antiqua" w:hAnsi="Book Antiqua"/>
          <w:color w:val="222222"/>
          <w:sz w:val="22"/>
          <w:szCs w:val="22"/>
        </w:rPr>
        <w:t>.</w:t>
      </w:r>
    </w:p>
  </w:footnote>
  <w:footnote w:id="296">
    <w:p w14:paraId="7B6A61A0" w14:textId="77777777" w:rsidR="00400A0E" w:rsidRPr="00C150AE" w:rsidRDefault="00400A0E" w:rsidP="00C150AE">
      <w:pPr>
        <w:pStyle w:val="FootnoteText"/>
        <w:rPr>
          <w:rFonts w:ascii="Book Antiqua" w:hAnsi="Book Antiqua"/>
          <w:szCs w:val="22"/>
        </w:rPr>
      </w:pPr>
      <w:r w:rsidRPr="00C150AE">
        <w:rPr>
          <w:rStyle w:val="FootnoteReference"/>
          <w:rFonts w:ascii="Book Antiqua" w:hAnsi="Book Antiqua"/>
          <w:szCs w:val="22"/>
        </w:rPr>
        <w:footnoteRef/>
      </w:r>
      <w:r w:rsidRPr="00C150AE">
        <w:rPr>
          <w:rFonts w:ascii="Book Antiqua" w:hAnsi="Book Antiqua"/>
          <w:szCs w:val="22"/>
        </w:rPr>
        <w:t xml:space="preserve"> Fifth NPRM, ¶ 3, page 3.  The Fifth NPRM additionally allows providers to pass on site commission payments that are mandated by federal, state, or local law to consumers without any markup (</w:t>
      </w:r>
      <w:r w:rsidRPr="00C150AE">
        <w:rPr>
          <w:rFonts w:ascii="Book Antiqua" w:hAnsi="Book Antiqua"/>
          <w:i/>
          <w:iCs/>
          <w:szCs w:val="22"/>
        </w:rPr>
        <w:t>Ibid</w:t>
      </w:r>
      <w:r w:rsidRPr="00C150AE">
        <w:rPr>
          <w:rFonts w:ascii="Book Antiqua" w:hAnsi="Book Antiqua"/>
          <w:szCs w:val="22"/>
        </w:rPr>
        <w:t>.)</w:t>
      </w:r>
    </w:p>
  </w:footnote>
  <w:footnote w:id="297">
    <w:p w14:paraId="3B30263F" w14:textId="0BA4586E" w:rsidR="00400A0E" w:rsidRPr="00C150AE" w:rsidRDefault="00400A0E" w:rsidP="00C150AE">
      <w:pPr>
        <w:spacing w:before="77" w:after="120"/>
        <w:ind w:right="109"/>
        <w:rPr>
          <w:rFonts w:ascii="Book Antiqua" w:hAnsi="Book Antiqua"/>
          <w:sz w:val="22"/>
          <w:szCs w:val="22"/>
        </w:rPr>
      </w:pPr>
      <w:r w:rsidRPr="00C150AE">
        <w:rPr>
          <w:rStyle w:val="FootnoteReference"/>
          <w:rFonts w:ascii="Book Antiqua" w:hAnsi="Book Antiqua"/>
          <w:sz w:val="22"/>
          <w:szCs w:val="22"/>
        </w:rPr>
        <w:footnoteRef/>
      </w:r>
      <w:r w:rsidRPr="00C150AE">
        <w:rPr>
          <w:rFonts w:ascii="Book Antiqua" w:hAnsi="Book Antiqua"/>
          <w:sz w:val="22"/>
          <w:szCs w:val="22"/>
        </w:rPr>
        <w:t xml:space="preserve"> For the purposes of California, Staff recommends the Commission adopt the FCC’s definition of prisons and jails for all detention facilities. Staff does not explicitly or implicitly recommend exempting any facility type. Facilities include a</w:t>
      </w:r>
      <w:r w:rsidRPr="00C150AE">
        <w:rPr>
          <w:rFonts w:ascii="Book Antiqua" w:hAnsi="Book Antiqua"/>
          <w:spacing w:val="3"/>
          <w:sz w:val="22"/>
          <w:szCs w:val="22"/>
        </w:rPr>
        <w:t>ny</w:t>
      </w:r>
      <w:r w:rsidRPr="00C150AE">
        <w:rPr>
          <w:rFonts w:ascii="Book Antiqua" w:hAnsi="Book Antiqua"/>
          <w:spacing w:val="-30"/>
          <w:sz w:val="22"/>
          <w:szCs w:val="22"/>
        </w:rPr>
        <w:t xml:space="preserve"> </w:t>
      </w:r>
      <w:r w:rsidRPr="00C150AE">
        <w:rPr>
          <w:rFonts w:ascii="Book Antiqua" w:hAnsi="Book Antiqua"/>
          <w:sz w:val="22"/>
          <w:szCs w:val="22"/>
        </w:rPr>
        <w:t>local,</w:t>
      </w:r>
      <w:r w:rsidRPr="00C150AE">
        <w:rPr>
          <w:rFonts w:ascii="Book Antiqua" w:hAnsi="Book Antiqua"/>
          <w:spacing w:val="-25"/>
          <w:sz w:val="22"/>
          <w:szCs w:val="22"/>
        </w:rPr>
        <w:t xml:space="preserve"> </w:t>
      </w:r>
      <w:r w:rsidRPr="00C150AE">
        <w:rPr>
          <w:rFonts w:ascii="Book Antiqua" w:hAnsi="Book Antiqua"/>
          <w:spacing w:val="2"/>
          <w:sz w:val="22"/>
          <w:szCs w:val="22"/>
        </w:rPr>
        <w:t>state,</w:t>
      </w:r>
      <w:r w:rsidRPr="00C150AE">
        <w:rPr>
          <w:rFonts w:ascii="Book Antiqua" w:hAnsi="Book Antiqua"/>
          <w:spacing w:val="-26"/>
          <w:sz w:val="22"/>
          <w:szCs w:val="22"/>
        </w:rPr>
        <w:t xml:space="preserve"> </w:t>
      </w:r>
      <w:r w:rsidRPr="00C150AE">
        <w:rPr>
          <w:rFonts w:ascii="Book Antiqua" w:hAnsi="Book Antiqua"/>
          <w:spacing w:val="3"/>
          <w:sz w:val="22"/>
          <w:szCs w:val="22"/>
        </w:rPr>
        <w:t>or</w:t>
      </w:r>
      <w:r w:rsidRPr="00C150AE">
        <w:rPr>
          <w:rFonts w:ascii="Book Antiqua" w:hAnsi="Book Antiqua"/>
          <w:spacing w:val="-27"/>
          <w:sz w:val="22"/>
          <w:szCs w:val="22"/>
        </w:rPr>
        <w:t xml:space="preserve"> </w:t>
      </w:r>
      <w:r w:rsidRPr="00C150AE">
        <w:rPr>
          <w:rFonts w:ascii="Book Antiqua" w:hAnsi="Book Antiqua"/>
          <w:sz w:val="22"/>
          <w:szCs w:val="22"/>
        </w:rPr>
        <w:t>federal correctional</w:t>
      </w:r>
      <w:r w:rsidRPr="00C150AE">
        <w:rPr>
          <w:rFonts w:ascii="Book Antiqua" w:hAnsi="Book Antiqua"/>
          <w:spacing w:val="-33"/>
          <w:sz w:val="22"/>
          <w:szCs w:val="22"/>
        </w:rPr>
        <w:t xml:space="preserve"> </w:t>
      </w:r>
      <w:r w:rsidRPr="00C150AE">
        <w:rPr>
          <w:rFonts w:ascii="Book Antiqua" w:hAnsi="Book Antiqua"/>
          <w:spacing w:val="3"/>
          <w:sz w:val="22"/>
          <w:szCs w:val="22"/>
        </w:rPr>
        <w:t>or</w:t>
      </w:r>
      <w:r w:rsidRPr="00C150AE">
        <w:rPr>
          <w:rFonts w:ascii="Book Antiqua" w:hAnsi="Book Antiqua"/>
          <w:spacing w:val="-28"/>
          <w:sz w:val="22"/>
          <w:szCs w:val="22"/>
        </w:rPr>
        <w:t xml:space="preserve"> </w:t>
      </w:r>
      <w:r w:rsidRPr="00C150AE">
        <w:rPr>
          <w:rFonts w:ascii="Book Antiqua" w:hAnsi="Book Antiqua"/>
          <w:sz w:val="22"/>
          <w:szCs w:val="22"/>
        </w:rPr>
        <w:t>detention</w:t>
      </w:r>
      <w:r w:rsidRPr="00C150AE">
        <w:rPr>
          <w:rFonts w:ascii="Book Antiqua" w:hAnsi="Book Antiqua"/>
          <w:spacing w:val="-27"/>
          <w:sz w:val="22"/>
          <w:szCs w:val="22"/>
        </w:rPr>
        <w:t xml:space="preserve"> </w:t>
      </w:r>
      <w:r w:rsidRPr="00C150AE">
        <w:rPr>
          <w:rFonts w:ascii="Book Antiqua" w:hAnsi="Book Antiqua"/>
          <w:sz w:val="22"/>
          <w:szCs w:val="22"/>
        </w:rPr>
        <w:t>facility</w:t>
      </w:r>
      <w:r w:rsidRPr="00C150AE">
        <w:rPr>
          <w:rFonts w:ascii="Book Antiqua" w:hAnsi="Book Antiqua"/>
          <w:spacing w:val="-15"/>
          <w:sz w:val="22"/>
          <w:szCs w:val="22"/>
        </w:rPr>
        <w:t xml:space="preserve"> </w:t>
      </w:r>
      <w:r w:rsidRPr="00C150AE">
        <w:rPr>
          <w:rFonts w:ascii="Book Antiqua" w:hAnsi="Book Antiqua"/>
          <w:sz w:val="22"/>
          <w:szCs w:val="22"/>
        </w:rPr>
        <w:t>type</w:t>
      </w:r>
      <w:r w:rsidRPr="00C150AE">
        <w:rPr>
          <w:rFonts w:ascii="Book Antiqua" w:hAnsi="Book Antiqua"/>
          <w:spacing w:val="-35"/>
          <w:sz w:val="22"/>
          <w:szCs w:val="22"/>
        </w:rPr>
        <w:t xml:space="preserve"> </w:t>
      </w:r>
      <w:r w:rsidRPr="00C150AE">
        <w:rPr>
          <w:rFonts w:ascii="Book Antiqua" w:hAnsi="Book Antiqua"/>
          <w:sz w:val="22"/>
          <w:szCs w:val="22"/>
        </w:rPr>
        <w:t>operated</w:t>
      </w:r>
      <w:r w:rsidRPr="00C150AE">
        <w:rPr>
          <w:rFonts w:ascii="Book Antiqua" w:hAnsi="Book Antiqua"/>
          <w:spacing w:val="-15"/>
          <w:sz w:val="22"/>
          <w:szCs w:val="22"/>
        </w:rPr>
        <w:t xml:space="preserve"> </w:t>
      </w:r>
      <w:r w:rsidRPr="00C150AE">
        <w:rPr>
          <w:rFonts w:ascii="Book Antiqua" w:hAnsi="Book Antiqua"/>
          <w:spacing w:val="-5"/>
          <w:sz w:val="22"/>
          <w:szCs w:val="22"/>
        </w:rPr>
        <w:t xml:space="preserve">in </w:t>
      </w:r>
      <w:r w:rsidRPr="00C150AE">
        <w:rPr>
          <w:rFonts w:ascii="Book Antiqua" w:hAnsi="Book Antiqua"/>
          <w:sz w:val="22"/>
          <w:szCs w:val="22"/>
        </w:rPr>
        <w:t>California</w:t>
      </w:r>
      <w:r w:rsidRPr="00C150AE">
        <w:rPr>
          <w:rFonts w:ascii="Book Antiqua" w:hAnsi="Book Antiqua"/>
          <w:spacing w:val="-24"/>
          <w:sz w:val="22"/>
          <w:szCs w:val="22"/>
        </w:rPr>
        <w:t xml:space="preserve"> </w:t>
      </w:r>
      <w:r w:rsidRPr="00C150AE">
        <w:rPr>
          <w:rFonts w:ascii="Book Antiqua" w:hAnsi="Book Antiqua"/>
          <w:sz w:val="22"/>
          <w:szCs w:val="22"/>
        </w:rPr>
        <w:t>housing</w:t>
      </w:r>
      <w:r w:rsidRPr="00C150AE">
        <w:rPr>
          <w:rFonts w:ascii="Book Antiqua" w:hAnsi="Book Antiqua"/>
          <w:spacing w:val="-34"/>
          <w:sz w:val="22"/>
          <w:szCs w:val="22"/>
        </w:rPr>
        <w:t xml:space="preserve"> </w:t>
      </w:r>
      <w:r w:rsidRPr="00C150AE">
        <w:rPr>
          <w:rFonts w:ascii="Book Antiqua" w:hAnsi="Book Antiqua"/>
          <w:spacing w:val="2"/>
          <w:sz w:val="22"/>
          <w:szCs w:val="22"/>
        </w:rPr>
        <w:t>adults and/or</w:t>
      </w:r>
      <w:r w:rsidRPr="00C150AE">
        <w:rPr>
          <w:rFonts w:ascii="Book Antiqua" w:hAnsi="Book Antiqua"/>
          <w:spacing w:val="-32"/>
          <w:sz w:val="22"/>
          <w:szCs w:val="22"/>
        </w:rPr>
        <w:t xml:space="preserve"> </w:t>
      </w:r>
      <w:r w:rsidRPr="00C150AE">
        <w:rPr>
          <w:rFonts w:ascii="Book Antiqua" w:hAnsi="Book Antiqua"/>
          <w:sz w:val="22"/>
          <w:szCs w:val="22"/>
        </w:rPr>
        <w:t>juveniles,</w:t>
      </w:r>
      <w:r w:rsidR="00C150AE">
        <w:rPr>
          <w:rFonts w:ascii="Book Antiqua" w:hAnsi="Book Antiqua"/>
          <w:sz w:val="22"/>
          <w:szCs w:val="22"/>
        </w:rPr>
        <w:t xml:space="preserve"> </w:t>
      </w:r>
      <w:r w:rsidRPr="00C150AE">
        <w:rPr>
          <w:rFonts w:ascii="Book Antiqua" w:hAnsi="Book Antiqua"/>
          <w:spacing w:val="-32"/>
          <w:sz w:val="22"/>
          <w:szCs w:val="22"/>
        </w:rPr>
        <w:t xml:space="preserve"> </w:t>
      </w:r>
      <w:r w:rsidRPr="00C150AE">
        <w:rPr>
          <w:rFonts w:ascii="Book Antiqua" w:hAnsi="Book Antiqua"/>
          <w:spacing w:val="8"/>
          <w:sz w:val="22"/>
          <w:szCs w:val="22"/>
        </w:rPr>
        <w:t>and</w:t>
      </w:r>
      <w:r w:rsidRPr="00C150AE">
        <w:rPr>
          <w:rFonts w:ascii="Book Antiqua" w:hAnsi="Book Antiqua"/>
          <w:spacing w:val="-30"/>
          <w:sz w:val="22"/>
          <w:szCs w:val="22"/>
        </w:rPr>
        <w:t xml:space="preserve"> </w:t>
      </w:r>
      <w:r w:rsidRPr="00C150AE">
        <w:rPr>
          <w:rFonts w:ascii="Book Antiqua" w:hAnsi="Book Antiqua"/>
          <w:sz w:val="22"/>
          <w:szCs w:val="22"/>
        </w:rPr>
        <w:t>including</w:t>
      </w:r>
      <w:r w:rsidRPr="00C150AE">
        <w:rPr>
          <w:rFonts w:ascii="Book Antiqua" w:hAnsi="Book Antiqua"/>
          <w:spacing w:val="-35"/>
          <w:sz w:val="22"/>
          <w:szCs w:val="22"/>
        </w:rPr>
        <w:t xml:space="preserve"> </w:t>
      </w:r>
      <w:r w:rsidRPr="00C150AE">
        <w:rPr>
          <w:rFonts w:ascii="Book Antiqua" w:hAnsi="Book Antiqua"/>
          <w:spacing w:val="4"/>
          <w:sz w:val="22"/>
          <w:szCs w:val="22"/>
        </w:rPr>
        <w:t>but</w:t>
      </w:r>
      <w:r w:rsidRPr="00C150AE">
        <w:rPr>
          <w:rFonts w:ascii="Book Antiqua" w:hAnsi="Book Antiqua"/>
          <w:spacing w:val="-23"/>
          <w:sz w:val="22"/>
          <w:szCs w:val="22"/>
        </w:rPr>
        <w:t xml:space="preserve"> </w:t>
      </w:r>
      <w:r w:rsidRPr="00C150AE">
        <w:rPr>
          <w:rFonts w:ascii="Book Antiqua" w:hAnsi="Book Antiqua"/>
          <w:sz w:val="22"/>
          <w:szCs w:val="22"/>
        </w:rPr>
        <w:t>not</w:t>
      </w:r>
      <w:r w:rsidRPr="00C150AE">
        <w:rPr>
          <w:rFonts w:ascii="Book Antiqua" w:hAnsi="Book Antiqua"/>
          <w:spacing w:val="-24"/>
          <w:sz w:val="22"/>
          <w:szCs w:val="22"/>
        </w:rPr>
        <w:t xml:space="preserve"> </w:t>
      </w:r>
      <w:r w:rsidRPr="00C150AE">
        <w:rPr>
          <w:rFonts w:ascii="Book Antiqua" w:hAnsi="Book Antiqua"/>
          <w:sz w:val="22"/>
          <w:szCs w:val="22"/>
        </w:rPr>
        <w:t>limited</w:t>
      </w:r>
      <w:r w:rsidRPr="00C150AE">
        <w:rPr>
          <w:rFonts w:ascii="Book Antiqua" w:hAnsi="Book Antiqua"/>
          <w:spacing w:val="-34"/>
          <w:sz w:val="22"/>
          <w:szCs w:val="22"/>
        </w:rPr>
        <w:t xml:space="preserve"> </w:t>
      </w:r>
      <w:r w:rsidRPr="00C150AE">
        <w:rPr>
          <w:rFonts w:ascii="Book Antiqua" w:hAnsi="Book Antiqua"/>
          <w:spacing w:val="3"/>
          <w:sz w:val="22"/>
          <w:szCs w:val="22"/>
        </w:rPr>
        <w:t>to</w:t>
      </w:r>
      <w:r w:rsidRPr="00C150AE">
        <w:rPr>
          <w:rFonts w:ascii="Book Antiqua" w:hAnsi="Book Antiqua"/>
          <w:spacing w:val="-18"/>
          <w:sz w:val="22"/>
          <w:szCs w:val="22"/>
        </w:rPr>
        <w:t xml:space="preserve"> </w:t>
      </w:r>
      <w:r w:rsidRPr="00C150AE">
        <w:rPr>
          <w:rFonts w:ascii="Book Antiqua" w:hAnsi="Book Antiqua"/>
          <w:sz w:val="22"/>
          <w:szCs w:val="22"/>
        </w:rPr>
        <w:t>city</w:t>
      </w:r>
      <w:r w:rsidRPr="00C150AE">
        <w:rPr>
          <w:rFonts w:ascii="Book Antiqua" w:hAnsi="Book Antiqua"/>
          <w:spacing w:val="-22"/>
          <w:sz w:val="22"/>
          <w:szCs w:val="22"/>
        </w:rPr>
        <w:t xml:space="preserve"> </w:t>
      </w:r>
      <w:r w:rsidRPr="00C150AE">
        <w:rPr>
          <w:rFonts w:ascii="Book Antiqua" w:hAnsi="Book Antiqua"/>
          <w:spacing w:val="3"/>
          <w:sz w:val="22"/>
          <w:szCs w:val="22"/>
        </w:rPr>
        <w:t>and</w:t>
      </w:r>
      <w:r w:rsidRPr="00C150AE">
        <w:rPr>
          <w:rFonts w:ascii="Book Antiqua" w:hAnsi="Book Antiqua"/>
          <w:spacing w:val="-35"/>
          <w:sz w:val="22"/>
          <w:szCs w:val="22"/>
        </w:rPr>
        <w:t xml:space="preserve"> </w:t>
      </w:r>
      <w:r w:rsidRPr="00C150AE">
        <w:rPr>
          <w:rFonts w:ascii="Book Antiqua" w:hAnsi="Book Antiqua"/>
          <w:sz w:val="22"/>
          <w:szCs w:val="22"/>
        </w:rPr>
        <w:t>county</w:t>
      </w:r>
      <w:r w:rsidRPr="00C150AE">
        <w:rPr>
          <w:rFonts w:ascii="Book Antiqua" w:hAnsi="Book Antiqua"/>
          <w:spacing w:val="-32"/>
          <w:sz w:val="22"/>
          <w:szCs w:val="22"/>
        </w:rPr>
        <w:t xml:space="preserve"> </w:t>
      </w:r>
      <w:r w:rsidRPr="00C150AE">
        <w:rPr>
          <w:rFonts w:ascii="Book Antiqua" w:hAnsi="Book Antiqua"/>
          <w:spacing w:val="-2"/>
          <w:sz w:val="22"/>
          <w:szCs w:val="22"/>
        </w:rPr>
        <w:t>jails,</w:t>
      </w:r>
      <w:r w:rsidRPr="00C150AE">
        <w:rPr>
          <w:rFonts w:ascii="Book Antiqua" w:hAnsi="Book Antiqua"/>
          <w:spacing w:val="-30"/>
          <w:sz w:val="22"/>
          <w:szCs w:val="22"/>
        </w:rPr>
        <w:t xml:space="preserve"> </w:t>
      </w:r>
      <w:r w:rsidRPr="00C150AE">
        <w:rPr>
          <w:rFonts w:ascii="Book Antiqua" w:hAnsi="Book Antiqua"/>
          <w:spacing w:val="2"/>
          <w:sz w:val="22"/>
          <w:szCs w:val="22"/>
        </w:rPr>
        <w:t>federal</w:t>
      </w:r>
      <w:r w:rsidRPr="00C150AE">
        <w:rPr>
          <w:rFonts w:ascii="Book Antiqua" w:hAnsi="Book Antiqua"/>
          <w:spacing w:val="-36"/>
          <w:sz w:val="22"/>
          <w:szCs w:val="22"/>
        </w:rPr>
        <w:t xml:space="preserve"> </w:t>
      </w:r>
      <w:r w:rsidRPr="00C150AE">
        <w:rPr>
          <w:rFonts w:ascii="Book Antiqua" w:hAnsi="Book Antiqua"/>
          <w:spacing w:val="3"/>
          <w:sz w:val="22"/>
          <w:szCs w:val="22"/>
        </w:rPr>
        <w:t>and</w:t>
      </w:r>
      <w:r w:rsidRPr="00C150AE">
        <w:rPr>
          <w:rFonts w:ascii="Book Antiqua" w:hAnsi="Book Antiqua"/>
          <w:spacing w:val="-34"/>
          <w:sz w:val="22"/>
          <w:szCs w:val="22"/>
        </w:rPr>
        <w:t xml:space="preserve"> </w:t>
      </w:r>
      <w:r w:rsidRPr="00C150AE">
        <w:rPr>
          <w:rFonts w:ascii="Book Antiqua" w:hAnsi="Book Antiqua"/>
          <w:spacing w:val="2"/>
          <w:sz w:val="22"/>
          <w:szCs w:val="22"/>
        </w:rPr>
        <w:t>state</w:t>
      </w:r>
      <w:r w:rsidRPr="00C150AE">
        <w:rPr>
          <w:rFonts w:ascii="Book Antiqua" w:hAnsi="Book Antiqua"/>
          <w:spacing w:val="-38"/>
          <w:sz w:val="22"/>
          <w:szCs w:val="22"/>
        </w:rPr>
        <w:t xml:space="preserve"> </w:t>
      </w:r>
      <w:r w:rsidRPr="00C150AE">
        <w:rPr>
          <w:rFonts w:ascii="Book Antiqua" w:hAnsi="Book Antiqua"/>
          <w:sz w:val="22"/>
          <w:szCs w:val="22"/>
        </w:rPr>
        <w:t>prisons, correctional</w:t>
      </w:r>
      <w:r w:rsidRPr="00C150AE">
        <w:rPr>
          <w:rFonts w:ascii="Book Antiqua" w:hAnsi="Book Antiqua"/>
          <w:spacing w:val="-36"/>
          <w:sz w:val="22"/>
          <w:szCs w:val="22"/>
        </w:rPr>
        <w:t xml:space="preserve"> </w:t>
      </w:r>
      <w:r w:rsidRPr="00C150AE">
        <w:rPr>
          <w:rFonts w:ascii="Book Antiqua" w:hAnsi="Book Antiqua"/>
          <w:sz w:val="22"/>
          <w:szCs w:val="22"/>
        </w:rPr>
        <w:t>facilities,</w:t>
      </w:r>
      <w:r w:rsidRPr="00C150AE">
        <w:rPr>
          <w:rFonts w:ascii="Book Antiqua" w:hAnsi="Book Antiqua"/>
          <w:spacing w:val="-32"/>
          <w:sz w:val="22"/>
          <w:szCs w:val="22"/>
        </w:rPr>
        <w:t xml:space="preserve"> </w:t>
      </w:r>
      <w:r w:rsidRPr="00C150AE">
        <w:rPr>
          <w:rFonts w:ascii="Book Antiqua" w:hAnsi="Book Antiqua"/>
          <w:sz w:val="22"/>
          <w:szCs w:val="22"/>
        </w:rPr>
        <w:t>juvenile</w:t>
      </w:r>
      <w:r w:rsidRPr="00C150AE">
        <w:rPr>
          <w:rFonts w:ascii="Book Antiqua" w:hAnsi="Book Antiqua"/>
          <w:spacing w:val="-25"/>
          <w:sz w:val="22"/>
          <w:szCs w:val="22"/>
        </w:rPr>
        <w:t xml:space="preserve"> </w:t>
      </w:r>
      <w:r w:rsidRPr="00C150AE">
        <w:rPr>
          <w:rFonts w:ascii="Book Antiqua" w:hAnsi="Book Antiqua"/>
          <w:sz w:val="22"/>
          <w:szCs w:val="22"/>
        </w:rPr>
        <w:t>detention</w:t>
      </w:r>
      <w:r w:rsidRPr="00C150AE">
        <w:rPr>
          <w:rFonts w:ascii="Book Antiqua" w:hAnsi="Book Antiqua"/>
          <w:spacing w:val="-34"/>
          <w:sz w:val="22"/>
          <w:szCs w:val="22"/>
        </w:rPr>
        <w:t xml:space="preserve"> </w:t>
      </w:r>
      <w:r w:rsidRPr="00C150AE">
        <w:rPr>
          <w:rFonts w:ascii="Book Antiqua" w:hAnsi="Book Antiqua"/>
          <w:spacing w:val="-3"/>
          <w:sz w:val="22"/>
          <w:szCs w:val="22"/>
        </w:rPr>
        <w:t>facilities,</w:t>
      </w:r>
      <w:r w:rsidRPr="00C150AE">
        <w:rPr>
          <w:rFonts w:ascii="Book Antiqua" w:hAnsi="Book Antiqua"/>
          <w:spacing w:val="-32"/>
          <w:sz w:val="22"/>
          <w:szCs w:val="22"/>
        </w:rPr>
        <w:t xml:space="preserve"> </w:t>
      </w:r>
      <w:r w:rsidRPr="00C150AE">
        <w:rPr>
          <w:rFonts w:ascii="Book Antiqua" w:hAnsi="Book Antiqua"/>
          <w:sz w:val="22"/>
          <w:szCs w:val="22"/>
        </w:rPr>
        <w:t>holding</w:t>
      </w:r>
      <w:r w:rsidRPr="00C150AE">
        <w:rPr>
          <w:rFonts w:ascii="Book Antiqua" w:hAnsi="Book Antiqua"/>
          <w:spacing w:val="-34"/>
          <w:sz w:val="22"/>
          <w:szCs w:val="22"/>
        </w:rPr>
        <w:t xml:space="preserve"> </w:t>
      </w:r>
      <w:r w:rsidRPr="00C150AE">
        <w:rPr>
          <w:rFonts w:ascii="Book Antiqua" w:hAnsi="Book Antiqua"/>
          <w:sz w:val="22"/>
          <w:szCs w:val="22"/>
        </w:rPr>
        <w:t>centers,</w:t>
      </w:r>
      <w:r w:rsidRPr="00C150AE">
        <w:rPr>
          <w:rFonts w:ascii="Book Antiqua" w:hAnsi="Book Antiqua"/>
          <w:spacing w:val="-31"/>
          <w:sz w:val="22"/>
          <w:szCs w:val="22"/>
        </w:rPr>
        <w:t xml:space="preserve"> </w:t>
      </w:r>
      <w:r w:rsidRPr="00C150AE">
        <w:rPr>
          <w:rFonts w:ascii="Book Antiqua" w:hAnsi="Book Antiqua"/>
          <w:sz w:val="22"/>
          <w:szCs w:val="22"/>
        </w:rPr>
        <w:t>camps,</w:t>
      </w:r>
      <w:r w:rsidRPr="00C150AE">
        <w:rPr>
          <w:rFonts w:ascii="Book Antiqua" w:hAnsi="Book Antiqua"/>
          <w:spacing w:val="-32"/>
          <w:sz w:val="22"/>
          <w:szCs w:val="22"/>
        </w:rPr>
        <w:t xml:space="preserve"> </w:t>
      </w:r>
      <w:r w:rsidRPr="00C150AE">
        <w:rPr>
          <w:rFonts w:ascii="Book Antiqua" w:hAnsi="Book Antiqua"/>
          <w:spacing w:val="-3"/>
          <w:sz w:val="22"/>
          <w:szCs w:val="22"/>
        </w:rPr>
        <w:t>psychiatric</w:t>
      </w:r>
      <w:r w:rsidRPr="00C150AE">
        <w:rPr>
          <w:rFonts w:ascii="Book Antiqua" w:hAnsi="Book Antiqua"/>
          <w:spacing w:val="-25"/>
          <w:sz w:val="22"/>
          <w:szCs w:val="22"/>
        </w:rPr>
        <w:t xml:space="preserve"> </w:t>
      </w:r>
      <w:r w:rsidRPr="00C150AE">
        <w:rPr>
          <w:rFonts w:ascii="Book Antiqua" w:hAnsi="Book Antiqua"/>
          <w:sz w:val="22"/>
          <w:szCs w:val="22"/>
        </w:rPr>
        <w:t>hospitals,</w:t>
      </w:r>
      <w:r w:rsidRPr="00C150AE">
        <w:rPr>
          <w:rFonts w:ascii="Book Antiqua" w:hAnsi="Book Antiqua"/>
          <w:spacing w:val="-31"/>
          <w:sz w:val="22"/>
          <w:szCs w:val="22"/>
        </w:rPr>
        <w:t xml:space="preserve"> </w:t>
      </w:r>
      <w:r w:rsidRPr="00C150AE">
        <w:rPr>
          <w:rFonts w:ascii="Book Antiqua" w:hAnsi="Book Antiqua"/>
          <w:sz w:val="22"/>
          <w:szCs w:val="22"/>
        </w:rPr>
        <w:t>immigration</w:t>
      </w:r>
      <w:r w:rsidRPr="00C150AE">
        <w:rPr>
          <w:rFonts w:ascii="Book Antiqua" w:hAnsi="Book Antiqua"/>
          <w:spacing w:val="-35"/>
          <w:sz w:val="22"/>
          <w:szCs w:val="22"/>
        </w:rPr>
        <w:t xml:space="preserve"> </w:t>
      </w:r>
      <w:r w:rsidRPr="00C150AE">
        <w:rPr>
          <w:rFonts w:ascii="Book Antiqua" w:hAnsi="Book Antiqua"/>
          <w:sz w:val="22"/>
          <w:szCs w:val="22"/>
        </w:rPr>
        <w:t>detention centers,</w:t>
      </w:r>
      <w:r w:rsidRPr="00C150AE">
        <w:rPr>
          <w:rFonts w:ascii="Book Antiqua" w:hAnsi="Book Antiqua"/>
          <w:spacing w:val="-24"/>
          <w:sz w:val="22"/>
          <w:szCs w:val="22"/>
        </w:rPr>
        <w:t xml:space="preserve"> </w:t>
      </w:r>
      <w:r w:rsidRPr="00C150AE">
        <w:rPr>
          <w:rFonts w:ascii="Book Antiqua" w:hAnsi="Book Antiqua"/>
          <w:sz w:val="22"/>
          <w:szCs w:val="22"/>
        </w:rPr>
        <w:t>military</w:t>
      </w:r>
      <w:r w:rsidRPr="00C150AE">
        <w:rPr>
          <w:rFonts w:ascii="Book Antiqua" w:hAnsi="Book Antiqua"/>
          <w:spacing w:val="-29"/>
          <w:sz w:val="22"/>
          <w:szCs w:val="22"/>
        </w:rPr>
        <w:t xml:space="preserve"> </w:t>
      </w:r>
      <w:r w:rsidRPr="00C150AE">
        <w:rPr>
          <w:rFonts w:ascii="Book Antiqua" w:hAnsi="Book Antiqua"/>
          <w:spacing w:val="-3"/>
          <w:sz w:val="22"/>
          <w:szCs w:val="22"/>
        </w:rPr>
        <w:t>jails</w:t>
      </w:r>
      <w:r w:rsidRPr="00C150AE">
        <w:rPr>
          <w:rFonts w:ascii="Book Antiqua" w:hAnsi="Book Antiqua"/>
          <w:spacing w:val="-22"/>
          <w:sz w:val="22"/>
          <w:szCs w:val="22"/>
        </w:rPr>
        <w:t xml:space="preserve"> </w:t>
      </w:r>
      <w:r w:rsidRPr="00C150AE">
        <w:rPr>
          <w:rFonts w:ascii="Book Antiqua" w:hAnsi="Book Antiqua"/>
          <w:spacing w:val="8"/>
          <w:sz w:val="22"/>
          <w:szCs w:val="22"/>
        </w:rPr>
        <w:t>and</w:t>
      </w:r>
      <w:r w:rsidRPr="00C150AE">
        <w:rPr>
          <w:rFonts w:ascii="Book Antiqua" w:hAnsi="Book Antiqua"/>
          <w:spacing w:val="-29"/>
          <w:sz w:val="22"/>
          <w:szCs w:val="22"/>
        </w:rPr>
        <w:t xml:space="preserve"> </w:t>
      </w:r>
      <w:r w:rsidRPr="00C150AE">
        <w:rPr>
          <w:rFonts w:ascii="Book Antiqua" w:hAnsi="Book Antiqua"/>
          <w:sz w:val="22"/>
          <w:szCs w:val="22"/>
        </w:rPr>
        <w:t>tribal</w:t>
      </w:r>
      <w:r w:rsidRPr="00C150AE">
        <w:rPr>
          <w:rFonts w:ascii="Book Antiqua" w:hAnsi="Book Antiqua"/>
          <w:spacing w:val="-31"/>
          <w:sz w:val="22"/>
          <w:szCs w:val="22"/>
        </w:rPr>
        <w:t xml:space="preserve"> </w:t>
      </w:r>
      <w:r w:rsidRPr="00C150AE">
        <w:rPr>
          <w:rFonts w:ascii="Book Antiqua" w:hAnsi="Book Antiqua"/>
          <w:sz w:val="22"/>
          <w:szCs w:val="22"/>
        </w:rPr>
        <w:t>jails.</w:t>
      </w:r>
    </w:p>
  </w:footnote>
  <w:footnote w:id="298">
    <w:p w14:paraId="413800C0" w14:textId="50A4D001" w:rsidR="00400A0E" w:rsidRPr="00C150AE" w:rsidRDefault="00400A0E" w:rsidP="00C150AE">
      <w:pPr>
        <w:pStyle w:val="FootnoteText"/>
        <w:rPr>
          <w:rFonts w:ascii="Book Antiqua" w:hAnsi="Book Antiqua"/>
          <w:szCs w:val="22"/>
        </w:rPr>
      </w:pPr>
      <w:r w:rsidRPr="00C150AE">
        <w:rPr>
          <w:rStyle w:val="FootnoteReference"/>
          <w:rFonts w:ascii="Book Antiqua" w:hAnsi="Book Antiqua"/>
          <w:szCs w:val="22"/>
        </w:rPr>
        <w:footnoteRef/>
      </w:r>
      <w:r w:rsidRPr="00C150AE">
        <w:rPr>
          <w:rFonts w:ascii="Book Antiqua" w:hAnsi="Book Antiqua"/>
          <w:szCs w:val="22"/>
        </w:rPr>
        <w:t xml:space="preserve"> Represents </w:t>
      </w:r>
      <w:r w:rsidR="00C45949" w:rsidRPr="00C150AE">
        <w:rPr>
          <w:rFonts w:ascii="Book Antiqua" w:hAnsi="Book Antiqua"/>
          <w:szCs w:val="22"/>
        </w:rPr>
        <w:t>approximately 354</w:t>
      </w:r>
      <w:r w:rsidRPr="00C150AE">
        <w:rPr>
          <w:rFonts w:ascii="Book Antiqua" w:hAnsi="Book Antiqua"/>
          <w:szCs w:val="22"/>
        </w:rPr>
        <w:t xml:space="preserve"> addresses identified in the data request by the six carriers.</w:t>
      </w:r>
    </w:p>
  </w:footnote>
  <w:footnote w:id="299">
    <w:p w14:paraId="1C8192A1" w14:textId="18CC3E1D" w:rsidR="00400A0E" w:rsidRPr="00C150AE" w:rsidRDefault="00400A0E" w:rsidP="00400A0E">
      <w:pPr>
        <w:pStyle w:val="FootnoteText"/>
        <w:rPr>
          <w:rFonts w:ascii="Book Antiqua" w:hAnsi="Book Antiqua"/>
        </w:rPr>
      </w:pPr>
      <w:r w:rsidRPr="00C150AE">
        <w:rPr>
          <w:rStyle w:val="FootnoteReference"/>
          <w:rFonts w:ascii="Book Antiqua" w:hAnsi="Book Antiqua"/>
        </w:rPr>
        <w:footnoteRef/>
      </w:r>
      <w:r w:rsidRPr="00C150AE">
        <w:rPr>
          <w:rFonts w:ascii="Book Antiqua" w:hAnsi="Book Antiqua"/>
        </w:rPr>
        <w:t xml:space="preserve"> </w:t>
      </w:r>
      <w:r w:rsidR="008419CB" w:rsidRPr="00C150AE">
        <w:rPr>
          <w:rFonts w:ascii="Book Antiqua" w:hAnsi="Book Antiqua"/>
        </w:rPr>
        <w:t xml:space="preserve">FCC 2020 Order on Remand </w:t>
      </w:r>
      <w:r w:rsidRPr="00C150AE">
        <w:rPr>
          <w:rFonts w:ascii="Book Antiqua" w:hAnsi="Book Antiqua"/>
        </w:rPr>
        <w:t xml:space="preserve">at 10.  </w:t>
      </w:r>
    </w:p>
  </w:footnote>
  <w:footnote w:id="300">
    <w:p w14:paraId="31E2EBE7" w14:textId="77777777" w:rsidR="00400A0E" w:rsidRPr="00C150AE" w:rsidRDefault="00400A0E" w:rsidP="00400A0E">
      <w:pPr>
        <w:pStyle w:val="FootnoteText"/>
        <w:rPr>
          <w:rFonts w:ascii="Book Antiqua" w:hAnsi="Book Antiqua"/>
        </w:rPr>
      </w:pPr>
      <w:r w:rsidRPr="00C150AE">
        <w:rPr>
          <w:rStyle w:val="FootnoteReference"/>
          <w:rFonts w:ascii="Book Antiqua" w:hAnsi="Book Antiqua"/>
        </w:rPr>
        <w:footnoteRef/>
      </w:r>
      <w:r w:rsidRPr="00C150AE">
        <w:rPr>
          <w:rFonts w:ascii="Book Antiqua" w:hAnsi="Book Antiqua"/>
        </w:rPr>
        <w:t xml:space="preserve"> Fifth NPRM.</w:t>
      </w:r>
    </w:p>
  </w:footnote>
  <w:footnote w:id="301">
    <w:p w14:paraId="6980C658" w14:textId="01AC617B" w:rsidR="00400A0E" w:rsidRPr="00232A35" w:rsidRDefault="00400A0E" w:rsidP="00232A35">
      <w:pPr>
        <w:pStyle w:val="FootnoteText"/>
        <w:rPr>
          <w:rFonts w:ascii="Book Antiqua" w:hAnsi="Book Antiqua"/>
          <w:szCs w:val="22"/>
        </w:rPr>
      </w:pPr>
      <w:r>
        <w:rPr>
          <w:rStyle w:val="FootnoteReference"/>
        </w:rPr>
        <w:footnoteRef/>
      </w:r>
      <w:r>
        <w:t xml:space="preserve"> </w:t>
      </w:r>
      <w:r w:rsidRPr="00232A35">
        <w:rPr>
          <w:rFonts w:ascii="Book Antiqua" w:hAnsi="Book Antiqua"/>
          <w:szCs w:val="22"/>
        </w:rPr>
        <w:t>Other inmate communication services may include but not be limited to incarcerated person’s messaging, incarcerated person’s video messaging, remote video visitation, in-person video visitation, voicemail, tablet use for messaging, photo sharing, music or video entertainment or internet access.</w:t>
      </w:r>
    </w:p>
  </w:footnote>
  <w:footnote w:id="302">
    <w:p w14:paraId="790BCF23" w14:textId="36854C8A" w:rsidR="00400A0E" w:rsidRPr="00232A35" w:rsidRDefault="00400A0E" w:rsidP="00232A35">
      <w:pPr>
        <w:spacing w:after="120" w:line="248" w:lineRule="exact"/>
        <w:rPr>
          <w:rFonts w:ascii="Book Antiqua" w:hAnsi="Book Antiqua"/>
          <w:sz w:val="22"/>
          <w:szCs w:val="22"/>
        </w:rPr>
      </w:pPr>
      <w:r w:rsidRPr="00232A35">
        <w:rPr>
          <w:rStyle w:val="FootnoteReference"/>
          <w:rFonts w:ascii="Book Antiqua" w:hAnsi="Book Antiqua"/>
          <w:sz w:val="22"/>
          <w:szCs w:val="22"/>
        </w:rPr>
        <w:footnoteRef/>
      </w:r>
      <w:r w:rsidRPr="00232A35">
        <w:rPr>
          <w:rFonts w:ascii="Book Antiqua" w:hAnsi="Book Antiqua"/>
          <w:sz w:val="22"/>
          <w:szCs w:val="22"/>
        </w:rPr>
        <w:t xml:space="preserve"> </w:t>
      </w:r>
      <w:r w:rsidRPr="00232A35">
        <w:rPr>
          <w:rFonts w:ascii="Book Antiqua" w:hAnsi="Book Antiqua"/>
          <w:color w:val="0562C1"/>
          <w:sz w:val="22"/>
          <w:szCs w:val="22"/>
          <w:u w:val="single" w:color="0562C1"/>
        </w:rPr>
        <w:t>CPUC Communication Division Compliance and Report Filing Cover Sheet</w:t>
      </w:r>
    </w:p>
  </w:footnote>
  <w:footnote w:id="303">
    <w:p w14:paraId="7630CA7F" w14:textId="3C536BDE" w:rsidR="002737E5" w:rsidRPr="00232A35" w:rsidRDefault="002737E5">
      <w:pPr>
        <w:pStyle w:val="FootnoteText"/>
        <w:rPr>
          <w:rFonts w:ascii="Book Antiqua" w:hAnsi="Book Antiqua"/>
        </w:rPr>
      </w:pPr>
      <w:r>
        <w:rPr>
          <w:rStyle w:val="FootnoteReference"/>
        </w:rPr>
        <w:footnoteRef/>
      </w:r>
      <w:r>
        <w:t xml:space="preserve"> </w:t>
      </w:r>
      <w:r w:rsidRPr="00232A35">
        <w:rPr>
          <w:rFonts w:ascii="Book Antiqua" w:hAnsi="Book Antiqua"/>
        </w:rPr>
        <w:t>In further analysis, Staff identified and rectified a calculation error (Previously 159,572).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F981" w14:textId="725783F2" w:rsidR="00E23CBB" w:rsidRPr="00206283" w:rsidRDefault="007A50C6" w:rsidP="00EE4315">
    <w:pPr>
      <w:pStyle w:val="Header"/>
      <w:tabs>
        <w:tab w:val="clear" w:pos="4680"/>
      </w:tabs>
      <w:rPr>
        <w:rFonts w:ascii="Book Antiqua" w:hAnsi="Book Antiqua"/>
        <w:b/>
        <w:sz w:val="26"/>
        <w:szCs w:val="26"/>
      </w:rPr>
    </w:pPr>
    <w:r w:rsidRPr="00206283">
      <w:rPr>
        <w:rFonts w:ascii="Book Antiqua" w:hAnsi="Book Antiqua"/>
        <w:sz w:val="26"/>
        <w:szCs w:val="26"/>
      </w:rPr>
      <w:t>R.20-10-002</w:t>
    </w:r>
    <w:r w:rsidR="00E23CBB" w:rsidRPr="00206283">
      <w:rPr>
        <w:rFonts w:ascii="Book Antiqua" w:hAnsi="Book Antiqua"/>
        <w:sz w:val="26"/>
        <w:szCs w:val="26"/>
      </w:rPr>
      <w:t xml:space="preserve">  </w:t>
    </w:r>
    <w:r w:rsidRPr="00206283">
      <w:rPr>
        <w:rFonts w:ascii="Book Antiqua" w:hAnsi="Book Antiqua"/>
        <w:sz w:val="26"/>
        <w:szCs w:val="26"/>
      </w:rPr>
      <w:t>ALJ</w:t>
    </w:r>
    <w:r w:rsidR="00E23CBB" w:rsidRPr="00206283">
      <w:rPr>
        <w:rFonts w:ascii="Book Antiqua" w:hAnsi="Book Antiqua"/>
        <w:sz w:val="26"/>
        <w:szCs w:val="26"/>
      </w:rPr>
      <w:t>/</w:t>
    </w:r>
    <w:r w:rsidRPr="00206283">
      <w:rPr>
        <w:rFonts w:ascii="Book Antiqua" w:hAnsi="Book Antiqua"/>
        <w:sz w:val="26"/>
        <w:szCs w:val="26"/>
      </w:rPr>
      <w:t>CF1</w:t>
    </w:r>
    <w:r w:rsidR="00E23CBB" w:rsidRPr="00206283">
      <w:rPr>
        <w:rFonts w:ascii="Book Antiqua" w:hAnsi="Book Antiqua"/>
        <w:sz w:val="26"/>
        <w:szCs w:val="26"/>
      </w:rPr>
      <w:t>/</w:t>
    </w:r>
    <w:proofErr w:type="spellStart"/>
    <w:r w:rsidRPr="00206283">
      <w:rPr>
        <w:rFonts w:ascii="Book Antiqua" w:hAnsi="Book Antiqua"/>
        <w:sz w:val="26"/>
        <w:szCs w:val="26"/>
      </w:rPr>
      <w:t>avs</w:t>
    </w:r>
    <w:proofErr w:type="spellEnd"/>
    <w:r w:rsidR="00E23CBB" w:rsidRPr="00206283">
      <w:rPr>
        <w:rFonts w:ascii="Book Antiqua" w:hAnsi="Book Antiqua"/>
        <w:sz w:val="26"/>
        <w:szCs w:val="26"/>
      </w:rPr>
      <w:tab/>
    </w:r>
    <w:r w:rsidR="00E23CBB" w:rsidRPr="00206283">
      <w:rPr>
        <w:rFonts w:ascii="Book Antiqua" w:hAnsi="Book Antiqua"/>
        <w:b/>
        <w:sz w:val="26"/>
        <w:szCs w:val="26"/>
      </w:rPr>
      <w:t>PROPOSED DECISION</w:t>
    </w:r>
    <w:r w:rsidR="00FA3883">
      <w:rPr>
        <w:rFonts w:ascii="Book Antiqua" w:hAnsi="Book Antiqua"/>
        <w:b/>
        <w:sz w:val="26"/>
        <w:szCs w:val="26"/>
      </w:rPr>
      <w:t xml:space="preserve"> (REV. 1)</w:t>
    </w:r>
  </w:p>
  <w:p w14:paraId="71C8410B" w14:textId="2A743EDB" w:rsidR="007A50C6" w:rsidRPr="00206283" w:rsidRDefault="007A50C6" w:rsidP="00B3087D">
    <w:pPr>
      <w:pStyle w:val="Header"/>
      <w:tabs>
        <w:tab w:val="clear" w:pos="4680"/>
      </w:tabs>
      <w:rPr>
        <w:rFonts w:ascii="Book Antiqua" w:hAnsi="Book Antiqua"/>
        <w:iCs/>
        <w:sz w:val="26"/>
        <w:szCs w:val="26"/>
      </w:rPr>
    </w:pPr>
  </w:p>
  <w:p w14:paraId="489C14C6" w14:textId="77777777" w:rsidR="007A50C6" w:rsidRPr="00206283" w:rsidRDefault="007A50C6" w:rsidP="00B3087D">
    <w:pPr>
      <w:pStyle w:val="Header"/>
      <w:tabs>
        <w:tab w:val="clear" w:pos="4680"/>
      </w:tabs>
      <w:rPr>
        <w:rFonts w:ascii="Book Antiqua" w:hAnsi="Book Antiqua"/>
        <w:iCs/>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FE89" w14:textId="1B5BA691" w:rsidR="00206283" w:rsidRPr="00206283" w:rsidRDefault="00206283" w:rsidP="00206283">
    <w:pPr>
      <w:pStyle w:val="Header"/>
      <w:tabs>
        <w:tab w:val="clear" w:pos="4680"/>
      </w:tabs>
      <w:rPr>
        <w:rFonts w:ascii="Book Antiqua" w:hAnsi="Book Antiqua"/>
        <w:b/>
        <w:sz w:val="26"/>
        <w:szCs w:val="26"/>
      </w:rPr>
    </w:pPr>
    <w:r w:rsidRPr="00206283">
      <w:rPr>
        <w:rFonts w:ascii="Book Antiqua" w:hAnsi="Book Antiqua"/>
        <w:sz w:val="26"/>
        <w:szCs w:val="26"/>
      </w:rPr>
      <w:t>R.20-10-002  ALJ/CF1/</w:t>
    </w:r>
    <w:proofErr w:type="spellStart"/>
    <w:r w:rsidRPr="00206283">
      <w:rPr>
        <w:rFonts w:ascii="Book Antiqua" w:hAnsi="Book Antiqua"/>
        <w:sz w:val="26"/>
        <w:szCs w:val="26"/>
      </w:rPr>
      <w:t>avs</w:t>
    </w:r>
    <w:proofErr w:type="spellEnd"/>
    <w:r w:rsidRPr="00206283">
      <w:rPr>
        <w:rFonts w:ascii="Book Antiqua" w:hAnsi="Book Antiqua"/>
        <w:sz w:val="26"/>
        <w:szCs w:val="26"/>
      </w:rPr>
      <w:tab/>
    </w:r>
    <w:r w:rsidRPr="00206283">
      <w:rPr>
        <w:rFonts w:ascii="Book Antiqua" w:hAnsi="Book Antiqua"/>
        <w:b/>
        <w:sz w:val="26"/>
        <w:szCs w:val="26"/>
      </w:rPr>
      <w:t>PROPOSED DECISION</w:t>
    </w:r>
    <w:r w:rsidR="00FA3883">
      <w:rPr>
        <w:rFonts w:ascii="Book Antiqua" w:hAnsi="Book Antiqua"/>
        <w:b/>
        <w:sz w:val="26"/>
        <w:szCs w:val="26"/>
      </w:rPr>
      <w:t xml:space="preserve"> (REV. 1)</w:t>
    </w:r>
  </w:p>
  <w:p w14:paraId="55367C4A" w14:textId="77777777" w:rsidR="00206283" w:rsidRPr="00206283" w:rsidRDefault="00206283" w:rsidP="00206283">
    <w:pPr>
      <w:pStyle w:val="Header"/>
      <w:tabs>
        <w:tab w:val="clear" w:pos="4680"/>
      </w:tabs>
      <w:rPr>
        <w:rFonts w:ascii="Book Antiqua" w:hAnsi="Book Antiqua"/>
        <w:iCs/>
        <w:sz w:val="26"/>
        <w:szCs w:val="26"/>
      </w:rPr>
    </w:pPr>
  </w:p>
  <w:p w14:paraId="264B0065" w14:textId="77777777" w:rsidR="00206283" w:rsidRPr="00206283" w:rsidRDefault="00206283" w:rsidP="00206283">
    <w:pPr>
      <w:pStyle w:val="Header"/>
      <w:tabs>
        <w:tab w:val="clear" w:pos="4680"/>
      </w:tabs>
      <w:rPr>
        <w:rFonts w:ascii="Book Antiqua" w:hAnsi="Book Antiqua"/>
        <w:iCs/>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03D6" w14:textId="3CF0A830" w:rsidR="002622F6" w:rsidRPr="00206283" w:rsidRDefault="002622F6" w:rsidP="002622F6">
    <w:pPr>
      <w:pStyle w:val="Header"/>
      <w:tabs>
        <w:tab w:val="clear" w:pos="4680"/>
      </w:tabs>
      <w:rPr>
        <w:rFonts w:ascii="Book Antiqua" w:hAnsi="Book Antiqua"/>
        <w:b/>
        <w:sz w:val="26"/>
        <w:szCs w:val="26"/>
      </w:rPr>
    </w:pPr>
    <w:r w:rsidRPr="00206283">
      <w:rPr>
        <w:rFonts w:ascii="Book Antiqua" w:hAnsi="Book Antiqua"/>
        <w:sz w:val="26"/>
        <w:szCs w:val="26"/>
      </w:rPr>
      <w:t>R.20-10-002  ALJ/CF1/</w:t>
    </w:r>
    <w:proofErr w:type="spellStart"/>
    <w:r w:rsidRPr="00206283">
      <w:rPr>
        <w:rFonts w:ascii="Book Antiqua" w:hAnsi="Book Antiqua"/>
        <w:sz w:val="26"/>
        <w:szCs w:val="26"/>
      </w:rPr>
      <w:t>avs</w:t>
    </w:r>
    <w:proofErr w:type="spellEnd"/>
    <w:r w:rsidRPr="00206283">
      <w:rPr>
        <w:rFonts w:ascii="Book Antiqua" w:hAnsi="Book Antiqua"/>
        <w:sz w:val="26"/>
        <w:szCs w:val="26"/>
      </w:rPr>
      <w:tab/>
    </w:r>
    <w:r w:rsidRPr="00206283">
      <w:rPr>
        <w:rFonts w:ascii="Book Antiqua" w:hAnsi="Book Antiqua"/>
        <w:b/>
        <w:sz w:val="26"/>
        <w:szCs w:val="26"/>
      </w:rPr>
      <w:t>PROPOSED DECISION</w:t>
    </w:r>
    <w:r w:rsidR="00FA3883">
      <w:rPr>
        <w:rFonts w:ascii="Book Antiqua" w:hAnsi="Book Antiqua"/>
        <w:b/>
        <w:sz w:val="26"/>
        <w:szCs w:val="26"/>
      </w:rPr>
      <w:t xml:space="preserve"> (REV. 1)</w:t>
    </w:r>
  </w:p>
  <w:p w14:paraId="536C8E38" w14:textId="77777777" w:rsidR="002622F6" w:rsidRPr="00206283" w:rsidRDefault="002622F6" w:rsidP="002622F6">
    <w:pPr>
      <w:pStyle w:val="Header"/>
      <w:tabs>
        <w:tab w:val="clear" w:pos="4680"/>
      </w:tabs>
      <w:rPr>
        <w:rFonts w:ascii="Book Antiqua" w:hAnsi="Book Antiqua"/>
        <w:iCs/>
        <w:sz w:val="26"/>
        <w:szCs w:val="26"/>
      </w:rPr>
    </w:pPr>
  </w:p>
  <w:p w14:paraId="0698D815" w14:textId="77777777" w:rsidR="002622F6" w:rsidRPr="00206283" w:rsidRDefault="002622F6" w:rsidP="002622F6">
    <w:pPr>
      <w:pStyle w:val="Header"/>
      <w:tabs>
        <w:tab w:val="clear" w:pos="4680"/>
      </w:tabs>
      <w:rPr>
        <w:rFonts w:ascii="Book Antiqua" w:hAnsi="Book Antiqua"/>
        <w:iCs/>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3BB2" w14:textId="71DB1170" w:rsidR="002622F6" w:rsidRPr="00206283" w:rsidRDefault="002622F6" w:rsidP="002622F6">
    <w:pPr>
      <w:pStyle w:val="Header"/>
      <w:tabs>
        <w:tab w:val="clear" w:pos="4680"/>
      </w:tabs>
      <w:rPr>
        <w:rFonts w:ascii="Book Antiqua" w:hAnsi="Book Antiqua"/>
        <w:b/>
        <w:sz w:val="26"/>
        <w:szCs w:val="26"/>
      </w:rPr>
    </w:pPr>
    <w:r w:rsidRPr="00206283">
      <w:rPr>
        <w:rFonts w:ascii="Book Antiqua" w:hAnsi="Book Antiqua"/>
        <w:sz w:val="26"/>
        <w:szCs w:val="26"/>
      </w:rPr>
      <w:t>R.20-10-002  ALJ/CF1/</w:t>
    </w:r>
    <w:proofErr w:type="spellStart"/>
    <w:r w:rsidRPr="00206283">
      <w:rPr>
        <w:rFonts w:ascii="Book Antiqua" w:hAnsi="Book Antiqua"/>
        <w:sz w:val="26"/>
        <w:szCs w:val="26"/>
      </w:rPr>
      <w:t>avs</w:t>
    </w:r>
    <w:proofErr w:type="spellEnd"/>
    <w:r w:rsidRPr="00206283">
      <w:rPr>
        <w:rFonts w:ascii="Book Antiqua" w:hAnsi="Book Antiqua"/>
        <w:sz w:val="26"/>
        <w:szCs w:val="26"/>
      </w:rPr>
      <w:tab/>
    </w:r>
    <w:r w:rsidRPr="00206283">
      <w:rPr>
        <w:rFonts w:ascii="Book Antiqua" w:hAnsi="Book Antiqua"/>
        <w:b/>
        <w:sz w:val="26"/>
        <w:szCs w:val="26"/>
      </w:rPr>
      <w:t>PROPOSED DECISION</w:t>
    </w:r>
    <w:r w:rsidR="00FA3883">
      <w:rPr>
        <w:rFonts w:ascii="Book Antiqua" w:hAnsi="Book Antiqua"/>
        <w:b/>
        <w:sz w:val="26"/>
        <w:szCs w:val="26"/>
      </w:rPr>
      <w:t xml:space="preserve"> (REV. 1)</w:t>
    </w:r>
  </w:p>
  <w:p w14:paraId="04A26B7D" w14:textId="77777777" w:rsidR="002622F6" w:rsidRPr="00206283" w:rsidRDefault="002622F6" w:rsidP="002622F6">
    <w:pPr>
      <w:pStyle w:val="Header"/>
      <w:tabs>
        <w:tab w:val="clear" w:pos="4680"/>
      </w:tabs>
      <w:rPr>
        <w:rFonts w:ascii="Book Antiqua" w:hAnsi="Book Antiqua"/>
        <w:iCs/>
        <w:sz w:val="26"/>
        <w:szCs w:val="26"/>
      </w:rPr>
    </w:pPr>
  </w:p>
  <w:p w14:paraId="66025A8C" w14:textId="77777777" w:rsidR="002622F6" w:rsidRPr="00206283" w:rsidRDefault="002622F6" w:rsidP="002622F6">
    <w:pPr>
      <w:pStyle w:val="Header"/>
      <w:tabs>
        <w:tab w:val="clear" w:pos="4680"/>
      </w:tabs>
      <w:rPr>
        <w:rFonts w:ascii="Book Antiqua" w:hAnsi="Book Antiqua"/>
        <w:iCs/>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9AA9" w14:textId="554E36A5" w:rsidR="00232A35" w:rsidRPr="00206283" w:rsidRDefault="00232A35" w:rsidP="00232A35">
    <w:pPr>
      <w:pStyle w:val="Header"/>
      <w:tabs>
        <w:tab w:val="clear" w:pos="4680"/>
      </w:tabs>
      <w:rPr>
        <w:rFonts w:ascii="Book Antiqua" w:hAnsi="Book Antiqua"/>
        <w:b/>
        <w:sz w:val="26"/>
        <w:szCs w:val="26"/>
      </w:rPr>
    </w:pPr>
    <w:r w:rsidRPr="00206283">
      <w:rPr>
        <w:rFonts w:ascii="Book Antiqua" w:hAnsi="Book Antiqua"/>
        <w:sz w:val="26"/>
        <w:szCs w:val="26"/>
      </w:rPr>
      <w:t>R.20-10-002  ALJ/CF1/</w:t>
    </w:r>
    <w:proofErr w:type="spellStart"/>
    <w:r w:rsidRPr="00206283">
      <w:rPr>
        <w:rFonts w:ascii="Book Antiqua" w:hAnsi="Book Antiqua"/>
        <w:sz w:val="26"/>
        <w:szCs w:val="26"/>
      </w:rPr>
      <w:t>avs</w:t>
    </w:r>
    <w:proofErr w:type="spellEnd"/>
    <w:r w:rsidRPr="00206283">
      <w:rPr>
        <w:rFonts w:ascii="Book Antiqua" w:hAnsi="Book Antiqua"/>
        <w:sz w:val="26"/>
        <w:szCs w:val="26"/>
      </w:rPr>
      <w:tab/>
    </w:r>
    <w:r w:rsidRPr="00206283">
      <w:rPr>
        <w:rFonts w:ascii="Book Antiqua" w:hAnsi="Book Antiqua"/>
        <w:b/>
        <w:sz w:val="26"/>
        <w:szCs w:val="26"/>
      </w:rPr>
      <w:t>PROPOSED DECISION</w:t>
    </w:r>
    <w:r w:rsidR="00FA3883">
      <w:rPr>
        <w:rFonts w:ascii="Book Antiqua" w:hAnsi="Book Antiqua"/>
        <w:b/>
        <w:sz w:val="26"/>
        <w:szCs w:val="26"/>
      </w:rPr>
      <w:t xml:space="preserve"> (REV. 1)</w:t>
    </w:r>
  </w:p>
  <w:p w14:paraId="4A77DF77" w14:textId="77777777" w:rsidR="00232A35" w:rsidRPr="00206283" w:rsidRDefault="00232A35" w:rsidP="00232A35">
    <w:pPr>
      <w:pStyle w:val="Header"/>
      <w:tabs>
        <w:tab w:val="clear" w:pos="4680"/>
      </w:tabs>
      <w:rPr>
        <w:rFonts w:ascii="Book Antiqua" w:hAnsi="Book Antiqua"/>
        <w:iCs/>
        <w:sz w:val="26"/>
        <w:szCs w:val="26"/>
      </w:rPr>
    </w:pPr>
  </w:p>
  <w:p w14:paraId="73C4C59F" w14:textId="77777777" w:rsidR="00232A35" w:rsidRPr="00206283" w:rsidRDefault="00232A35" w:rsidP="00232A35">
    <w:pPr>
      <w:pStyle w:val="Header"/>
      <w:tabs>
        <w:tab w:val="clear" w:pos="4680"/>
      </w:tabs>
      <w:rPr>
        <w:rFonts w:ascii="Book Antiqua" w:hAnsi="Book Antiqua"/>
        <w:iCs/>
        <w:sz w:val="26"/>
        <w:szCs w:val="26"/>
      </w:rPr>
    </w:pPr>
  </w:p>
  <w:p w14:paraId="560B7F93" w14:textId="77777777" w:rsidR="00743A8E" w:rsidRPr="00A1129D" w:rsidRDefault="00743A8E" w:rsidP="00A1129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02AA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804E9"/>
    <w:multiLevelType w:val="hybridMultilevel"/>
    <w:tmpl w:val="18F4A5AC"/>
    <w:lvl w:ilvl="0" w:tplc="79EA6BC0">
      <w:start w:val="1"/>
      <w:numFmt w:val="decimal"/>
      <w:lvlText w:val="%1."/>
      <w:lvlJc w:val="right"/>
      <w:pPr>
        <w:ind w:left="0" w:firstLine="540"/>
      </w:pPr>
      <w:rPr>
        <w:rFonts w:hint="default"/>
      </w:rPr>
    </w:lvl>
    <w:lvl w:ilvl="1" w:tplc="0DA49D98">
      <w:start w:val="1"/>
      <w:numFmt w:val="lowerLetter"/>
      <w:lvlText w:val="(%2)"/>
      <w:lvlJc w:val="right"/>
      <w:pPr>
        <w:ind w:left="1152" w:hanging="72"/>
      </w:pPr>
      <w:rPr>
        <w:rFonts w:hint="default"/>
      </w:rPr>
    </w:lvl>
    <w:lvl w:ilvl="2" w:tplc="4E30F2A4">
      <w:start w:val="1"/>
      <w:numFmt w:val="none"/>
      <w:lvlText w:val=""/>
      <w:lvlJc w:val="left"/>
      <w:pPr>
        <w:ind w:left="720" w:firstLine="0"/>
      </w:pPr>
      <w:rPr>
        <w:rFonts w:hint="default"/>
      </w:rPr>
    </w:lvl>
    <w:lvl w:ilvl="3" w:tplc="1C32ED6C">
      <w:start w:val="1"/>
      <w:numFmt w:val="none"/>
      <w:lvlText w:val=""/>
      <w:lvlJc w:val="left"/>
      <w:pPr>
        <w:ind w:left="720" w:firstLine="0"/>
      </w:pPr>
      <w:rPr>
        <w:rFonts w:hint="default"/>
      </w:rPr>
    </w:lvl>
    <w:lvl w:ilvl="4" w:tplc="D0F6FDD6">
      <w:start w:val="1"/>
      <w:numFmt w:val="none"/>
      <w:lvlText w:val=""/>
      <w:lvlJc w:val="left"/>
      <w:pPr>
        <w:ind w:left="720" w:firstLine="0"/>
      </w:pPr>
      <w:rPr>
        <w:rFonts w:hint="default"/>
      </w:rPr>
    </w:lvl>
    <w:lvl w:ilvl="5" w:tplc="83A0FA10">
      <w:start w:val="1"/>
      <w:numFmt w:val="none"/>
      <w:lvlText w:val=""/>
      <w:lvlJc w:val="left"/>
      <w:pPr>
        <w:ind w:left="720" w:firstLine="0"/>
      </w:pPr>
      <w:rPr>
        <w:rFonts w:hint="default"/>
      </w:rPr>
    </w:lvl>
    <w:lvl w:ilvl="6" w:tplc="036458AE">
      <w:start w:val="1"/>
      <w:numFmt w:val="none"/>
      <w:lvlText w:val=""/>
      <w:lvlJc w:val="left"/>
      <w:pPr>
        <w:ind w:left="720" w:firstLine="0"/>
      </w:pPr>
      <w:rPr>
        <w:rFonts w:hint="default"/>
      </w:rPr>
    </w:lvl>
    <w:lvl w:ilvl="7" w:tplc="62109484">
      <w:start w:val="1"/>
      <w:numFmt w:val="none"/>
      <w:lvlText w:val=""/>
      <w:lvlJc w:val="left"/>
      <w:pPr>
        <w:ind w:left="720" w:firstLine="0"/>
      </w:pPr>
      <w:rPr>
        <w:rFonts w:hint="default"/>
      </w:rPr>
    </w:lvl>
    <w:lvl w:ilvl="8" w:tplc="27DEFBAE">
      <w:start w:val="1"/>
      <w:numFmt w:val="none"/>
      <w:lvlText w:val=""/>
      <w:lvlJc w:val="left"/>
      <w:pPr>
        <w:ind w:left="720" w:firstLine="0"/>
      </w:pPr>
      <w:rPr>
        <w:rFonts w:hint="default"/>
      </w:rPr>
    </w:lvl>
  </w:abstractNum>
  <w:abstractNum w:abstractNumId="2" w15:restartNumberingAfterBreak="0">
    <w:nsid w:val="043179E6"/>
    <w:multiLevelType w:val="hybridMultilevel"/>
    <w:tmpl w:val="02E8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14CC3"/>
    <w:multiLevelType w:val="hybridMultilevel"/>
    <w:tmpl w:val="0EEE05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56F1AE2"/>
    <w:multiLevelType w:val="hybridMultilevel"/>
    <w:tmpl w:val="ED464CF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057508A7"/>
    <w:multiLevelType w:val="hybridMultilevel"/>
    <w:tmpl w:val="6C4E7C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022895"/>
    <w:multiLevelType w:val="hybridMultilevel"/>
    <w:tmpl w:val="2AF07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975DF"/>
    <w:multiLevelType w:val="hybridMultilevel"/>
    <w:tmpl w:val="6978A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6C1C14"/>
    <w:multiLevelType w:val="hybridMultilevel"/>
    <w:tmpl w:val="18F4A5AC"/>
    <w:styleLink w:val="FoFCoLOP"/>
    <w:lvl w:ilvl="0" w:tplc="0E482024">
      <w:start w:val="1"/>
      <w:numFmt w:val="decimal"/>
      <w:lvlText w:val="%1."/>
      <w:lvlJc w:val="right"/>
      <w:pPr>
        <w:ind w:left="0" w:firstLine="540"/>
      </w:pPr>
      <w:rPr>
        <w:rFonts w:hint="default"/>
      </w:rPr>
    </w:lvl>
    <w:lvl w:ilvl="1" w:tplc="6D42EADC">
      <w:start w:val="1"/>
      <w:numFmt w:val="lowerLetter"/>
      <w:lvlText w:val="(%2)"/>
      <w:lvlJc w:val="right"/>
      <w:pPr>
        <w:ind w:left="1152" w:hanging="72"/>
      </w:pPr>
      <w:rPr>
        <w:rFonts w:hint="default"/>
      </w:rPr>
    </w:lvl>
    <w:lvl w:ilvl="2" w:tplc="A168889A">
      <w:start w:val="1"/>
      <w:numFmt w:val="none"/>
      <w:lvlText w:val=""/>
      <w:lvlJc w:val="left"/>
      <w:pPr>
        <w:ind w:left="720" w:firstLine="0"/>
      </w:pPr>
      <w:rPr>
        <w:rFonts w:hint="default"/>
      </w:rPr>
    </w:lvl>
    <w:lvl w:ilvl="3" w:tplc="1686531E">
      <w:start w:val="1"/>
      <w:numFmt w:val="none"/>
      <w:lvlText w:val=""/>
      <w:lvlJc w:val="left"/>
      <w:pPr>
        <w:ind w:left="720" w:firstLine="0"/>
      </w:pPr>
      <w:rPr>
        <w:rFonts w:hint="default"/>
      </w:rPr>
    </w:lvl>
    <w:lvl w:ilvl="4" w:tplc="272620C2">
      <w:start w:val="1"/>
      <w:numFmt w:val="none"/>
      <w:lvlText w:val=""/>
      <w:lvlJc w:val="left"/>
      <w:pPr>
        <w:ind w:left="720" w:firstLine="0"/>
      </w:pPr>
      <w:rPr>
        <w:rFonts w:hint="default"/>
      </w:rPr>
    </w:lvl>
    <w:lvl w:ilvl="5" w:tplc="01B00E86">
      <w:start w:val="1"/>
      <w:numFmt w:val="none"/>
      <w:lvlText w:val=""/>
      <w:lvlJc w:val="left"/>
      <w:pPr>
        <w:ind w:left="720" w:firstLine="0"/>
      </w:pPr>
      <w:rPr>
        <w:rFonts w:hint="default"/>
      </w:rPr>
    </w:lvl>
    <w:lvl w:ilvl="6" w:tplc="9BE42196">
      <w:start w:val="1"/>
      <w:numFmt w:val="none"/>
      <w:lvlText w:val=""/>
      <w:lvlJc w:val="left"/>
      <w:pPr>
        <w:ind w:left="720" w:firstLine="0"/>
      </w:pPr>
      <w:rPr>
        <w:rFonts w:hint="default"/>
      </w:rPr>
    </w:lvl>
    <w:lvl w:ilvl="7" w:tplc="01A2ED84">
      <w:start w:val="1"/>
      <w:numFmt w:val="none"/>
      <w:lvlText w:val=""/>
      <w:lvlJc w:val="left"/>
      <w:pPr>
        <w:ind w:left="720" w:firstLine="0"/>
      </w:pPr>
      <w:rPr>
        <w:rFonts w:hint="default"/>
      </w:rPr>
    </w:lvl>
    <w:lvl w:ilvl="8" w:tplc="9E8A9106">
      <w:start w:val="1"/>
      <w:numFmt w:val="none"/>
      <w:lvlText w:val=""/>
      <w:lvlJc w:val="left"/>
      <w:pPr>
        <w:ind w:left="720" w:firstLine="0"/>
      </w:pPr>
      <w:rPr>
        <w:rFonts w:hint="default"/>
      </w:rPr>
    </w:lvl>
  </w:abstractNum>
  <w:abstractNum w:abstractNumId="9" w15:restartNumberingAfterBreak="0">
    <w:nsid w:val="15F056CB"/>
    <w:multiLevelType w:val="hybridMultilevel"/>
    <w:tmpl w:val="18F4A5AC"/>
    <w:numStyleLink w:val="FoFCoLOP"/>
  </w:abstractNum>
  <w:abstractNum w:abstractNumId="10" w15:restartNumberingAfterBreak="0">
    <w:nsid w:val="16672D48"/>
    <w:multiLevelType w:val="hybridMultilevel"/>
    <w:tmpl w:val="A2786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846939"/>
    <w:multiLevelType w:val="hybridMultilevel"/>
    <w:tmpl w:val="024C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70038F"/>
    <w:multiLevelType w:val="multilevel"/>
    <w:tmpl w:val="3C526EDE"/>
    <w:numStyleLink w:val="Headings"/>
  </w:abstractNum>
  <w:abstractNum w:abstractNumId="14" w15:restartNumberingAfterBreak="0">
    <w:nsid w:val="1E2242C9"/>
    <w:multiLevelType w:val="multilevel"/>
    <w:tmpl w:val="3C526EDE"/>
    <w:numStyleLink w:val="Headings"/>
  </w:abstractNum>
  <w:abstractNum w:abstractNumId="15" w15:restartNumberingAfterBreak="0">
    <w:nsid w:val="21FB58FE"/>
    <w:multiLevelType w:val="multilevel"/>
    <w:tmpl w:val="3C526EDE"/>
    <w:numStyleLink w:val="Headings"/>
  </w:abstractNum>
  <w:abstractNum w:abstractNumId="16" w15:restartNumberingAfterBreak="0">
    <w:nsid w:val="243663A0"/>
    <w:multiLevelType w:val="multilevel"/>
    <w:tmpl w:val="3C526EDE"/>
    <w:numStyleLink w:val="Headings"/>
  </w:abstractNum>
  <w:abstractNum w:abstractNumId="17" w15:restartNumberingAfterBreak="0">
    <w:nsid w:val="250F7BE9"/>
    <w:multiLevelType w:val="hybridMultilevel"/>
    <w:tmpl w:val="F9246F9E"/>
    <w:lvl w:ilvl="0" w:tplc="1D941514">
      <w:start w:val="1"/>
      <w:numFmt w:val="lowerLetter"/>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93F7F85"/>
    <w:multiLevelType w:val="hybridMultilevel"/>
    <w:tmpl w:val="CACA55A4"/>
    <w:lvl w:ilvl="0" w:tplc="0409000F">
      <w:start w:val="1"/>
      <w:numFmt w:val="decimal"/>
      <w:lvlText w:val="%1."/>
      <w:lvlJc w:val="left"/>
      <w:pPr>
        <w:ind w:left="72" w:hanging="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B8124D7"/>
    <w:multiLevelType w:val="multilevel"/>
    <w:tmpl w:val="3C526EDE"/>
    <w:numStyleLink w:val="Headings"/>
  </w:abstractNum>
  <w:abstractNum w:abstractNumId="20" w15:restartNumberingAfterBreak="0">
    <w:nsid w:val="2EF225B8"/>
    <w:multiLevelType w:val="hybridMultilevel"/>
    <w:tmpl w:val="96E2F70E"/>
    <w:lvl w:ilvl="0" w:tplc="04090001">
      <w:start w:val="1"/>
      <w:numFmt w:val="bullet"/>
      <w:lvlText w:val=""/>
      <w:lvlJc w:val="left"/>
      <w:pPr>
        <w:ind w:left="1219" w:hanging="369"/>
      </w:pPr>
      <w:rPr>
        <w:rFonts w:ascii="Symbol" w:hAnsi="Symbol" w:hint="default"/>
        <w:spacing w:val="0"/>
        <w:w w:val="100"/>
        <w:sz w:val="24"/>
        <w:szCs w:val="24"/>
      </w:rPr>
    </w:lvl>
    <w:lvl w:ilvl="1" w:tplc="DB0E201A">
      <w:numFmt w:val="bullet"/>
      <w:lvlText w:val="•"/>
      <w:lvlJc w:val="left"/>
      <w:pPr>
        <w:ind w:left="2132" w:hanging="369"/>
      </w:pPr>
      <w:rPr>
        <w:rFonts w:hint="default"/>
      </w:rPr>
    </w:lvl>
    <w:lvl w:ilvl="2" w:tplc="03947C6C">
      <w:numFmt w:val="bullet"/>
      <w:lvlText w:val="•"/>
      <w:lvlJc w:val="left"/>
      <w:pPr>
        <w:ind w:left="3044" w:hanging="369"/>
      </w:pPr>
      <w:rPr>
        <w:rFonts w:hint="default"/>
      </w:rPr>
    </w:lvl>
    <w:lvl w:ilvl="3" w:tplc="A3465544">
      <w:numFmt w:val="bullet"/>
      <w:lvlText w:val="•"/>
      <w:lvlJc w:val="left"/>
      <w:pPr>
        <w:ind w:left="3956" w:hanging="369"/>
      </w:pPr>
      <w:rPr>
        <w:rFonts w:hint="default"/>
      </w:rPr>
    </w:lvl>
    <w:lvl w:ilvl="4" w:tplc="A6E62F7C">
      <w:numFmt w:val="bullet"/>
      <w:lvlText w:val="•"/>
      <w:lvlJc w:val="left"/>
      <w:pPr>
        <w:ind w:left="4868" w:hanging="369"/>
      </w:pPr>
      <w:rPr>
        <w:rFonts w:hint="default"/>
      </w:rPr>
    </w:lvl>
    <w:lvl w:ilvl="5" w:tplc="2B642786">
      <w:numFmt w:val="bullet"/>
      <w:lvlText w:val="•"/>
      <w:lvlJc w:val="left"/>
      <w:pPr>
        <w:ind w:left="5780" w:hanging="369"/>
      </w:pPr>
      <w:rPr>
        <w:rFonts w:hint="default"/>
      </w:rPr>
    </w:lvl>
    <w:lvl w:ilvl="6" w:tplc="B9B4A6F6">
      <w:numFmt w:val="bullet"/>
      <w:lvlText w:val="•"/>
      <w:lvlJc w:val="left"/>
      <w:pPr>
        <w:ind w:left="6692" w:hanging="369"/>
      </w:pPr>
      <w:rPr>
        <w:rFonts w:hint="default"/>
      </w:rPr>
    </w:lvl>
    <w:lvl w:ilvl="7" w:tplc="BCB4B844">
      <w:numFmt w:val="bullet"/>
      <w:lvlText w:val="•"/>
      <w:lvlJc w:val="left"/>
      <w:pPr>
        <w:ind w:left="7604" w:hanging="369"/>
      </w:pPr>
      <w:rPr>
        <w:rFonts w:hint="default"/>
      </w:rPr>
    </w:lvl>
    <w:lvl w:ilvl="8" w:tplc="C10432D6">
      <w:numFmt w:val="bullet"/>
      <w:lvlText w:val="•"/>
      <w:lvlJc w:val="left"/>
      <w:pPr>
        <w:ind w:left="8516" w:hanging="369"/>
      </w:pPr>
      <w:rPr>
        <w:rFonts w:hint="default"/>
      </w:rPr>
    </w:lvl>
  </w:abstractNum>
  <w:abstractNum w:abstractNumId="21"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2" w15:restartNumberingAfterBreak="0">
    <w:nsid w:val="34C94742"/>
    <w:multiLevelType w:val="hybridMultilevel"/>
    <w:tmpl w:val="E2F21F8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34D165A1"/>
    <w:multiLevelType w:val="hybridMultilevel"/>
    <w:tmpl w:val="56043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B2A89"/>
    <w:multiLevelType w:val="hybridMultilevel"/>
    <w:tmpl w:val="C28636F4"/>
    <w:lvl w:ilvl="0" w:tplc="32B84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3D51C0"/>
    <w:multiLevelType w:val="hybridMultilevel"/>
    <w:tmpl w:val="F2AAF60A"/>
    <w:lvl w:ilvl="0" w:tplc="A7340DF4">
      <w:numFmt w:val="bullet"/>
      <w:lvlText w:val=""/>
      <w:lvlJc w:val="left"/>
      <w:pPr>
        <w:ind w:left="850" w:hanging="353"/>
      </w:pPr>
      <w:rPr>
        <w:rFonts w:ascii="Symbol" w:eastAsia="Symbol" w:hAnsi="Symbol" w:cs="Symbol" w:hint="default"/>
        <w:w w:val="100"/>
        <w:sz w:val="24"/>
        <w:szCs w:val="24"/>
      </w:rPr>
    </w:lvl>
    <w:lvl w:ilvl="1" w:tplc="CE205208">
      <w:numFmt w:val="bullet"/>
      <w:lvlText w:val="•"/>
      <w:lvlJc w:val="left"/>
      <w:pPr>
        <w:ind w:left="1808" w:hanging="353"/>
      </w:pPr>
      <w:rPr>
        <w:rFonts w:hint="default"/>
      </w:rPr>
    </w:lvl>
    <w:lvl w:ilvl="2" w:tplc="5F28FDAA">
      <w:numFmt w:val="bullet"/>
      <w:lvlText w:val="•"/>
      <w:lvlJc w:val="left"/>
      <w:pPr>
        <w:ind w:left="2756" w:hanging="353"/>
      </w:pPr>
      <w:rPr>
        <w:rFonts w:hint="default"/>
      </w:rPr>
    </w:lvl>
    <w:lvl w:ilvl="3" w:tplc="23F0F0BA">
      <w:numFmt w:val="bullet"/>
      <w:lvlText w:val="•"/>
      <w:lvlJc w:val="left"/>
      <w:pPr>
        <w:ind w:left="3704" w:hanging="353"/>
      </w:pPr>
      <w:rPr>
        <w:rFonts w:hint="default"/>
      </w:rPr>
    </w:lvl>
    <w:lvl w:ilvl="4" w:tplc="A8A0B324">
      <w:numFmt w:val="bullet"/>
      <w:lvlText w:val="•"/>
      <w:lvlJc w:val="left"/>
      <w:pPr>
        <w:ind w:left="4652" w:hanging="353"/>
      </w:pPr>
      <w:rPr>
        <w:rFonts w:hint="default"/>
      </w:rPr>
    </w:lvl>
    <w:lvl w:ilvl="5" w:tplc="F02C5FD2">
      <w:numFmt w:val="bullet"/>
      <w:lvlText w:val="•"/>
      <w:lvlJc w:val="left"/>
      <w:pPr>
        <w:ind w:left="5600" w:hanging="353"/>
      </w:pPr>
      <w:rPr>
        <w:rFonts w:hint="default"/>
      </w:rPr>
    </w:lvl>
    <w:lvl w:ilvl="6" w:tplc="78944D34">
      <w:numFmt w:val="bullet"/>
      <w:lvlText w:val="•"/>
      <w:lvlJc w:val="left"/>
      <w:pPr>
        <w:ind w:left="6548" w:hanging="353"/>
      </w:pPr>
      <w:rPr>
        <w:rFonts w:hint="default"/>
      </w:rPr>
    </w:lvl>
    <w:lvl w:ilvl="7" w:tplc="5AF2500A">
      <w:numFmt w:val="bullet"/>
      <w:lvlText w:val="•"/>
      <w:lvlJc w:val="left"/>
      <w:pPr>
        <w:ind w:left="7496" w:hanging="353"/>
      </w:pPr>
      <w:rPr>
        <w:rFonts w:hint="default"/>
      </w:rPr>
    </w:lvl>
    <w:lvl w:ilvl="8" w:tplc="FB78F768">
      <w:numFmt w:val="bullet"/>
      <w:lvlText w:val="•"/>
      <w:lvlJc w:val="left"/>
      <w:pPr>
        <w:ind w:left="8444" w:hanging="353"/>
      </w:pPr>
      <w:rPr>
        <w:rFonts w:hint="default"/>
      </w:rPr>
    </w:lvl>
  </w:abstractNum>
  <w:abstractNum w:abstractNumId="26" w15:restartNumberingAfterBreak="0">
    <w:nsid w:val="461A21EC"/>
    <w:multiLevelType w:val="hybridMultilevel"/>
    <w:tmpl w:val="146AA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263983"/>
    <w:multiLevelType w:val="hybridMultilevel"/>
    <w:tmpl w:val="40904AC2"/>
    <w:lvl w:ilvl="0" w:tplc="1D941514">
      <w:start w:val="1"/>
      <w:numFmt w:val="lowerLetter"/>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9B60A77"/>
    <w:multiLevelType w:val="hybridMultilevel"/>
    <w:tmpl w:val="47B07DB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183230"/>
    <w:multiLevelType w:val="hybridMultilevel"/>
    <w:tmpl w:val="1A3E2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515472"/>
    <w:multiLevelType w:val="hybridMultilevel"/>
    <w:tmpl w:val="AD924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042D7"/>
    <w:multiLevelType w:val="hybridMultilevel"/>
    <w:tmpl w:val="18F4A5AC"/>
    <w:numStyleLink w:val="FoFCoLOP"/>
  </w:abstractNum>
  <w:abstractNum w:abstractNumId="32" w15:restartNumberingAfterBreak="0">
    <w:nsid w:val="5A9E2171"/>
    <w:multiLevelType w:val="multilevel"/>
    <w:tmpl w:val="3C526EDE"/>
    <w:numStyleLink w:val="Headings"/>
  </w:abstractNum>
  <w:abstractNum w:abstractNumId="33" w15:restartNumberingAfterBreak="0">
    <w:nsid w:val="5EC27418"/>
    <w:multiLevelType w:val="hybridMultilevel"/>
    <w:tmpl w:val="732CC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1A25780"/>
    <w:multiLevelType w:val="multilevel"/>
    <w:tmpl w:val="3C526EDE"/>
    <w:numStyleLink w:val="Headings"/>
  </w:abstractNum>
  <w:abstractNum w:abstractNumId="35" w15:restartNumberingAfterBreak="0">
    <w:nsid w:val="623B4E12"/>
    <w:multiLevelType w:val="hybridMultilevel"/>
    <w:tmpl w:val="A28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2556F"/>
    <w:multiLevelType w:val="hybridMultilevel"/>
    <w:tmpl w:val="976ED0D6"/>
    <w:lvl w:ilvl="0" w:tplc="8AE4B592">
      <w:start w:val="1"/>
      <w:numFmt w:val="decimal"/>
      <w:lvlText w:val="%1."/>
      <w:lvlJc w:val="right"/>
      <w:pPr>
        <w:ind w:left="0" w:firstLine="540"/>
      </w:pPr>
      <w:rPr>
        <w:rFonts w:hint="default"/>
      </w:rPr>
    </w:lvl>
    <w:lvl w:ilvl="1" w:tplc="1D941514">
      <w:start w:val="1"/>
      <w:numFmt w:val="lowerLetter"/>
      <w:lvlText w:val="(%2)"/>
      <w:lvlJc w:val="right"/>
      <w:pPr>
        <w:ind w:left="1152" w:hanging="72"/>
      </w:pPr>
      <w:rPr>
        <w:rFonts w:hint="default"/>
      </w:rPr>
    </w:lvl>
    <w:lvl w:ilvl="2" w:tplc="017AE0CC">
      <w:start w:val="1"/>
      <w:numFmt w:val="none"/>
      <w:lvlText w:val=""/>
      <w:lvlJc w:val="left"/>
      <w:pPr>
        <w:ind w:left="720" w:firstLine="0"/>
      </w:pPr>
      <w:rPr>
        <w:rFonts w:hint="default"/>
      </w:rPr>
    </w:lvl>
    <w:lvl w:ilvl="3" w:tplc="1D941514">
      <w:start w:val="1"/>
      <w:numFmt w:val="lowerLetter"/>
      <w:lvlText w:val="(%4)"/>
      <w:lvlJc w:val="right"/>
      <w:pPr>
        <w:ind w:left="720" w:firstLine="0"/>
      </w:pPr>
      <w:rPr>
        <w:rFonts w:hint="default"/>
      </w:rPr>
    </w:lvl>
    <w:lvl w:ilvl="4" w:tplc="23E44934">
      <w:start w:val="1"/>
      <w:numFmt w:val="none"/>
      <w:lvlText w:val=""/>
      <w:lvlJc w:val="left"/>
      <w:pPr>
        <w:ind w:left="720" w:firstLine="0"/>
      </w:pPr>
      <w:rPr>
        <w:rFonts w:hint="default"/>
      </w:rPr>
    </w:lvl>
    <w:lvl w:ilvl="5" w:tplc="C6AA0204">
      <w:start w:val="1"/>
      <w:numFmt w:val="none"/>
      <w:lvlText w:val=""/>
      <w:lvlJc w:val="left"/>
      <w:pPr>
        <w:ind w:left="720" w:firstLine="0"/>
      </w:pPr>
      <w:rPr>
        <w:rFonts w:hint="default"/>
      </w:rPr>
    </w:lvl>
    <w:lvl w:ilvl="6" w:tplc="988EF066">
      <w:start w:val="1"/>
      <w:numFmt w:val="none"/>
      <w:lvlText w:val=""/>
      <w:lvlJc w:val="left"/>
      <w:pPr>
        <w:ind w:left="720" w:firstLine="0"/>
      </w:pPr>
      <w:rPr>
        <w:rFonts w:hint="default"/>
      </w:rPr>
    </w:lvl>
    <w:lvl w:ilvl="7" w:tplc="35E01D5C">
      <w:start w:val="1"/>
      <w:numFmt w:val="none"/>
      <w:lvlText w:val=""/>
      <w:lvlJc w:val="left"/>
      <w:pPr>
        <w:ind w:left="720" w:firstLine="0"/>
      </w:pPr>
      <w:rPr>
        <w:rFonts w:hint="default"/>
      </w:rPr>
    </w:lvl>
    <w:lvl w:ilvl="8" w:tplc="DB60A798">
      <w:start w:val="1"/>
      <w:numFmt w:val="none"/>
      <w:lvlText w:val=""/>
      <w:lvlJc w:val="left"/>
      <w:pPr>
        <w:ind w:left="720" w:firstLine="0"/>
      </w:pPr>
      <w:rPr>
        <w:rFonts w:hint="default"/>
      </w:rPr>
    </w:lvl>
  </w:abstractNum>
  <w:abstractNum w:abstractNumId="37" w15:restartNumberingAfterBreak="0">
    <w:nsid w:val="65523582"/>
    <w:multiLevelType w:val="hybridMultilevel"/>
    <w:tmpl w:val="1DAA5F0E"/>
    <w:lvl w:ilvl="0" w:tplc="8C9E3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4B342D"/>
    <w:multiLevelType w:val="hybridMultilevel"/>
    <w:tmpl w:val="D4322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201037"/>
    <w:multiLevelType w:val="hybridMultilevel"/>
    <w:tmpl w:val="A19EBA88"/>
    <w:lvl w:ilvl="0" w:tplc="BD363620">
      <w:start w:val="1"/>
      <w:numFmt w:val="decimal"/>
      <w:lvlText w:val="%1."/>
      <w:lvlJc w:val="right"/>
      <w:pPr>
        <w:ind w:left="0" w:firstLine="540"/>
      </w:pPr>
      <w:rPr>
        <w:rFonts w:hint="default"/>
      </w:rPr>
    </w:lvl>
    <w:lvl w:ilvl="1" w:tplc="E09AFE76">
      <w:start w:val="1"/>
      <w:numFmt w:val="lowerLetter"/>
      <w:lvlText w:val="(%2)"/>
      <w:lvlJc w:val="right"/>
      <w:pPr>
        <w:ind w:left="1152" w:hanging="72"/>
      </w:pPr>
      <w:rPr>
        <w:rFonts w:hint="default"/>
      </w:rPr>
    </w:lvl>
    <w:lvl w:ilvl="2" w:tplc="8E9A2292">
      <w:start w:val="1"/>
      <w:numFmt w:val="none"/>
      <w:lvlText w:val=""/>
      <w:lvlJc w:val="left"/>
      <w:pPr>
        <w:ind w:left="720" w:firstLine="0"/>
      </w:pPr>
      <w:rPr>
        <w:rFonts w:hint="default"/>
      </w:rPr>
    </w:lvl>
    <w:lvl w:ilvl="3" w:tplc="975E92DC">
      <w:start w:val="1"/>
      <w:numFmt w:val="none"/>
      <w:lvlText w:val=""/>
      <w:lvlJc w:val="left"/>
      <w:pPr>
        <w:ind w:left="720" w:firstLine="0"/>
      </w:pPr>
      <w:rPr>
        <w:rFonts w:hint="default"/>
      </w:rPr>
    </w:lvl>
    <w:lvl w:ilvl="4" w:tplc="1D941514">
      <w:start w:val="1"/>
      <w:numFmt w:val="lowerLetter"/>
      <w:lvlText w:val="(%5)"/>
      <w:lvlJc w:val="right"/>
      <w:pPr>
        <w:ind w:left="720" w:firstLine="0"/>
      </w:pPr>
      <w:rPr>
        <w:rFonts w:hint="default"/>
      </w:rPr>
    </w:lvl>
    <w:lvl w:ilvl="5" w:tplc="B462B2E6">
      <w:start w:val="1"/>
      <w:numFmt w:val="none"/>
      <w:lvlText w:val=""/>
      <w:lvlJc w:val="left"/>
      <w:pPr>
        <w:ind w:left="720" w:firstLine="0"/>
      </w:pPr>
      <w:rPr>
        <w:rFonts w:hint="default"/>
      </w:rPr>
    </w:lvl>
    <w:lvl w:ilvl="6" w:tplc="AF2A56E6">
      <w:start w:val="1"/>
      <w:numFmt w:val="none"/>
      <w:lvlText w:val=""/>
      <w:lvlJc w:val="left"/>
      <w:pPr>
        <w:ind w:left="720" w:firstLine="0"/>
      </w:pPr>
      <w:rPr>
        <w:rFonts w:hint="default"/>
      </w:rPr>
    </w:lvl>
    <w:lvl w:ilvl="7" w:tplc="1B062472">
      <w:start w:val="1"/>
      <w:numFmt w:val="none"/>
      <w:lvlText w:val=""/>
      <w:lvlJc w:val="left"/>
      <w:pPr>
        <w:ind w:left="720" w:firstLine="0"/>
      </w:pPr>
      <w:rPr>
        <w:rFonts w:hint="default"/>
      </w:rPr>
    </w:lvl>
    <w:lvl w:ilvl="8" w:tplc="98744156">
      <w:start w:val="1"/>
      <w:numFmt w:val="none"/>
      <w:lvlText w:val=""/>
      <w:lvlJc w:val="left"/>
      <w:pPr>
        <w:ind w:left="720" w:firstLine="0"/>
      </w:pPr>
      <w:rPr>
        <w:rFonts w:hint="default"/>
      </w:rPr>
    </w:lvl>
  </w:abstractNum>
  <w:abstractNum w:abstractNumId="40" w15:restartNumberingAfterBreak="0">
    <w:nsid w:val="6CB112C8"/>
    <w:multiLevelType w:val="hybridMultilevel"/>
    <w:tmpl w:val="92402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56013B"/>
    <w:multiLevelType w:val="hybridMultilevel"/>
    <w:tmpl w:val="CE8C49C2"/>
    <w:lvl w:ilvl="0" w:tplc="1D941514">
      <w:start w:val="1"/>
      <w:numFmt w:val="lowerLetter"/>
      <w:lvlText w:val="(%1)"/>
      <w:lvlJc w:val="right"/>
      <w:pPr>
        <w:ind w:left="792"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9A0AFE"/>
    <w:multiLevelType w:val="hybridMultilevel"/>
    <w:tmpl w:val="18F4A5AC"/>
    <w:numStyleLink w:val="FoFCoLOP"/>
  </w:abstractNum>
  <w:abstractNum w:abstractNumId="44" w15:restartNumberingAfterBreak="0">
    <w:nsid w:val="79865EEA"/>
    <w:multiLevelType w:val="hybridMultilevel"/>
    <w:tmpl w:val="0E4C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9554D5"/>
    <w:multiLevelType w:val="hybridMultilevel"/>
    <w:tmpl w:val="8CE23D4E"/>
    <w:lvl w:ilvl="0" w:tplc="4240ED78">
      <w:start w:val="1"/>
      <w:numFmt w:val="decimal"/>
      <w:lvlText w:val="%1."/>
      <w:lvlJc w:val="left"/>
      <w:pPr>
        <w:ind w:left="1219" w:hanging="369"/>
      </w:pPr>
      <w:rPr>
        <w:rFonts w:ascii="Times New Roman" w:eastAsia="Times New Roman" w:hAnsi="Times New Roman" w:cs="Times New Roman" w:hint="default"/>
        <w:spacing w:val="0"/>
        <w:w w:val="100"/>
        <w:sz w:val="24"/>
        <w:szCs w:val="24"/>
      </w:rPr>
    </w:lvl>
    <w:lvl w:ilvl="1" w:tplc="DB0E201A">
      <w:numFmt w:val="bullet"/>
      <w:lvlText w:val="•"/>
      <w:lvlJc w:val="left"/>
      <w:pPr>
        <w:ind w:left="2132" w:hanging="369"/>
      </w:pPr>
      <w:rPr>
        <w:rFonts w:hint="default"/>
      </w:rPr>
    </w:lvl>
    <w:lvl w:ilvl="2" w:tplc="03947C6C">
      <w:numFmt w:val="bullet"/>
      <w:lvlText w:val="•"/>
      <w:lvlJc w:val="left"/>
      <w:pPr>
        <w:ind w:left="3044" w:hanging="369"/>
      </w:pPr>
      <w:rPr>
        <w:rFonts w:hint="default"/>
      </w:rPr>
    </w:lvl>
    <w:lvl w:ilvl="3" w:tplc="A3465544">
      <w:numFmt w:val="bullet"/>
      <w:lvlText w:val="•"/>
      <w:lvlJc w:val="left"/>
      <w:pPr>
        <w:ind w:left="3956" w:hanging="369"/>
      </w:pPr>
      <w:rPr>
        <w:rFonts w:hint="default"/>
      </w:rPr>
    </w:lvl>
    <w:lvl w:ilvl="4" w:tplc="A6E62F7C">
      <w:numFmt w:val="bullet"/>
      <w:lvlText w:val="•"/>
      <w:lvlJc w:val="left"/>
      <w:pPr>
        <w:ind w:left="4868" w:hanging="369"/>
      </w:pPr>
      <w:rPr>
        <w:rFonts w:hint="default"/>
      </w:rPr>
    </w:lvl>
    <w:lvl w:ilvl="5" w:tplc="2B642786">
      <w:numFmt w:val="bullet"/>
      <w:lvlText w:val="•"/>
      <w:lvlJc w:val="left"/>
      <w:pPr>
        <w:ind w:left="5780" w:hanging="369"/>
      </w:pPr>
      <w:rPr>
        <w:rFonts w:hint="default"/>
      </w:rPr>
    </w:lvl>
    <w:lvl w:ilvl="6" w:tplc="B9B4A6F6">
      <w:numFmt w:val="bullet"/>
      <w:lvlText w:val="•"/>
      <w:lvlJc w:val="left"/>
      <w:pPr>
        <w:ind w:left="6692" w:hanging="369"/>
      </w:pPr>
      <w:rPr>
        <w:rFonts w:hint="default"/>
      </w:rPr>
    </w:lvl>
    <w:lvl w:ilvl="7" w:tplc="BCB4B844">
      <w:numFmt w:val="bullet"/>
      <w:lvlText w:val="•"/>
      <w:lvlJc w:val="left"/>
      <w:pPr>
        <w:ind w:left="7604" w:hanging="369"/>
      </w:pPr>
      <w:rPr>
        <w:rFonts w:hint="default"/>
      </w:rPr>
    </w:lvl>
    <w:lvl w:ilvl="8" w:tplc="C10432D6">
      <w:numFmt w:val="bullet"/>
      <w:lvlText w:val="•"/>
      <w:lvlJc w:val="left"/>
      <w:pPr>
        <w:ind w:left="8516" w:hanging="369"/>
      </w:pPr>
      <w:rPr>
        <w:rFonts w:hint="default"/>
      </w:rPr>
    </w:lvl>
  </w:abstractNum>
  <w:num w:numId="1">
    <w:abstractNumId w:val="32"/>
  </w:num>
  <w:num w:numId="2">
    <w:abstractNumId w:val="8"/>
  </w:num>
  <w:num w:numId="3">
    <w:abstractNumId w:val="31"/>
  </w:num>
  <w:num w:numId="4">
    <w:abstractNumId w:val="9"/>
  </w:num>
  <w:num w:numId="5">
    <w:abstractNumId w:val="43"/>
  </w:num>
  <w:num w:numId="6">
    <w:abstractNumId w:val="21"/>
  </w:num>
  <w:num w:numId="7">
    <w:abstractNumId w:val="14"/>
  </w:num>
  <w:num w:numId="8">
    <w:abstractNumId w:val="41"/>
  </w:num>
  <w:num w:numId="9">
    <w:abstractNumId w:val="0"/>
  </w:num>
  <w:num w:numId="10">
    <w:abstractNumId w:val="13"/>
  </w:num>
  <w:num w:numId="11">
    <w:abstractNumId w:val="15"/>
  </w:num>
  <w:num w:numId="12">
    <w:abstractNumId w:val="12"/>
  </w:num>
  <w:num w:numId="13">
    <w:abstractNumId w:val="16"/>
  </w:num>
  <w:num w:numId="14">
    <w:abstractNumId w:val="19"/>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7"/>
  </w:num>
  <w:num w:numId="19">
    <w:abstractNumId w:val="6"/>
  </w:num>
  <w:num w:numId="20">
    <w:abstractNumId w:val="30"/>
  </w:num>
  <w:num w:numId="21">
    <w:abstractNumId w:val="1"/>
  </w:num>
  <w:num w:numId="22">
    <w:abstractNumId w:val="10"/>
  </w:num>
  <w:num w:numId="23">
    <w:abstractNumId w:val="29"/>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38"/>
  </w:num>
  <w:num w:numId="27">
    <w:abstractNumId w:val="42"/>
  </w:num>
  <w:num w:numId="28">
    <w:abstractNumId w:val="18"/>
  </w:num>
  <w:num w:numId="29">
    <w:abstractNumId w:val="22"/>
  </w:num>
  <w:num w:numId="30">
    <w:abstractNumId w:val="36"/>
  </w:num>
  <w:num w:numId="31">
    <w:abstractNumId w:val="4"/>
  </w:num>
  <w:num w:numId="32">
    <w:abstractNumId w:val="7"/>
  </w:num>
  <w:num w:numId="33">
    <w:abstractNumId w:val="27"/>
  </w:num>
  <w:num w:numId="34">
    <w:abstractNumId w:val="44"/>
  </w:num>
  <w:num w:numId="35">
    <w:abstractNumId w:val="17"/>
  </w:num>
  <w:num w:numId="36">
    <w:abstractNumId w:val="39"/>
  </w:num>
  <w:num w:numId="37">
    <w:abstractNumId w:val="40"/>
  </w:num>
  <w:num w:numId="38">
    <w:abstractNumId w:val="33"/>
  </w:num>
  <w:num w:numId="39">
    <w:abstractNumId w:val="5"/>
  </w:num>
  <w:num w:numId="40">
    <w:abstractNumId w:val="23"/>
  </w:num>
  <w:num w:numId="41">
    <w:abstractNumId w:val="26"/>
  </w:num>
  <w:num w:numId="42">
    <w:abstractNumId w:val="25"/>
  </w:num>
  <w:num w:numId="43">
    <w:abstractNumId w:val="20"/>
  </w:num>
  <w:num w:numId="44">
    <w:abstractNumId w:val="11"/>
  </w:num>
  <w:num w:numId="45">
    <w:abstractNumId w:val="35"/>
  </w:num>
  <w:num w:numId="46">
    <w:abstractNumId w:val="28"/>
  </w:num>
  <w:num w:numId="47">
    <w:abstractNumId w:val="24"/>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C6"/>
    <w:rsid w:val="0000042F"/>
    <w:rsid w:val="000005E8"/>
    <w:rsid w:val="000007FC"/>
    <w:rsid w:val="00000F6A"/>
    <w:rsid w:val="00001224"/>
    <w:rsid w:val="000013F0"/>
    <w:rsid w:val="00001763"/>
    <w:rsid w:val="00001850"/>
    <w:rsid w:val="00002111"/>
    <w:rsid w:val="00002917"/>
    <w:rsid w:val="00002CD1"/>
    <w:rsid w:val="00002F75"/>
    <w:rsid w:val="00003842"/>
    <w:rsid w:val="00003B84"/>
    <w:rsid w:val="0000473F"/>
    <w:rsid w:val="00004C1D"/>
    <w:rsid w:val="000050E5"/>
    <w:rsid w:val="0000511F"/>
    <w:rsid w:val="0000515C"/>
    <w:rsid w:val="000052A7"/>
    <w:rsid w:val="0000565C"/>
    <w:rsid w:val="000058C7"/>
    <w:rsid w:val="00005B77"/>
    <w:rsid w:val="00006017"/>
    <w:rsid w:val="00006327"/>
    <w:rsid w:val="000063E7"/>
    <w:rsid w:val="00006C30"/>
    <w:rsid w:val="00006CEC"/>
    <w:rsid w:val="000073E7"/>
    <w:rsid w:val="00010408"/>
    <w:rsid w:val="00010F7E"/>
    <w:rsid w:val="000113AF"/>
    <w:rsid w:val="0001187D"/>
    <w:rsid w:val="000118A3"/>
    <w:rsid w:val="00011DBC"/>
    <w:rsid w:val="00011F6C"/>
    <w:rsid w:val="00012395"/>
    <w:rsid w:val="000127AF"/>
    <w:rsid w:val="00013A9E"/>
    <w:rsid w:val="00013CC5"/>
    <w:rsid w:val="00013EA5"/>
    <w:rsid w:val="0001457F"/>
    <w:rsid w:val="0001491E"/>
    <w:rsid w:val="00015B4C"/>
    <w:rsid w:val="00016131"/>
    <w:rsid w:val="00016192"/>
    <w:rsid w:val="000165CE"/>
    <w:rsid w:val="0001662E"/>
    <w:rsid w:val="000171C3"/>
    <w:rsid w:val="00017521"/>
    <w:rsid w:val="000178FF"/>
    <w:rsid w:val="00017BD8"/>
    <w:rsid w:val="00020316"/>
    <w:rsid w:val="00020326"/>
    <w:rsid w:val="00020DB2"/>
    <w:rsid w:val="000218E0"/>
    <w:rsid w:val="00021A77"/>
    <w:rsid w:val="00021F90"/>
    <w:rsid w:val="00022076"/>
    <w:rsid w:val="00022227"/>
    <w:rsid w:val="0002226A"/>
    <w:rsid w:val="0002261C"/>
    <w:rsid w:val="00022F9C"/>
    <w:rsid w:val="00023FC6"/>
    <w:rsid w:val="0002409A"/>
    <w:rsid w:val="00024394"/>
    <w:rsid w:val="00024465"/>
    <w:rsid w:val="000247B4"/>
    <w:rsid w:val="00024E30"/>
    <w:rsid w:val="00025457"/>
    <w:rsid w:val="00025524"/>
    <w:rsid w:val="0002704C"/>
    <w:rsid w:val="000273A0"/>
    <w:rsid w:val="00027B14"/>
    <w:rsid w:val="00027E97"/>
    <w:rsid w:val="00030369"/>
    <w:rsid w:val="0003116B"/>
    <w:rsid w:val="000312C0"/>
    <w:rsid w:val="0003196D"/>
    <w:rsid w:val="00031A63"/>
    <w:rsid w:val="00031B9B"/>
    <w:rsid w:val="000322B2"/>
    <w:rsid w:val="00032694"/>
    <w:rsid w:val="000328A5"/>
    <w:rsid w:val="00032909"/>
    <w:rsid w:val="00032983"/>
    <w:rsid w:val="00032E81"/>
    <w:rsid w:val="00033AA2"/>
    <w:rsid w:val="00033BA5"/>
    <w:rsid w:val="00033D0E"/>
    <w:rsid w:val="00033E3A"/>
    <w:rsid w:val="000341E7"/>
    <w:rsid w:val="00034916"/>
    <w:rsid w:val="0003494E"/>
    <w:rsid w:val="0003567A"/>
    <w:rsid w:val="00035AA0"/>
    <w:rsid w:val="00035E41"/>
    <w:rsid w:val="00035E6A"/>
    <w:rsid w:val="00035F25"/>
    <w:rsid w:val="00036250"/>
    <w:rsid w:val="000362A6"/>
    <w:rsid w:val="00036760"/>
    <w:rsid w:val="0003703E"/>
    <w:rsid w:val="00037D04"/>
    <w:rsid w:val="00040284"/>
    <w:rsid w:val="0004038D"/>
    <w:rsid w:val="00040561"/>
    <w:rsid w:val="00040812"/>
    <w:rsid w:val="00040EB9"/>
    <w:rsid w:val="00042545"/>
    <w:rsid w:val="00042713"/>
    <w:rsid w:val="000427A6"/>
    <w:rsid w:val="00042A41"/>
    <w:rsid w:val="00042B08"/>
    <w:rsid w:val="00042E4E"/>
    <w:rsid w:val="00042E66"/>
    <w:rsid w:val="0004300C"/>
    <w:rsid w:val="000432F4"/>
    <w:rsid w:val="000434EE"/>
    <w:rsid w:val="00043686"/>
    <w:rsid w:val="000439B1"/>
    <w:rsid w:val="00043A7B"/>
    <w:rsid w:val="00044776"/>
    <w:rsid w:val="00044984"/>
    <w:rsid w:val="000453AF"/>
    <w:rsid w:val="000453FB"/>
    <w:rsid w:val="00045459"/>
    <w:rsid w:val="000464FD"/>
    <w:rsid w:val="00046DD3"/>
    <w:rsid w:val="00047C82"/>
    <w:rsid w:val="000506BE"/>
    <w:rsid w:val="000507A5"/>
    <w:rsid w:val="00050878"/>
    <w:rsid w:val="0005091B"/>
    <w:rsid w:val="00051241"/>
    <w:rsid w:val="00051552"/>
    <w:rsid w:val="000518FC"/>
    <w:rsid w:val="0005193A"/>
    <w:rsid w:val="000519F5"/>
    <w:rsid w:val="00051AAB"/>
    <w:rsid w:val="00052B6C"/>
    <w:rsid w:val="00053C29"/>
    <w:rsid w:val="00053F16"/>
    <w:rsid w:val="00053F5E"/>
    <w:rsid w:val="00053F9B"/>
    <w:rsid w:val="000540EA"/>
    <w:rsid w:val="000543D0"/>
    <w:rsid w:val="0005462E"/>
    <w:rsid w:val="00054CA5"/>
    <w:rsid w:val="00054D6D"/>
    <w:rsid w:val="00054E30"/>
    <w:rsid w:val="000555A9"/>
    <w:rsid w:val="00055757"/>
    <w:rsid w:val="00055A95"/>
    <w:rsid w:val="00055E49"/>
    <w:rsid w:val="000564CE"/>
    <w:rsid w:val="00056B9F"/>
    <w:rsid w:val="00057049"/>
    <w:rsid w:val="00057970"/>
    <w:rsid w:val="00057D53"/>
    <w:rsid w:val="00060433"/>
    <w:rsid w:val="0006068F"/>
    <w:rsid w:val="00060C67"/>
    <w:rsid w:val="00061538"/>
    <w:rsid w:val="000617B9"/>
    <w:rsid w:val="00061A7A"/>
    <w:rsid w:val="00061E6D"/>
    <w:rsid w:val="00061FCB"/>
    <w:rsid w:val="0006216A"/>
    <w:rsid w:val="0006328C"/>
    <w:rsid w:val="000633C5"/>
    <w:rsid w:val="000635BA"/>
    <w:rsid w:val="00063675"/>
    <w:rsid w:val="00063720"/>
    <w:rsid w:val="00063C07"/>
    <w:rsid w:val="00064809"/>
    <w:rsid w:val="00065A80"/>
    <w:rsid w:val="000663BA"/>
    <w:rsid w:val="00066EDC"/>
    <w:rsid w:val="00066F32"/>
    <w:rsid w:val="00066FE1"/>
    <w:rsid w:val="00067871"/>
    <w:rsid w:val="0007025A"/>
    <w:rsid w:val="0007115A"/>
    <w:rsid w:val="00071584"/>
    <w:rsid w:val="00071902"/>
    <w:rsid w:val="00071A11"/>
    <w:rsid w:val="0007231B"/>
    <w:rsid w:val="000723EC"/>
    <w:rsid w:val="000726C2"/>
    <w:rsid w:val="00072919"/>
    <w:rsid w:val="00072C7D"/>
    <w:rsid w:val="0007333D"/>
    <w:rsid w:val="0007355B"/>
    <w:rsid w:val="00073597"/>
    <w:rsid w:val="00073B59"/>
    <w:rsid w:val="00073ED9"/>
    <w:rsid w:val="00073FF5"/>
    <w:rsid w:val="0007434B"/>
    <w:rsid w:val="00074911"/>
    <w:rsid w:val="00074DC4"/>
    <w:rsid w:val="00075604"/>
    <w:rsid w:val="00075707"/>
    <w:rsid w:val="000763B5"/>
    <w:rsid w:val="00076498"/>
    <w:rsid w:val="00076E57"/>
    <w:rsid w:val="00077442"/>
    <w:rsid w:val="00077E02"/>
    <w:rsid w:val="00077E5D"/>
    <w:rsid w:val="000806C6"/>
    <w:rsid w:val="00080A86"/>
    <w:rsid w:val="00081B08"/>
    <w:rsid w:val="00081B2D"/>
    <w:rsid w:val="00082119"/>
    <w:rsid w:val="0008289C"/>
    <w:rsid w:val="00083002"/>
    <w:rsid w:val="000831B3"/>
    <w:rsid w:val="0008331B"/>
    <w:rsid w:val="000833A2"/>
    <w:rsid w:val="00083C5C"/>
    <w:rsid w:val="000845E8"/>
    <w:rsid w:val="00084767"/>
    <w:rsid w:val="000847AE"/>
    <w:rsid w:val="00084831"/>
    <w:rsid w:val="0008487E"/>
    <w:rsid w:val="00084970"/>
    <w:rsid w:val="0008584F"/>
    <w:rsid w:val="00085DB4"/>
    <w:rsid w:val="00086253"/>
    <w:rsid w:val="0008678E"/>
    <w:rsid w:val="00087491"/>
    <w:rsid w:val="00087C24"/>
    <w:rsid w:val="00090697"/>
    <w:rsid w:val="0009075F"/>
    <w:rsid w:val="00090921"/>
    <w:rsid w:val="00090B39"/>
    <w:rsid w:val="00090EAF"/>
    <w:rsid w:val="00091795"/>
    <w:rsid w:val="000920D0"/>
    <w:rsid w:val="00092925"/>
    <w:rsid w:val="00092DA1"/>
    <w:rsid w:val="00093156"/>
    <w:rsid w:val="00093201"/>
    <w:rsid w:val="0009329A"/>
    <w:rsid w:val="000936A2"/>
    <w:rsid w:val="000941E9"/>
    <w:rsid w:val="0009442B"/>
    <w:rsid w:val="00094836"/>
    <w:rsid w:val="00094877"/>
    <w:rsid w:val="00095062"/>
    <w:rsid w:val="00095119"/>
    <w:rsid w:val="0009583A"/>
    <w:rsid w:val="00095C0A"/>
    <w:rsid w:val="00095F83"/>
    <w:rsid w:val="00096BD0"/>
    <w:rsid w:val="00096CF2"/>
    <w:rsid w:val="000971E9"/>
    <w:rsid w:val="00097342"/>
    <w:rsid w:val="000973C8"/>
    <w:rsid w:val="0009751D"/>
    <w:rsid w:val="00097634"/>
    <w:rsid w:val="00097CEE"/>
    <w:rsid w:val="00097F4B"/>
    <w:rsid w:val="00097F85"/>
    <w:rsid w:val="00097FAB"/>
    <w:rsid w:val="000A0001"/>
    <w:rsid w:val="000A015E"/>
    <w:rsid w:val="000A072C"/>
    <w:rsid w:val="000A0767"/>
    <w:rsid w:val="000A0D3B"/>
    <w:rsid w:val="000A0F64"/>
    <w:rsid w:val="000A15A9"/>
    <w:rsid w:val="000A28C2"/>
    <w:rsid w:val="000A2AA9"/>
    <w:rsid w:val="000A3A0C"/>
    <w:rsid w:val="000A3B9B"/>
    <w:rsid w:val="000A3C7F"/>
    <w:rsid w:val="000A3F4F"/>
    <w:rsid w:val="000A41C4"/>
    <w:rsid w:val="000A4427"/>
    <w:rsid w:val="000A4938"/>
    <w:rsid w:val="000A4CA3"/>
    <w:rsid w:val="000A4E48"/>
    <w:rsid w:val="000A5257"/>
    <w:rsid w:val="000A564E"/>
    <w:rsid w:val="000A56F2"/>
    <w:rsid w:val="000A6139"/>
    <w:rsid w:val="000A6576"/>
    <w:rsid w:val="000A6759"/>
    <w:rsid w:val="000A6821"/>
    <w:rsid w:val="000A6AEC"/>
    <w:rsid w:val="000A6E05"/>
    <w:rsid w:val="000A6E80"/>
    <w:rsid w:val="000A7282"/>
    <w:rsid w:val="000A7320"/>
    <w:rsid w:val="000A7631"/>
    <w:rsid w:val="000A7930"/>
    <w:rsid w:val="000A7E43"/>
    <w:rsid w:val="000A7EE5"/>
    <w:rsid w:val="000B0214"/>
    <w:rsid w:val="000B0640"/>
    <w:rsid w:val="000B0B29"/>
    <w:rsid w:val="000B12FA"/>
    <w:rsid w:val="000B14B2"/>
    <w:rsid w:val="000B154B"/>
    <w:rsid w:val="000B177D"/>
    <w:rsid w:val="000B19EB"/>
    <w:rsid w:val="000B1A2A"/>
    <w:rsid w:val="000B1BFF"/>
    <w:rsid w:val="000B1D46"/>
    <w:rsid w:val="000B1F91"/>
    <w:rsid w:val="000B2361"/>
    <w:rsid w:val="000B23BD"/>
    <w:rsid w:val="000B275D"/>
    <w:rsid w:val="000B2B0A"/>
    <w:rsid w:val="000B3120"/>
    <w:rsid w:val="000B4505"/>
    <w:rsid w:val="000B4A78"/>
    <w:rsid w:val="000B530E"/>
    <w:rsid w:val="000B586D"/>
    <w:rsid w:val="000B5C6C"/>
    <w:rsid w:val="000B61B7"/>
    <w:rsid w:val="000B63B3"/>
    <w:rsid w:val="000B6858"/>
    <w:rsid w:val="000C0308"/>
    <w:rsid w:val="000C08BF"/>
    <w:rsid w:val="000C0E83"/>
    <w:rsid w:val="000C13FB"/>
    <w:rsid w:val="000C1829"/>
    <w:rsid w:val="000C2131"/>
    <w:rsid w:val="000C2C41"/>
    <w:rsid w:val="000C378F"/>
    <w:rsid w:val="000C38A2"/>
    <w:rsid w:val="000C3B9A"/>
    <w:rsid w:val="000C4310"/>
    <w:rsid w:val="000C49FA"/>
    <w:rsid w:val="000C4A29"/>
    <w:rsid w:val="000C50E0"/>
    <w:rsid w:val="000C5341"/>
    <w:rsid w:val="000C60A4"/>
    <w:rsid w:val="000C6ABC"/>
    <w:rsid w:val="000C7000"/>
    <w:rsid w:val="000C7E3A"/>
    <w:rsid w:val="000D000A"/>
    <w:rsid w:val="000D0488"/>
    <w:rsid w:val="000D065C"/>
    <w:rsid w:val="000D0C3A"/>
    <w:rsid w:val="000D0CEB"/>
    <w:rsid w:val="000D0D15"/>
    <w:rsid w:val="000D1093"/>
    <w:rsid w:val="000D1154"/>
    <w:rsid w:val="000D1979"/>
    <w:rsid w:val="000D230B"/>
    <w:rsid w:val="000D2489"/>
    <w:rsid w:val="000D25A8"/>
    <w:rsid w:val="000D2783"/>
    <w:rsid w:val="000D2826"/>
    <w:rsid w:val="000D2A5D"/>
    <w:rsid w:val="000D2C2F"/>
    <w:rsid w:val="000D324E"/>
    <w:rsid w:val="000D3DBA"/>
    <w:rsid w:val="000D3E40"/>
    <w:rsid w:val="000D417C"/>
    <w:rsid w:val="000D447E"/>
    <w:rsid w:val="000D44A8"/>
    <w:rsid w:val="000D4654"/>
    <w:rsid w:val="000D4AE0"/>
    <w:rsid w:val="000D4C08"/>
    <w:rsid w:val="000D4DB2"/>
    <w:rsid w:val="000D519E"/>
    <w:rsid w:val="000D575F"/>
    <w:rsid w:val="000D5B23"/>
    <w:rsid w:val="000D610A"/>
    <w:rsid w:val="000D6984"/>
    <w:rsid w:val="000D6991"/>
    <w:rsid w:val="000D6D25"/>
    <w:rsid w:val="000D6D4E"/>
    <w:rsid w:val="000D7255"/>
    <w:rsid w:val="000D73B9"/>
    <w:rsid w:val="000D76AE"/>
    <w:rsid w:val="000E0821"/>
    <w:rsid w:val="000E08BD"/>
    <w:rsid w:val="000E0BA9"/>
    <w:rsid w:val="000E10A5"/>
    <w:rsid w:val="000E13E3"/>
    <w:rsid w:val="000E198D"/>
    <w:rsid w:val="000E19AE"/>
    <w:rsid w:val="000E1AA5"/>
    <w:rsid w:val="000E1C18"/>
    <w:rsid w:val="000E1C7B"/>
    <w:rsid w:val="000E1DE8"/>
    <w:rsid w:val="000E23F1"/>
    <w:rsid w:val="000E270A"/>
    <w:rsid w:val="000E28D2"/>
    <w:rsid w:val="000E2947"/>
    <w:rsid w:val="000E2DBA"/>
    <w:rsid w:val="000E395A"/>
    <w:rsid w:val="000E3ADC"/>
    <w:rsid w:val="000E3CA9"/>
    <w:rsid w:val="000E4292"/>
    <w:rsid w:val="000E4AB9"/>
    <w:rsid w:val="000E4BDF"/>
    <w:rsid w:val="000E4C53"/>
    <w:rsid w:val="000E50A1"/>
    <w:rsid w:val="000E5AE4"/>
    <w:rsid w:val="000E5DB1"/>
    <w:rsid w:val="000E68B7"/>
    <w:rsid w:val="000E69DF"/>
    <w:rsid w:val="000E6AF9"/>
    <w:rsid w:val="000E78D2"/>
    <w:rsid w:val="000E7E9B"/>
    <w:rsid w:val="000F0325"/>
    <w:rsid w:val="000F05EC"/>
    <w:rsid w:val="000F06D0"/>
    <w:rsid w:val="000F07AF"/>
    <w:rsid w:val="000F14C4"/>
    <w:rsid w:val="000F1D37"/>
    <w:rsid w:val="000F20A1"/>
    <w:rsid w:val="000F29CB"/>
    <w:rsid w:val="000F2A34"/>
    <w:rsid w:val="000F2F1C"/>
    <w:rsid w:val="000F308B"/>
    <w:rsid w:val="000F36AA"/>
    <w:rsid w:val="000F40C8"/>
    <w:rsid w:val="000F4A6D"/>
    <w:rsid w:val="000F4F2E"/>
    <w:rsid w:val="000F5232"/>
    <w:rsid w:val="000F5997"/>
    <w:rsid w:val="000F5E63"/>
    <w:rsid w:val="000F6223"/>
    <w:rsid w:val="000F6253"/>
    <w:rsid w:val="000F6330"/>
    <w:rsid w:val="000F6A69"/>
    <w:rsid w:val="000F7EFC"/>
    <w:rsid w:val="00100566"/>
    <w:rsid w:val="00100973"/>
    <w:rsid w:val="00100CB6"/>
    <w:rsid w:val="00100F20"/>
    <w:rsid w:val="00101469"/>
    <w:rsid w:val="0010179B"/>
    <w:rsid w:val="00101BB2"/>
    <w:rsid w:val="00101CAE"/>
    <w:rsid w:val="001032BF"/>
    <w:rsid w:val="001038EE"/>
    <w:rsid w:val="00103BAA"/>
    <w:rsid w:val="00103DE5"/>
    <w:rsid w:val="00104262"/>
    <w:rsid w:val="0010506F"/>
    <w:rsid w:val="00105DE0"/>
    <w:rsid w:val="00106318"/>
    <w:rsid w:val="00106E08"/>
    <w:rsid w:val="00106F9A"/>
    <w:rsid w:val="0010733D"/>
    <w:rsid w:val="00107B03"/>
    <w:rsid w:val="00110146"/>
    <w:rsid w:val="00110206"/>
    <w:rsid w:val="00110466"/>
    <w:rsid w:val="00110848"/>
    <w:rsid w:val="00110A5B"/>
    <w:rsid w:val="00110AFC"/>
    <w:rsid w:val="00110C26"/>
    <w:rsid w:val="001118A5"/>
    <w:rsid w:val="00111985"/>
    <w:rsid w:val="00111F5F"/>
    <w:rsid w:val="001120F9"/>
    <w:rsid w:val="00112169"/>
    <w:rsid w:val="00112CC6"/>
    <w:rsid w:val="00112DFC"/>
    <w:rsid w:val="00112FF0"/>
    <w:rsid w:val="001130F7"/>
    <w:rsid w:val="001135D2"/>
    <w:rsid w:val="0011386D"/>
    <w:rsid w:val="00113F4F"/>
    <w:rsid w:val="00113FFB"/>
    <w:rsid w:val="00114049"/>
    <w:rsid w:val="001143C7"/>
    <w:rsid w:val="00114A11"/>
    <w:rsid w:val="00114B93"/>
    <w:rsid w:val="001158C0"/>
    <w:rsid w:val="00115B1E"/>
    <w:rsid w:val="00115E7B"/>
    <w:rsid w:val="00115EE1"/>
    <w:rsid w:val="00116217"/>
    <w:rsid w:val="001165EB"/>
    <w:rsid w:val="00116785"/>
    <w:rsid w:val="00116FFC"/>
    <w:rsid w:val="001170E5"/>
    <w:rsid w:val="001174DC"/>
    <w:rsid w:val="0011783E"/>
    <w:rsid w:val="00117E82"/>
    <w:rsid w:val="0012034B"/>
    <w:rsid w:val="001203DF"/>
    <w:rsid w:val="001205EE"/>
    <w:rsid w:val="00120ED4"/>
    <w:rsid w:val="00120FE8"/>
    <w:rsid w:val="00121089"/>
    <w:rsid w:val="00121905"/>
    <w:rsid w:val="00121981"/>
    <w:rsid w:val="00121EF2"/>
    <w:rsid w:val="00121EFE"/>
    <w:rsid w:val="00122442"/>
    <w:rsid w:val="00122D54"/>
    <w:rsid w:val="0012360A"/>
    <w:rsid w:val="00124364"/>
    <w:rsid w:val="00124C81"/>
    <w:rsid w:val="00124E52"/>
    <w:rsid w:val="00125196"/>
    <w:rsid w:val="00125513"/>
    <w:rsid w:val="00125E7C"/>
    <w:rsid w:val="00126739"/>
    <w:rsid w:val="00126CDB"/>
    <w:rsid w:val="00126D5D"/>
    <w:rsid w:val="001277E2"/>
    <w:rsid w:val="001302BA"/>
    <w:rsid w:val="001302FB"/>
    <w:rsid w:val="00130B10"/>
    <w:rsid w:val="00130DE4"/>
    <w:rsid w:val="00130EAB"/>
    <w:rsid w:val="00131320"/>
    <w:rsid w:val="0013155C"/>
    <w:rsid w:val="00131CF1"/>
    <w:rsid w:val="001321F7"/>
    <w:rsid w:val="00132263"/>
    <w:rsid w:val="00132505"/>
    <w:rsid w:val="00132FF5"/>
    <w:rsid w:val="00133159"/>
    <w:rsid w:val="00133392"/>
    <w:rsid w:val="0013353C"/>
    <w:rsid w:val="00134638"/>
    <w:rsid w:val="00134B6D"/>
    <w:rsid w:val="00134BDB"/>
    <w:rsid w:val="00135203"/>
    <w:rsid w:val="00135A7B"/>
    <w:rsid w:val="00135AB3"/>
    <w:rsid w:val="00135CDF"/>
    <w:rsid w:val="00135FBF"/>
    <w:rsid w:val="00137350"/>
    <w:rsid w:val="0013750E"/>
    <w:rsid w:val="001376CC"/>
    <w:rsid w:val="001377C4"/>
    <w:rsid w:val="001378D6"/>
    <w:rsid w:val="001400C5"/>
    <w:rsid w:val="001405AE"/>
    <w:rsid w:val="00140802"/>
    <w:rsid w:val="00140ED7"/>
    <w:rsid w:val="0014106A"/>
    <w:rsid w:val="00141425"/>
    <w:rsid w:val="0014147A"/>
    <w:rsid w:val="00141CFB"/>
    <w:rsid w:val="001420F0"/>
    <w:rsid w:val="00142B11"/>
    <w:rsid w:val="001437A6"/>
    <w:rsid w:val="001438F2"/>
    <w:rsid w:val="00143D1D"/>
    <w:rsid w:val="0014437C"/>
    <w:rsid w:val="00144574"/>
    <w:rsid w:val="00144C37"/>
    <w:rsid w:val="00144C4C"/>
    <w:rsid w:val="0014533C"/>
    <w:rsid w:val="00145648"/>
    <w:rsid w:val="001458A4"/>
    <w:rsid w:val="00145B5B"/>
    <w:rsid w:val="00146985"/>
    <w:rsid w:val="00146BAE"/>
    <w:rsid w:val="00146EC5"/>
    <w:rsid w:val="0014738E"/>
    <w:rsid w:val="001478CE"/>
    <w:rsid w:val="001479BF"/>
    <w:rsid w:val="00147B9C"/>
    <w:rsid w:val="00151399"/>
    <w:rsid w:val="001513E4"/>
    <w:rsid w:val="0015141C"/>
    <w:rsid w:val="0015158D"/>
    <w:rsid w:val="001519C7"/>
    <w:rsid w:val="00151B26"/>
    <w:rsid w:val="0015211A"/>
    <w:rsid w:val="0015277A"/>
    <w:rsid w:val="00152B24"/>
    <w:rsid w:val="00152FD8"/>
    <w:rsid w:val="0015305F"/>
    <w:rsid w:val="00153184"/>
    <w:rsid w:val="001537FD"/>
    <w:rsid w:val="00153A69"/>
    <w:rsid w:val="00153A6C"/>
    <w:rsid w:val="00153C72"/>
    <w:rsid w:val="00153D08"/>
    <w:rsid w:val="0015426F"/>
    <w:rsid w:val="00154400"/>
    <w:rsid w:val="00154BD8"/>
    <w:rsid w:val="00154C4B"/>
    <w:rsid w:val="00154FC8"/>
    <w:rsid w:val="001554E4"/>
    <w:rsid w:val="001555A7"/>
    <w:rsid w:val="001555E3"/>
    <w:rsid w:val="001555FC"/>
    <w:rsid w:val="00155607"/>
    <w:rsid w:val="00155B2B"/>
    <w:rsid w:val="0015668D"/>
    <w:rsid w:val="00156988"/>
    <w:rsid w:val="00156D87"/>
    <w:rsid w:val="00157294"/>
    <w:rsid w:val="001576CC"/>
    <w:rsid w:val="001577D0"/>
    <w:rsid w:val="0015795A"/>
    <w:rsid w:val="00157ABD"/>
    <w:rsid w:val="00157B71"/>
    <w:rsid w:val="00157BBE"/>
    <w:rsid w:val="00157C2F"/>
    <w:rsid w:val="001601FA"/>
    <w:rsid w:val="00160E42"/>
    <w:rsid w:val="00161460"/>
    <w:rsid w:val="001615F6"/>
    <w:rsid w:val="001616EB"/>
    <w:rsid w:val="00161904"/>
    <w:rsid w:val="00161C44"/>
    <w:rsid w:val="00162457"/>
    <w:rsid w:val="00162833"/>
    <w:rsid w:val="00162843"/>
    <w:rsid w:val="00163012"/>
    <w:rsid w:val="0016323C"/>
    <w:rsid w:val="001634D8"/>
    <w:rsid w:val="00163623"/>
    <w:rsid w:val="00163734"/>
    <w:rsid w:val="00163787"/>
    <w:rsid w:val="00163891"/>
    <w:rsid w:val="0016396B"/>
    <w:rsid w:val="00163AEA"/>
    <w:rsid w:val="00164AC6"/>
    <w:rsid w:val="00164BAB"/>
    <w:rsid w:val="00164C4C"/>
    <w:rsid w:val="00164E74"/>
    <w:rsid w:val="0016516B"/>
    <w:rsid w:val="00165296"/>
    <w:rsid w:val="0016547B"/>
    <w:rsid w:val="0016557A"/>
    <w:rsid w:val="001669D2"/>
    <w:rsid w:val="00166EC7"/>
    <w:rsid w:val="00167430"/>
    <w:rsid w:val="00167837"/>
    <w:rsid w:val="00167962"/>
    <w:rsid w:val="00167B59"/>
    <w:rsid w:val="00167CA3"/>
    <w:rsid w:val="0017023E"/>
    <w:rsid w:val="00170864"/>
    <w:rsid w:val="00170D55"/>
    <w:rsid w:val="00170E68"/>
    <w:rsid w:val="00170EF1"/>
    <w:rsid w:val="00171480"/>
    <w:rsid w:val="00171501"/>
    <w:rsid w:val="001717A6"/>
    <w:rsid w:val="001717AD"/>
    <w:rsid w:val="00171861"/>
    <w:rsid w:val="00171A0A"/>
    <w:rsid w:val="00172CD3"/>
    <w:rsid w:val="00172D97"/>
    <w:rsid w:val="00173668"/>
    <w:rsid w:val="001737BC"/>
    <w:rsid w:val="00173C9C"/>
    <w:rsid w:val="001746C9"/>
    <w:rsid w:val="001746E8"/>
    <w:rsid w:val="001756CC"/>
    <w:rsid w:val="00175790"/>
    <w:rsid w:val="00175ED3"/>
    <w:rsid w:val="001763CD"/>
    <w:rsid w:val="00176454"/>
    <w:rsid w:val="00176C3D"/>
    <w:rsid w:val="00176D09"/>
    <w:rsid w:val="00176D53"/>
    <w:rsid w:val="001775E3"/>
    <w:rsid w:val="00177C37"/>
    <w:rsid w:val="001801EE"/>
    <w:rsid w:val="001807BF"/>
    <w:rsid w:val="00180D32"/>
    <w:rsid w:val="00180D7E"/>
    <w:rsid w:val="00181250"/>
    <w:rsid w:val="001814D3"/>
    <w:rsid w:val="00181A4B"/>
    <w:rsid w:val="00181B0C"/>
    <w:rsid w:val="001826C2"/>
    <w:rsid w:val="00182C81"/>
    <w:rsid w:val="00182DBC"/>
    <w:rsid w:val="00182E40"/>
    <w:rsid w:val="001834A7"/>
    <w:rsid w:val="0018359D"/>
    <w:rsid w:val="00184C71"/>
    <w:rsid w:val="001856C2"/>
    <w:rsid w:val="0018595F"/>
    <w:rsid w:val="0018596D"/>
    <w:rsid w:val="00185A96"/>
    <w:rsid w:val="00185F91"/>
    <w:rsid w:val="00185FDB"/>
    <w:rsid w:val="001865DE"/>
    <w:rsid w:val="001866E0"/>
    <w:rsid w:val="00186A98"/>
    <w:rsid w:val="00186ACB"/>
    <w:rsid w:val="00187225"/>
    <w:rsid w:val="0018B0EB"/>
    <w:rsid w:val="00190032"/>
    <w:rsid w:val="00190726"/>
    <w:rsid w:val="001908A1"/>
    <w:rsid w:val="001909F9"/>
    <w:rsid w:val="00191063"/>
    <w:rsid w:val="0019131D"/>
    <w:rsid w:val="001916A2"/>
    <w:rsid w:val="001917E8"/>
    <w:rsid w:val="001919D5"/>
    <w:rsid w:val="00191CBB"/>
    <w:rsid w:val="001923B7"/>
    <w:rsid w:val="00192F09"/>
    <w:rsid w:val="00193397"/>
    <w:rsid w:val="00193847"/>
    <w:rsid w:val="001938A5"/>
    <w:rsid w:val="00194103"/>
    <w:rsid w:val="001944E3"/>
    <w:rsid w:val="00194900"/>
    <w:rsid w:val="00194A72"/>
    <w:rsid w:val="00195644"/>
    <w:rsid w:val="00196345"/>
    <w:rsid w:val="001967BD"/>
    <w:rsid w:val="00196D41"/>
    <w:rsid w:val="00197108"/>
    <w:rsid w:val="001976AA"/>
    <w:rsid w:val="00197DD9"/>
    <w:rsid w:val="001A0F14"/>
    <w:rsid w:val="001A10E2"/>
    <w:rsid w:val="001A12E9"/>
    <w:rsid w:val="001A13DF"/>
    <w:rsid w:val="001A203C"/>
    <w:rsid w:val="001A2162"/>
    <w:rsid w:val="001A2254"/>
    <w:rsid w:val="001A29FE"/>
    <w:rsid w:val="001A33D2"/>
    <w:rsid w:val="001A4026"/>
    <w:rsid w:val="001A4A42"/>
    <w:rsid w:val="001A5010"/>
    <w:rsid w:val="001A57DD"/>
    <w:rsid w:val="001A5894"/>
    <w:rsid w:val="001A6354"/>
    <w:rsid w:val="001A6571"/>
    <w:rsid w:val="001A67E6"/>
    <w:rsid w:val="001A6DF2"/>
    <w:rsid w:val="001A6E3B"/>
    <w:rsid w:val="001A7244"/>
    <w:rsid w:val="001A7459"/>
    <w:rsid w:val="001A748E"/>
    <w:rsid w:val="001A7505"/>
    <w:rsid w:val="001A7849"/>
    <w:rsid w:val="001A7B09"/>
    <w:rsid w:val="001A7BCA"/>
    <w:rsid w:val="001B0090"/>
    <w:rsid w:val="001B0195"/>
    <w:rsid w:val="001B028C"/>
    <w:rsid w:val="001B0292"/>
    <w:rsid w:val="001B03C7"/>
    <w:rsid w:val="001B060C"/>
    <w:rsid w:val="001B18EC"/>
    <w:rsid w:val="001B29C9"/>
    <w:rsid w:val="001B2D50"/>
    <w:rsid w:val="001B2E50"/>
    <w:rsid w:val="001B2E9A"/>
    <w:rsid w:val="001B3031"/>
    <w:rsid w:val="001B3483"/>
    <w:rsid w:val="001B3D13"/>
    <w:rsid w:val="001B3E41"/>
    <w:rsid w:val="001B3FA0"/>
    <w:rsid w:val="001B43B2"/>
    <w:rsid w:val="001B49EB"/>
    <w:rsid w:val="001B4B2A"/>
    <w:rsid w:val="001B4E8C"/>
    <w:rsid w:val="001B57A1"/>
    <w:rsid w:val="001B6C47"/>
    <w:rsid w:val="001B77F6"/>
    <w:rsid w:val="001C09D7"/>
    <w:rsid w:val="001C0B1B"/>
    <w:rsid w:val="001C0F6A"/>
    <w:rsid w:val="001C12E7"/>
    <w:rsid w:val="001C170F"/>
    <w:rsid w:val="001C1790"/>
    <w:rsid w:val="001C1BA9"/>
    <w:rsid w:val="001C2360"/>
    <w:rsid w:val="001C2AC1"/>
    <w:rsid w:val="001C2AD1"/>
    <w:rsid w:val="001C3165"/>
    <w:rsid w:val="001C363F"/>
    <w:rsid w:val="001C38BF"/>
    <w:rsid w:val="001C3A2C"/>
    <w:rsid w:val="001C461C"/>
    <w:rsid w:val="001C491C"/>
    <w:rsid w:val="001C515A"/>
    <w:rsid w:val="001C60FB"/>
    <w:rsid w:val="001C614B"/>
    <w:rsid w:val="001C65BC"/>
    <w:rsid w:val="001C6908"/>
    <w:rsid w:val="001C7016"/>
    <w:rsid w:val="001C706F"/>
    <w:rsid w:val="001C760D"/>
    <w:rsid w:val="001C78A1"/>
    <w:rsid w:val="001D0F2B"/>
    <w:rsid w:val="001D13F1"/>
    <w:rsid w:val="001D1C24"/>
    <w:rsid w:val="001D1F27"/>
    <w:rsid w:val="001D2067"/>
    <w:rsid w:val="001D2130"/>
    <w:rsid w:val="001D2ACE"/>
    <w:rsid w:val="001D2C38"/>
    <w:rsid w:val="001D309F"/>
    <w:rsid w:val="001D31AD"/>
    <w:rsid w:val="001D3415"/>
    <w:rsid w:val="001D353C"/>
    <w:rsid w:val="001D3A89"/>
    <w:rsid w:val="001D3BB7"/>
    <w:rsid w:val="001D414D"/>
    <w:rsid w:val="001D42AD"/>
    <w:rsid w:val="001D42F6"/>
    <w:rsid w:val="001D444B"/>
    <w:rsid w:val="001D4462"/>
    <w:rsid w:val="001D4803"/>
    <w:rsid w:val="001D4AC4"/>
    <w:rsid w:val="001D4ADF"/>
    <w:rsid w:val="001D4E5D"/>
    <w:rsid w:val="001D5601"/>
    <w:rsid w:val="001D572B"/>
    <w:rsid w:val="001D5786"/>
    <w:rsid w:val="001D5797"/>
    <w:rsid w:val="001D5DAA"/>
    <w:rsid w:val="001D5EE3"/>
    <w:rsid w:val="001D611C"/>
    <w:rsid w:val="001D6313"/>
    <w:rsid w:val="001D63F6"/>
    <w:rsid w:val="001D6837"/>
    <w:rsid w:val="001D697D"/>
    <w:rsid w:val="001D72A8"/>
    <w:rsid w:val="001D7510"/>
    <w:rsid w:val="001D75D4"/>
    <w:rsid w:val="001D768D"/>
    <w:rsid w:val="001D786E"/>
    <w:rsid w:val="001D7EC9"/>
    <w:rsid w:val="001D7F78"/>
    <w:rsid w:val="001E01B8"/>
    <w:rsid w:val="001E02D1"/>
    <w:rsid w:val="001E034D"/>
    <w:rsid w:val="001E0B41"/>
    <w:rsid w:val="001E0C63"/>
    <w:rsid w:val="001E0F84"/>
    <w:rsid w:val="001E1444"/>
    <w:rsid w:val="001E19C3"/>
    <w:rsid w:val="001E1DDF"/>
    <w:rsid w:val="001E1E28"/>
    <w:rsid w:val="001E20E8"/>
    <w:rsid w:val="001E239C"/>
    <w:rsid w:val="001E2890"/>
    <w:rsid w:val="001E289A"/>
    <w:rsid w:val="001E2A62"/>
    <w:rsid w:val="001E2B3F"/>
    <w:rsid w:val="001E2E8D"/>
    <w:rsid w:val="001E2FA8"/>
    <w:rsid w:val="001E2FAE"/>
    <w:rsid w:val="001E3068"/>
    <w:rsid w:val="001E3088"/>
    <w:rsid w:val="001E3362"/>
    <w:rsid w:val="001E3410"/>
    <w:rsid w:val="001E3DB6"/>
    <w:rsid w:val="001E4663"/>
    <w:rsid w:val="001E4E73"/>
    <w:rsid w:val="001E5122"/>
    <w:rsid w:val="001E5159"/>
    <w:rsid w:val="001E54AF"/>
    <w:rsid w:val="001E56BC"/>
    <w:rsid w:val="001E5AD2"/>
    <w:rsid w:val="001E5BBF"/>
    <w:rsid w:val="001E6279"/>
    <w:rsid w:val="001E634E"/>
    <w:rsid w:val="001E6442"/>
    <w:rsid w:val="001E64F8"/>
    <w:rsid w:val="001E6516"/>
    <w:rsid w:val="001E655F"/>
    <w:rsid w:val="001E6D5B"/>
    <w:rsid w:val="001E6F4D"/>
    <w:rsid w:val="001E7132"/>
    <w:rsid w:val="001E745B"/>
    <w:rsid w:val="001E7878"/>
    <w:rsid w:val="001F00E2"/>
    <w:rsid w:val="001F01D1"/>
    <w:rsid w:val="001F039A"/>
    <w:rsid w:val="001F0AF3"/>
    <w:rsid w:val="001F0C58"/>
    <w:rsid w:val="001F0EE3"/>
    <w:rsid w:val="001F1039"/>
    <w:rsid w:val="001F1234"/>
    <w:rsid w:val="001F1319"/>
    <w:rsid w:val="001F15DF"/>
    <w:rsid w:val="001F1621"/>
    <w:rsid w:val="001F173D"/>
    <w:rsid w:val="001F1B01"/>
    <w:rsid w:val="001F2040"/>
    <w:rsid w:val="001F2819"/>
    <w:rsid w:val="001F2EEC"/>
    <w:rsid w:val="001F3645"/>
    <w:rsid w:val="001F36CC"/>
    <w:rsid w:val="001F3838"/>
    <w:rsid w:val="001F3C82"/>
    <w:rsid w:val="001F3CEF"/>
    <w:rsid w:val="001F4044"/>
    <w:rsid w:val="001F40F3"/>
    <w:rsid w:val="001F441D"/>
    <w:rsid w:val="001F486C"/>
    <w:rsid w:val="001F51E1"/>
    <w:rsid w:val="001F525C"/>
    <w:rsid w:val="001F541F"/>
    <w:rsid w:val="001F55C2"/>
    <w:rsid w:val="001F5AF0"/>
    <w:rsid w:val="001F5F5A"/>
    <w:rsid w:val="001F61E4"/>
    <w:rsid w:val="001F6417"/>
    <w:rsid w:val="001F647A"/>
    <w:rsid w:val="001F6843"/>
    <w:rsid w:val="001F72AB"/>
    <w:rsid w:val="001F72D8"/>
    <w:rsid w:val="001F75B9"/>
    <w:rsid w:val="002006F9"/>
    <w:rsid w:val="002007D3"/>
    <w:rsid w:val="00200EC7"/>
    <w:rsid w:val="002011A5"/>
    <w:rsid w:val="00201443"/>
    <w:rsid w:val="002025E4"/>
    <w:rsid w:val="00202FBE"/>
    <w:rsid w:val="002032F9"/>
    <w:rsid w:val="00203EDB"/>
    <w:rsid w:val="002043EC"/>
    <w:rsid w:val="002044B2"/>
    <w:rsid w:val="00204AC5"/>
    <w:rsid w:val="00204C52"/>
    <w:rsid w:val="0020503A"/>
    <w:rsid w:val="002055B7"/>
    <w:rsid w:val="002055CB"/>
    <w:rsid w:val="002058BE"/>
    <w:rsid w:val="00205CDE"/>
    <w:rsid w:val="00205D18"/>
    <w:rsid w:val="00205F51"/>
    <w:rsid w:val="00206283"/>
    <w:rsid w:val="00206A07"/>
    <w:rsid w:val="00206FE7"/>
    <w:rsid w:val="00207163"/>
    <w:rsid w:val="00207805"/>
    <w:rsid w:val="00207C0E"/>
    <w:rsid w:val="00210D8F"/>
    <w:rsid w:val="00210FE4"/>
    <w:rsid w:val="0021120B"/>
    <w:rsid w:val="00211442"/>
    <w:rsid w:val="002115EC"/>
    <w:rsid w:val="00211CAE"/>
    <w:rsid w:val="00211E0A"/>
    <w:rsid w:val="002121EB"/>
    <w:rsid w:val="00212AB3"/>
    <w:rsid w:val="00212F4F"/>
    <w:rsid w:val="00213A4A"/>
    <w:rsid w:val="0021410A"/>
    <w:rsid w:val="002141BF"/>
    <w:rsid w:val="00214405"/>
    <w:rsid w:val="0021482C"/>
    <w:rsid w:val="00214A64"/>
    <w:rsid w:val="00214FB1"/>
    <w:rsid w:val="002150BC"/>
    <w:rsid w:val="00215C10"/>
    <w:rsid w:val="00215EA3"/>
    <w:rsid w:val="0021606F"/>
    <w:rsid w:val="002162A8"/>
    <w:rsid w:val="00216D2A"/>
    <w:rsid w:val="00217CAF"/>
    <w:rsid w:val="0021C9A0"/>
    <w:rsid w:val="00220011"/>
    <w:rsid w:val="00220030"/>
    <w:rsid w:val="00220339"/>
    <w:rsid w:val="00220825"/>
    <w:rsid w:val="0022098E"/>
    <w:rsid w:val="00220A75"/>
    <w:rsid w:val="0022163A"/>
    <w:rsid w:val="00221E6C"/>
    <w:rsid w:val="00222209"/>
    <w:rsid w:val="0022306E"/>
    <w:rsid w:val="002230AC"/>
    <w:rsid w:val="00224032"/>
    <w:rsid w:val="002247F9"/>
    <w:rsid w:val="00224FB0"/>
    <w:rsid w:val="002250A2"/>
    <w:rsid w:val="00225463"/>
    <w:rsid w:val="002257E0"/>
    <w:rsid w:val="00225C3D"/>
    <w:rsid w:val="00225EE2"/>
    <w:rsid w:val="0022659C"/>
    <w:rsid w:val="0022662A"/>
    <w:rsid w:val="00226636"/>
    <w:rsid w:val="00226826"/>
    <w:rsid w:val="002273BB"/>
    <w:rsid w:val="00227B7E"/>
    <w:rsid w:val="00227BF4"/>
    <w:rsid w:val="002301E5"/>
    <w:rsid w:val="0023069E"/>
    <w:rsid w:val="002314FB"/>
    <w:rsid w:val="0023174F"/>
    <w:rsid w:val="0023190C"/>
    <w:rsid w:val="00231B7B"/>
    <w:rsid w:val="0023281F"/>
    <w:rsid w:val="00232A35"/>
    <w:rsid w:val="00232B94"/>
    <w:rsid w:val="00232F12"/>
    <w:rsid w:val="00233058"/>
    <w:rsid w:val="00234751"/>
    <w:rsid w:val="002348F0"/>
    <w:rsid w:val="002349B8"/>
    <w:rsid w:val="00234A56"/>
    <w:rsid w:val="00235471"/>
    <w:rsid w:val="00235829"/>
    <w:rsid w:val="002358AF"/>
    <w:rsid w:val="00235E50"/>
    <w:rsid w:val="0023603A"/>
    <w:rsid w:val="0023645C"/>
    <w:rsid w:val="00236701"/>
    <w:rsid w:val="00236799"/>
    <w:rsid w:val="00236891"/>
    <w:rsid w:val="00236CE2"/>
    <w:rsid w:val="0023784C"/>
    <w:rsid w:val="00237969"/>
    <w:rsid w:val="002403C0"/>
    <w:rsid w:val="002406FA"/>
    <w:rsid w:val="00240826"/>
    <w:rsid w:val="00240FD4"/>
    <w:rsid w:val="002411EC"/>
    <w:rsid w:val="0024192A"/>
    <w:rsid w:val="0024199D"/>
    <w:rsid w:val="00241C45"/>
    <w:rsid w:val="00241F4F"/>
    <w:rsid w:val="00243133"/>
    <w:rsid w:val="002431DD"/>
    <w:rsid w:val="002438B7"/>
    <w:rsid w:val="00243B01"/>
    <w:rsid w:val="00243DC0"/>
    <w:rsid w:val="00243EC3"/>
    <w:rsid w:val="00244B43"/>
    <w:rsid w:val="00245072"/>
    <w:rsid w:val="002450E6"/>
    <w:rsid w:val="00245152"/>
    <w:rsid w:val="0024571E"/>
    <w:rsid w:val="00245FB8"/>
    <w:rsid w:val="00246265"/>
    <w:rsid w:val="002468CC"/>
    <w:rsid w:val="00246F7D"/>
    <w:rsid w:val="00247477"/>
    <w:rsid w:val="002475BB"/>
    <w:rsid w:val="002503BC"/>
    <w:rsid w:val="002503EB"/>
    <w:rsid w:val="0025042C"/>
    <w:rsid w:val="002504BB"/>
    <w:rsid w:val="00250875"/>
    <w:rsid w:val="00250BD4"/>
    <w:rsid w:val="00250C7A"/>
    <w:rsid w:val="00250F47"/>
    <w:rsid w:val="00251032"/>
    <w:rsid w:val="00251734"/>
    <w:rsid w:val="00251754"/>
    <w:rsid w:val="00251B9E"/>
    <w:rsid w:val="00251BCD"/>
    <w:rsid w:val="00251C3E"/>
    <w:rsid w:val="0025209A"/>
    <w:rsid w:val="00252FB2"/>
    <w:rsid w:val="002530FB"/>
    <w:rsid w:val="002534D1"/>
    <w:rsid w:val="0025370F"/>
    <w:rsid w:val="0025442B"/>
    <w:rsid w:val="0025480B"/>
    <w:rsid w:val="00254F7B"/>
    <w:rsid w:val="00255088"/>
    <w:rsid w:val="0025515B"/>
    <w:rsid w:val="00255583"/>
    <w:rsid w:val="0025558D"/>
    <w:rsid w:val="00255772"/>
    <w:rsid w:val="00255910"/>
    <w:rsid w:val="00255B29"/>
    <w:rsid w:val="00255BA4"/>
    <w:rsid w:val="0025621E"/>
    <w:rsid w:val="00256597"/>
    <w:rsid w:val="00256635"/>
    <w:rsid w:val="00256853"/>
    <w:rsid w:val="00256B4B"/>
    <w:rsid w:val="002574A6"/>
    <w:rsid w:val="00257894"/>
    <w:rsid w:val="00257D2B"/>
    <w:rsid w:val="00257F8C"/>
    <w:rsid w:val="002601BC"/>
    <w:rsid w:val="00260D9A"/>
    <w:rsid w:val="00261264"/>
    <w:rsid w:val="00261305"/>
    <w:rsid w:val="0026159D"/>
    <w:rsid w:val="00261E95"/>
    <w:rsid w:val="002621E9"/>
    <w:rsid w:val="002622F6"/>
    <w:rsid w:val="00262550"/>
    <w:rsid w:val="0026280F"/>
    <w:rsid w:val="00263624"/>
    <w:rsid w:val="00263FA1"/>
    <w:rsid w:val="00263FBE"/>
    <w:rsid w:val="00264244"/>
    <w:rsid w:val="00264BA7"/>
    <w:rsid w:val="0026513E"/>
    <w:rsid w:val="00265606"/>
    <w:rsid w:val="00265746"/>
    <w:rsid w:val="00265FDA"/>
    <w:rsid w:val="00266402"/>
    <w:rsid w:val="00266BE1"/>
    <w:rsid w:val="00266E47"/>
    <w:rsid w:val="0026705B"/>
    <w:rsid w:val="0026764F"/>
    <w:rsid w:val="0026769C"/>
    <w:rsid w:val="00267A32"/>
    <w:rsid w:val="00267CD5"/>
    <w:rsid w:val="002700F1"/>
    <w:rsid w:val="00270136"/>
    <w:rsid w:val="00270440"/>
    <w:rsid w:val="0027049C"/>
    <w:rsid w:val="00270569"/>
    <w:rsid w:val="002715EF"/>
    <w:rsid w:val="002721BD"/>
    <w:rsid w:val="0027226B"/>
    <w:rsid w:val="002724A6"/>
    <w:rsid w:val="00272B61"/>
    <w:rsid w:val="002730C9"/>
    <w:rsid w:val="00273325"/>
    <w:rsid w:val="0027365C"/>
    <w:rsid w:val="002737E5"/>
    <w:rsid w:val="00273A85"/>
    <w:rsid w:val="00273D7C"/>
    <w:rsid w:val="00273E88"/>
    <w:rsid w:val="002740AA"/>
    <w:rsid w:val="00274236"/>
    <w:rsid w:val="002745E7"/>
    <w:rsid w:val="002749BA"/>
    <w:rsid w:val="002749E9"/>
    <w:rsid w:val="00274B25"/>
    <w:rsid w:val="00274BC1"/>
    <w:rsid w:val="00274D4B"/>
    <w:rsid w:val="00275175"/>
    <w:rsid w:val="0027615A"/>
    <w:rsid w:val="002769F8"/>
    <w:rsid w:val="00276F75"/>
    <w:rsid w:val="00277AF5"/>
    <w:rsid w:val="0028008F"/>
    <w:rsid w:val="0028041D"/>
    <w:rsid w:val="00281889"/>
    <w:rsid w:val="00281C60"/>
    <w:rsid w:val="0028238B"/>
    <w:rsid w:val="0028280C"/>
    <w:rsid w:val="0028311C"/>
    <w:rsid w:val="00283453"/>
    <w:rsid w:val="00283581"/>
    <w:rsid w:val="002843F3"/>
    <w:rsid w:val="0028444B"/>
    <w:rsid w:val="00284B05"/>
    <w:rsid w:val="00285581"/>
    <w:rsid w:val="00285744"/>
    <w:rsid w:val="00285E89"/>
    <w:rsid w:val="00285F5D"/>
    <w:rsid w:val="00286963"/>
    <w:rsid w:val="00286B0A"/>
    <w:rsid w:val="00287809"/>
    <w:rsid w:val="00287844"/>
    <w:rsid w:val="00287AC2"/>
    <w:rsid w:val="00287BC5"/>
    <w:rsid w:val="00287EE9"/>
    <w:rsid w:val="00288237"/>
    <w:rsid w:val="00290010"/>
    <w:rsid w:val="00290257"/>
    <w:rsid w:val="002907F4"/>
    <w:rsid w:val="00290BAC"/>
    <w:rsid w:val="0029181B"/>
    <w:rsid w:val="002918BA"/>
    <w:rsid w:val="002918DD"/>
    <w:rsid w:val="00291E11"/>
    <w:rsid w:val="00291EB3"/>
    <w:rsid w:val="002928D4"/>
    <w:rsid w:val="002928FA"/>
    <w:rsid w:val="00292A92"/>
    <w:rsid w:val="00292E31"/>
    <w:rsid w:val="00293829"/>
    <w:rsid w:val="0029384A"/>
    <w:rsid w:val="00293896"/>
    <w:rsid w:val="0029395F"/>
    <w:rsid w:val="00293C0E"/>
    <w:rsid w:val="00293C95"/>
    <w:rsid w:val="00293DEE"/>
    <w:rsid w:val="002947A7"/>
    <w:rsid w:val="00294C0D"/>
    <w:rsid w:val="00294CE1"/>
    <w:rsid w:val="00295042"/>
    <w:rsid w:val="002953FB"/>
    <w:rsid w:val="00295482"/>
    <w:rsid w:val="002955E5"/>
    <w:rsid w:val="002956F9"/>
    <w:rsid w:val="00295D84"/>
    <w:rsid w:val="002960FD"/>
    <w:rsid w:val="0029615E"/>
    <w:rsid w:val="0029616B"/>
    <w:rsid w:val="002961B2"/>
    <w:rsid w:val="00296417"/>
    <w:rsid w:val="00296CD3"/>
    <w:rsid w:val="00296D31"/>
    <w:rsid w:val="00296EF6"/>
    <w:rsid w:val="00296F2A"/>
    <w:rsid w:val="00296F77"/>
    <w:rsid w:val="002974A8"/>
    <w:rsid w:val="002979B7"/>
    <w:rsid w:val="002A0B5D"/>
    <w:rsid w:val="002A12C7"/>
    <w:rsid w:val="002A1358"/>
    <w:rsid w:val="002A1384"/>
    <w:rsid w:val="002A1576"/>
    <w:rsid w:val="002A1692"/>
    <w:rsid w:val="002A208B"/>
    <w:rsid w:val="002A21A7"/>
    <w:rsid w:val="002A2D17"/>
    <w:rsid w:val="002A2F70"/>
    <w:rsid w:val="002A304A"/>
    <w:rsid w:val="002A34DB"/>
    <w:rsid w:val="002A3842"/>
    <w:rsid w:val="002A3DA9"/>
    <w:rsid w:val="002A461D"/>
    <w:rsid w:val="002A52F6"/>
    <w:rsid w:val="002A604B"/>
    <w:rsid w:val="002A61DC"/>
    <w:rsid w:val="002A64F6"/>
    <w:rsid w:val="002A6745"/>
    <w:rsid w:val="002A6A49"/>
    <w:rsid w:val="002A6B73"/>
    <w:rsid w:val="002A6FC0"/>
    <w:rsid w:val="002A72FB"/>
    <w:rsid w:val="002A7DDC"/>
    <w:rsid w:val="002AFE0C"/>
    <w:rsid w:val="002B090C"/>
    <w:rsid w:val="002B0B7F"/>
    <w:rsid w:val="002B0C8D"/>
    <w:rsid w:val="002B0DE9"/>
    <w:rsid w:val="002B200D"/>
    <w:rsid w:val="002B2273"/>
    <w:rsid w:val="002B23F7"/>
    <w:rsid w:val="002B245A"/>
    <w:rsid w:val="002B29CD"/>
    <w:rsid w:val="002B342B"/>
    <w:rsid w:val="002B3779"/>
    <w:rsid w:val="002B392F"/>
    <w:rsid w:val="002B4928"/>
    <w:rsid w:val="002B4CDB"/>
    <w:rsid w:val="002B4DCE"/>
    <w:rsid w:val="002B520C"/>
    <w:rsid w:val="002B5341"/>
    <w:rsid w:val="002B5483"/>
    <w:rsid w:val="002B5D99"/>
    <w:rsid w:val="002B5DEA"/>
    <w:rsid w:val="002B5F34"/>
    <w:rsid w:val="002B60E9"/>
    <w:rsid w:val="002B638B"/>
    <w:rsid w:val="002B648B"/>
    <w:rsid w:val="002B665B"/>
    <w:rsid w:val="002B6751"/>
    <w:rsid w:val="002B7787"/>
    <w:rsid w:val="002B7B63"/>
    <w:rsid w:val="002B7EF2"/>
    <w:rsid w:val="002C04D5"/>
    <w:rsid w:val="002C07F1"/>
    <w:rsid w:val="002C0DAA"/>
    <w:rsid w:val="002C104A"/>
    <w:rsid w:val="002C17B0"/>
    <w:rsid w:val="002C184F"/>
    <w:rsid w:val="002C1BB7"/>
    <w:rsid w:val="002C1CE0"/>
    <w:rsid w:val="002C1D13"/>
    <w:rsid w:val="002C273C"/>
    <w:rsid w:val="002C2892"/>
    <w:rsid w:val="002C3170"/>
    <w:rsid w:val="002C35CC"/>
    <w:rsid w:val="002C384F"/>
    <w:rsid w:val="002C3984"/>
    <w:rsid w:val="002C3E13"/>
    <w:rsid w:val="002C496B"/>
    <w:rsid w:val="002C4E6D"/>
    <w:rsid w:val="002C5206"/>
    <w:rsid w:val="002C5B05"/>
    <w:rsid w:val="002C682F"/>
    <w:rsid w:val="002C68EF"/>
    <w:rsid w:val="002C69ED"/>
    <w:rsid w:val="002C6B89"/>
    <w:rsid w:val="002C798A"/>
    <w:rsid w:val="002C7A79"/>
    <w:rsid w:val="002C7CA6"/>
    <w:rsid w:val="002C7FE9"/>
    <w:rsid w:val="002D0225"/>
    <w:rsid w:val="002D0365"/>
    <w:rsid w:val="002D0DC5"/>
    <w:rsid w:val="002D0E3C"/>
    <w:rsid w:val="002D0E4C"/>
    <w:rsid w:val="002D0E64"/>
    <w:rsid w:val="002D0FB4"/>
    <w:rsid w:val="002D1471"/>
    <w:rsid w:val="002D15B9"/>
    <w:rsid w:val="002D17F6"/>
    <w:rsid w:val="002D18B3"/>
    <w:rsid w:val="002D1AB1"/>
    <w:rsid w:val="002D1EEC"/>
    <w:rsid w:val="002D240D"/>
    <w:rsid w:val="002D2462"/>
    <w:rsid w:val="002D2575"/>
    <w:rsid w:val="002D2DC5"/>
    <w:rsid w:val="002D314A"/>
    <w:rsid w:val="002D32A3"/>
    <w:rsid w:val="002D3320"/>
    <w:rsid w:val="002D366D"/>
    <w:rsid w:val="002D3693"/>
    <w:rsid w:val="002D398F"/>
    <w:rsid w:val="002D3A6A"/>
    <w:rsid w:val="002D4402"/>
    <w:rsid w:val="002D47A7"/>
    <w:rsid w:val="002D4A06"/>
    <w:rsid w:val="002D4ADB"/>
    <w:rsid w:val="002D4D30"/>
    <w:rsid w:val="002D4E89"/>
    <w:rsid w:val="002D4EFD"/>
    <w:rsid w:val="002D4F17"/>
    <w:rsid w:val="002D55DD"/>
    <w:rsid w:val="002D5E13"/>
    <w:rsid w:val="002D5F2E"/>
    <w:rsid w:val="002D6874"/>
    <w:rsid w:val="002D6D6B"/>
    <w:rsid w:val="002D704D"/>
    <w:rsid w:val="002D7AD1"/>
    <w:rsid w:val="002D7F46"/>
    <w:rsid w:val="002E0D97"/>
    <w:rsid w:val="002E131D"/>
    <w:rsid w:val="002E1E5C"/>
    <w:rsid w:val="002E1F86"/>
    <w:rsid w:val="002E20F5"/>
    <w:rsid w:val="002E226D"/>
    <w:rsid w:val="002E258E"/>
    <w:rsid w:val="002E27A5"/>
    <w:rsid w:val="002E2ABC"/>
    <w:rsid w:val="002E2D41"/>
    <w:rsid w:val="002E3AFD"/>
    <w:rsid w:val="002E3D61"/>
    <w:rsid w:val="002E3EEB"/>
    <w:rsid w:val="002E43B2"/>
    <w:rsid w:val="002E4687"/>
    <w:rsid w:val="002E46DA"/>
    <w:rsid w:val="002E476E"/>
    <w:rsid w:val="002E4930"/>
    <w:rsid w:val="002E54AC"/>
    <w:rsid w:val="002E5631"/>
    <w:rsid w:val="002E565F"/>
    <w:rsid w:val="002E5DB0"/>
    <w:rsid w:val="002E5F65"/>
    <w:rsid w:val="002E5F76"/>
    <w:rsid w:val="002E6190"/>
    <w:rsid w:val="002E6433"/>
    <w:rsid w:val="002E6828"/>
    <w:rsid w:val="002E6C88"/>
    <w:rsid w:val="002E6E53"/>
    <w:rsid w:val="002E72BE"/>
    <w:rsid w:val="002E7490"/>
    <w:rsid w:val="002E77ED"/>
    <w:rsid w:val="002F0081"/>
    <w:rsid w:val="002F0653"/>
    <w:rsid w:val="002F07D2"/>
    <w:rsid w:val="002F09BA"/>
    <w:rsid w:val="002F09FC"/>
    <w:rsid w:val="002F0B29"/>
    <w:rsid w:val="002F0B8F"/>
    <w:rsid w:val="002F0E68"/>
    <w:rsid w:val="002F0FFD"/>
    <w:rsid w:val="002F13B9"/>
    <w:rsid w:val="002F1A06"/>
    <w:rsid w:val="002F1D75"/>
    <w:rsid w:val="002F22BA"/>
    <w:rsid w:val="002F246E"/>
    <w:rsid w:val="002F24D7"/>
    <w:rsid w:val="002F26C7"/>
    <w:rsid w:val="002F2D26"/>
    <w:rsid w:val="002F2D93"/>
    <w:rsid w:val="002F2EA1"/>
    <w:rsid w:val="002F31D3"/>
    <w:rsid w:val="002F356F"/>
    <w:rsid w:val="002F3FD9"/>
    <w:rsid w:val="002F4295"/>
    <w:rsid w:val="002F54A9"/>
    <w:rsid w:val="002F5760"/>
    <w:rsid w:val="002F5ACF"/>
    <w:rsid w:val="002F5EF6"/>
    <w:rsid w:val="002F5F2B"/>
    <w:rsid w:val="002F6283"/>
    <w:rsid w:val="002F6500"/>
    <w:rsid w:val="002F683F"/>
    <w:rsid w:val="002F7F5B"/>
    <w:rsid w:val="00300530"/>
    <w:rsid w:val="003010DB"/>
    <w:rsid w:val="00301E02"/>
    <w:rsid w:val="003027BB"/>
    <w:rsid w:val="0030280C"/>
    <w:rsid w:val="00302A86"/>
    <w:rsid w:val="00302B7A"/>
    <w:rsid w:val="00303097"/>
    <w:rsid w:val="003032C1"/>
    <w:rsid w:val="003039FD"/>
    <w:rsid w:val="00303EAC"/>
    <w:rsid w:val="00304172"/>
    <w:rsid w:val="003045CF"/>
    <w:rsid w:val="003046D5"/>
    <w:rsid w:val="003047A1"/>
    <w:rsid w:val="00304D39"/>
    <w:rsid w:val="003050C4"/>
    <w:rsid w:val="003050DD"/>
    <w:rsid w:val="003052AB"/>
    <w:rsid w:val="003057D9"/>
    <w:rsid w:val="00305B3A"/>
    <w:rsid w:val="00305D26"/>
    <w:rsid w:val="0030621A"/>
    <w:rsid w:val="00306A13"/>
    <w:rsid w:val="00306A67"/>
    <w:rsid w:val="00306C34"/>
    <w:rsid w:val="00307314"/>
    <w:rsid w:val="003076E9"/>
    <w:rsid w:val="00307F2B"/>
    <w:rsid w:val="0031043D"/>
    <w:rsid w:val="003105EE"/>
    <w:rsid w:val="003109EC"/>
    <w:rsid w:val="00310B16"/>
    <w:rsid w:val="00311060"/>
    <w:rsid w:val="0031162F"/>
    <w:rsid w:val="00311B65"/>
    <w:rsid w:val="0031201D"/>
    <w:rsid w:val="00312367"/>
    <w:rsid w:val="00312428"/>
    <w:rsid w:val="003127E0"/>
    <w:rsid w:val="00312920"/>
    <w:rsid w:val="00312E7B"/>
    <w:rsid w:val="003133AC"/>
    <w:rsid w:val="003134B1"/>
    <w:rsid w:val="00315023"/>
    <w:rsid w:val="003153A2"/>
    <w:rsid w:val="00315509"/>
    <w:rsid w:val="00316071"/>
    <w:rsid w:val="00316247"/>
    <w:rsid w:val="0031640D"/>
    <w:rsid w:val="003165FE"/>
    <w:rsid w:val="003170FF"/>
    <w:rsid w:val="0031719B"/>
    <w:rsid w:val="00317451"/>
    <w:rsid w:val="00317DFF"/>
    <w:rsid w:val="003200BF"/>
    <w:rsid w:val="00320233"/>
    <w:rsid w:val="00320AE2"/>
    <w:rsid w:val="00321040"/>
    <w:rsid w:val="00321526"/>
    <w:rsid w:val="003215C7"/>
    <w:rsid w:val="003219C5"/>
    <w:rsid w:val="00321C9E"/>
    <w:rsid w:val="00322006"/>
    <w:rsid w:val="00322094"/>
    <w:rsid w:val="003227D2"/>
    <w:rsid w:val="00322851"/>
    <w:rsid w:val="003228F2"/>
    <w:rsid w:val="00322DCE"/>
    <w:rsid w:val="00323124"/>
    <w:rsid w:val="0032312C"/>
    <w:rsid w:val="003231FE"/>
    <w:rsid w:val="003233CF"/>
    <w:rsid w:val="00323726"/>
    <w:rsid w:val="003237AF"/>
    <w:rsid w:val="00324160"/>
    <w:rsid w:val="00324A9B"/>
    <w:rsid w:val="00325354"/>
    <w:rsid w:val="0032593C"/>
    <w:rsid w:val="00325A78"/>
    <w:rsid w:val="00325D10"/>
    <w:rsid w:val="00326032"/>
    <w:rsid w:val="003262CE"/>
    <w:rsid w:val="003264EC"/>
    <w:rsid w:val="00326525"/>
    <w:rsid w:val="00326597"/>
    <w:rsid w:val="00326D19"/>
    <w:rsid w:val="0032722C"/>
    <w:rsid w:val="003272B3"/>
    <w:rsid w:val="00327618"/>
    <w:rsid w:val="00327969"/>
    <w:rsid w:val="003305E6"/>
    <w:rsid w:val="00330C41"/>
    <w:rsid w:val="003311BA"/>
    <w:rsid w:val="00331299"/>
    <w:rsid w:val="00331523"/>
    <w:rsid w:val="003328E8"/>
    <w:rsid w:val="00332F0A"/>
    <w:rsid w:val="00332F1A"/>
    <w:rsid w:val="003337BB"/>
    <w:rsid w:val="00333B98"/>
    <w:rsid w:val="00333DAA"/>
    <w:rsid w:val="003340B6"/>
    <w:rsid w:val="0033420F"/>
    <w:rsid w:val="0033499A"/>
    <w:rsid w:val="00334B3E"/>
    <w:rsid w:val="00334FD5"/>
    <w:rsid w:val="0033503C"/>
    <w:rsid w:val="00335585"/>
    <w:rsid w:val="00335613"/>
    <w:rsid w:val="003363D9"/>
    <w:rsid w:val="00336A21"/>
    <w:rsid w:val="00337078"/>
    <w:rsid w:val="003373F0"/>
    <w:rsid w:val="00337852"/>
    <w:rsid w:val="003401D2"/>
    <w:rsid w:val="0034024C"/>
    <w:rsid w:val="003415FE"/>
    <w:rsid w:val="00341902"/>
    <w:rsid w:val="00341B1E"/>
    <w:rsid w:val="00341CE2"/>
    <w:rsid w:val="00341E99"/>
    <w:rsid w:val="00342494"/>
    <w:rsid w:val="003426FF"/>
    <w:rsid w:val="00342ADE"/>
    <w:rsid w:val="003432AA"/>
    <w:rsid w:val="00343750"/>
    <w:rsid w:val="003437CD"/>
    <w:rsid w:val="00343969"/>
    <w:rsid w:val="00343CBE"/>
    <w:rsid w:val="00343D72"/>
    <w:rsid w:val="00343E5C"/>
    <w:rsid w:val="0034465D"/>
    <w:rsid w:val="003447A5"/>
    <w:rsid w:val="00344C9A"/>
    <w:rsid w:val="00344D88"/>
    <w:rsid w:val="0034521B"/>
    <w:rsid w:val="003457C4"/>
    <w:rsid w:val="00345A2E"/>
    <w:rsid w:val="00345A8D"/>
    <w:rsid w:val="00345F93"/>
    <w:rsid w:val="003465A2"/>
    <w:rsid w:val="003465FC"/>
    <w:rsid w:val="00346815"/>
    <w:rsid w:val="00346C1F"/>
    <w:rsid w:val="00347294"/>
    <w:rsid w:val="003474FB"/>
    <w:rsid w:val="00347711"/>
    <w:rsid w:val="00347869"/>
    <w:rsid w:val="00347AE1"/>
    <w:rsid w:val="00347C42"/>
    <w:rsid w:val="003501F9"/>
    <w:rsid w:val="00350298"/>
    <w:rsid w:val="0035050D"/>
    <w:rsid w:val="003507BD"/>
    <w:rsid w:val="003514B9"/>
    <w:rsid w:val="00351767"/>
    <w:rsid w:val="00351AA5"/>
    <w:rsid w:val="00351BE5"/>
    <w:rsid w:val="00351E9E"/>
    <w:rsid w:val="00351F6E"/>
    <w:rsid w:val="003522B7"/>
    <w:rsid w:val="003524BB"/>
    <w:rsid w:val="00352640"/>
    <w:rsid w:val="003530D4"/>
    <w:rsid w:val="0035354C"/>
    <w:rsid w:val="00353826"/>
    <w:rsid w:val="00353B14"/>
    <w:rsid w:val="00353D93"/>
    <w:rsid w:val="00353F59"/>
    <w:rsid w:val="00354707"/>
    <w:rsid w:val="00354B31"/>
    <w:rsid w:val="00354C39"/>
    <w:rsid w:val="003552CE"/>
    <w:rsid w:val="00355872"/>
    <w:rsid w:val="0035595C"/>
    <w:rsid w:val="00355DAA"/>
    <w:rsid w:val="00356050"/>
    <w:rsid w:val="00356080"/>
    <w:rsid w:val="003561B7"/>
    <w:rsid w:val="003562F0"/>
    <w:rsid w:val="00356E9D"/>
    <w:rsid w:val="00357000"/>
    <w:rsid w:val="00357C01"/>
    <w:rsid w:val="0036017B"/>
    <w:rsid w:val="00360850"/>
    <w:rsid w:val="003609EF"/>
    <w:rsid w:val="003613E8"/>
    <w:rsid w:val="00362533"/>
    <w:rsid w:val="00362755"/>
    <w:rsid w:val="0036279B"/>
    <w:rsid w:val="00362884"/>
    <w:rsid w:val="00362AB6"/>
    <w:rsid w:val="00362D7C"/>
    <w:rsid w:val="00363224"/>
    <w:rsid w:val="0036348B"/>
    <w:rsid w:val="003637D4"/>
    <w:rsid w:val="003639AE"/>
    <w:rsid w:val="00363D37"/>
    <w:rsid w:val="00363D98"/>
    <w:rsid w:val="00364204"/>
    <w:rsid w:val="00364228"/>
    <w:rsid w:val="0036425D"/>
    <w:rsid w:val="003642A7"/>
    <w:rsid w:val="00364467"/>
    <w:rsid w:val="00364898"/>
    <w:rsid w:val="00364906"/>
    <w:rsid w:val="00364B6A"/>
    <w:rsid w:val="00364CFD"/>
    <w:rsid w:val="00364DB3"/>
    <w:rsid w:val="00364EC5"/>
    <w:rsid w:val="00365023"/>
    <w:rsid w:val="00365167"/>
    <w:rsid w:val="0036579F"/>
    <w:rsid w:val="0036597F"/>
    <w:rsid w:val="00366087"/>
    <w:rsid w:val="00366116"/>
    <w:rsid w:val="003664DD"/>
    <w:rsid w:val="00366BEF"/>
    <w:rsid w:val="00366DDB"/>
    <w:rsid w:val="0036739C"/>
    <w:rsid w:val="003673D9"/>
    <w:rsid w:val="0036767F"/>
    <w:rsid w:val="00367E3F"/>
    <w:rsid w:val="00370213"/>
    <w:rsid w:val="0037159C"/>
    <w:rsid w:val="003717C6"/>
    <w:rsid w:val="00371A13"/>
    <w:rsid w:val="00371B1E"/>
    <w:rsid w:val="00372034"/>
    <w:rsid w:val="00372380"/>
    <w:rsid w:val="00372679"/>
    <w:rsid w:val="00372898"/>
    <w:rsid w:val="00372931"/>
    <w:rsid w:val="0037372C"/>
    <w:rsid w:val="00373B93"/>
    <w:rsid w:val="00373C56"/>
    <w:rsid w:val="00373DFE"/>
    <w:rsid w:val="003742EC"/>
    <w:rsid w:val="00374351"/>
    <w:rsid w:val="003745AD"/>
    <w:rsid w:val="00374E93"/>
    <w:rsid w:val="003756A6"/>
    <w:rsid w:val="00375DA4"/>
    <w:rsid w:val="003761AD"/>
    <w:rsid w:val="00376632"/>
    <w:rsid w:val="00376938"/>
    <w:rsid w:val="00376A5E"/>
    <w:rsid w:val="00376D0E"/>
    <w:rsid w:val="003772BF"/>
    <w:rsid w:val="0037775B"/>
    <w:rsid w:val="00377A23"/>
    <w:rsid w:val="00377C83"/>
    <w:rsid w:val="0038018A"/>
    <w:rsid w:val="003809E5"/>
    <w:rsid w:val="00380CD1"/>
    <w:rsid w:val="003810A3"/>
    <w:rsid w:val="003810D3"/>
    <w:rsid w:val="00381475"/>
    <w:rsid w:val="00381523"/>
    <w:rsid w:val="0038190B"/>
    <w:rsid w:val="00382384"/>
    <w:rsid w:val="0038266B"/>
    <w:rsid w:val="00382698"/>
    <w:rsid w:val="003827BF"/>
    <w:rsid w:val="00382A5B"/>
    <w:rsid w:val="00382BE5"/>
    <w:rsid w:val="00382CAE"/>
    <w:rsid w:val="00383189"/>
    <w:rsid w:val="0038329A"/>
    <w:rsid w:val="003832A5"/>
    <w:rsid w:val="003832BF"/>
    <w:rsid w:val="00383783"/>
    <w:rsid w:val="0038395A"/>
    <w:rsid w:val="003839F3"/>
    <w:rsid w:val="00384253"/>
    <w:rsid w:val="003848AA"/>
    <w:rsid w:val="00384B0D"/>
    <w:rsid w:val="00385321"/>
    <w:rsid w:val="00385489"/>
    <w:rsid w:val="003856BB"/>
    <w:rsid w:val="003859F0"/>
    <w:rsid w:val="00385BA1"/>
    <w:rsid w:val="0038681D"/>
    <w:rsid w:val="00386D13"/>
    <w:rsid w:val="00386E51"/>
    <w:rsid w:val="00387124"/>
    <w:rsid w:val="003872D4"/>
    <w:rsid w:val="0038736F"/>
    <w:rsid w:val="003876A9"/>
    <w:rsid w:val="00387D52"/>
    <w:rsid w:val="00387D80"/>
    <w:rsid w:val="00387ECA"/>
    <w:rsid w:val="00390180"/>
    <w:rsid w:val="003902FE"/>
    <w:rsid w:val="00390630"/>
    <w:rsid w:val="00390A0D"/>
    <w:rsid w:val="00390B71"/>
    <w:rsid w:val="00391E7E"/>
    <w:rsid w:val="0039225F"/>
    <w:rsid w:val="003922D6"/>
    <w:rsid w:val="0039242E"/>
    <w:rsid w:val="00392867"/>
    <w:rsid w:val="00392EC5"/>
    <w:rsid w:val="003930FD"/>
    <w:rsid w:val="00393740"/>
    <w:rsid w:val="00393A98"/>
    <w:rsid w:val="003941B4"/>
    <w:rsid w:val="0039448C"/>
    <w:rsid w:val="003947CD"/>
    <w:rsid w:val="00394C54"/>
    <w:rsid w:val="0039501E"/>
    <w:rsid w:val="0039598B"/>
    <w:rsid w:val="00395F52"/>
    <w:rsid w:val="003968DE"/>
    <w:rsid w:val="00396A6B"/>
    <w:rsid w:val="00396F0F"/>
    <w:rsid w:val="003970F1"/>
    <w:rsid w:val="00397216"/>
    <w:rsid w:val="0039785E"/>
    <w:rsid w:val="00397E14"/>
    <w:rsid w:val="00397E58"/>
    <w:rsid w:val="003A022A"/>
    <w:rsid w:val="003A036F"/>
    <w:rsid w:val="003A0FB9"/>
    <w:rsid w:val="003A11CB"/>
    <w:rsid w:val="003A11D8"/>
    <w:rsid w:val="003A18DD"/>
    <w:rsid w:val="003A1AB8"/>
    <w:rsid w:val="003A1D7E"/>
    <w:rsid w:val="003A2BA9"/>
    <w:rsid w:val="003A2C58"/>
    <w:rsid w:val="003A311C"/>
    <w:rsid w:val="003A3293"/>
    <w:rsid w:val="003A3360"/>
    <w:rsid w:val="003A38F0"/>
    <w:rsid w:val="003A3901"/>
    <w:rsid w:val="003A3AEF"/>
    <w:rsid w:val="003A3D37"/>
    <w:rsid w:val="003A3DEF"/>
    <w:rsid w:val="003A40EA"/>
    <w:rsid w:val="003A4ACB"/>
    <w:rsid w:val="003A57A0"/>
    <w:rsid w:val="003A57E9"/>
    <w:rsid w:val="003A5860"/>
    <w:rsid w:val="003A5AF7"/>
    <w:rsid w:val="003A606E"/>
    <w:rsid w:val="003A61D4"/>
    <w:rsid w:val="003A6336"/>
    <w:rsid w:val="003A6FAE"/>
    <w:rsid w:val="003A76FC"/>
    <w:rsid w:val="003A79DD"/>
    <w:rsid w:val="003A7A06"/>
    <w:rsid w:val="003B02FE"/>
    <w:rsid w:val="003B03B8"/>
    <w:rsid w:val="003B078B"/>
    <w:rsid w:val="003B1305"/>
    <w:rsid w:val="003B1463"/>
    <w:rsid w:val="003B148B"/>
    <w:rsid w:val="003B1871"/>
    <w:rsid w:val="003B235B"/>
    <w:rsid w:val="003B2B45"/>
    <w:rsid w:val="003B2E59"/>
    <w:rsid w:val="003B34AD"/>
    <w:rsid w:val="003B34CB"/>
    <w:rsid w:val="003B3990"/>
    <w:rsid w:val="003B4AD2"/>
    <w:rsid w:val="003B5021"/>
    <w:rsid w:val="003B56C5"/>
    <w:rsid w:val="003B69A5"/>
    <w:rsid w:val="003B6A7A"/>
    <w:rsid w:val="003B6E49"/>
    <w:rsid w:val="003B6F13"/>
    <w:rsid w:val="003B735C"/>
    <w:rsid w:val="003B7477"/>
    <w:rsid w:val="003B7546"/>
    <w:rsid w:val="003B7770"/>
    <w:rsid w:val="003B7915"/>
    <w:rsid w:val="003B7D9F"/>
    <w:rsid w:val="003B7E62"/>
    <w:rsid w:val="003C029D"/>
    <w:rsid w:val="003C0B7D"/>
    <w:rsid w:val="003C122F"/>
    <w:rsid w:val="003C179E"/>
    <w:rsid w:val="003C1A41"/>
    <w:rsid w:val="003C1A43"/>
    <w:rsid w:val="003C1CDB"/>
    <w:rsid w:val="003C1EC8"/>
    <w:rsid w:val="003C1FAA"/>
    <w:rsid w:val="003C2364"/>
    <w:rsid w:val="003C2603"/>
    <w:rsid w:val="003C26CD"/>
    <w:rsid w:val="003C2915"/>
    <w:rsid w:val="003C2EC0"/>
    <w:rsid w:val="003C38AE"/>
    <w:rsid w:val="003C3D52"/>
    <w:rsid w:val="003C3F06"/>
    <w:rsid w:val="003C3FED"/>
    <w:rsid w:val="003C46EC"/>
    <w:rsid w:val="003C4AC2"/>
    <w:rsid w:val="003C564F"/>
    <w:rsid w:val="003C5CD7"/>
    <w:rsid w:val="003C6AF7"/>
    <w:rsid w:val="003C6EAE"/>
    <w:rsid w:val="003C6F5E"/>
    <w:rsid w:val="003C703B"/>
    <w:rsid w:val="003C70D3"/>
    <w:rsid w:val="003C7904"/>
    <w:rsid w:val="003C7B33"/>
    <w:rsid w:val="003D126D"/>
    <w:rsid w:val="003D173C"/>
    <w:rsid w:val="003D1A80"/>
    <w:rsid w:val="003D1F1C"/>
    <w:rsid w:val="003D2271"/>
    <w:rsid w:val="003D2487"/>
    <w:rsid w:val="003D2614"/>
    <w:rsid w:val="003D2728"/>
    <w:rsid w:val="003D29AA"/>
    <w:rsid w:val="003D2A2A"/>
    <w:rsid w:val="003D2B6E"/>
    <w:rsid w:val="003D2B99"/>
    <w:rsid w:val="003D3094"/>
    <w:rsid w:val="003D32CC"/>
    <w:rsid w:val="003D33E8"/>
    <w:rsid w:val="003D35D0"/>
    <w:rsid w:val="003D4059"/>
    <w:rsid w:val="003D41B5"/>
    <w:rsid w:val="003D4406"/>
    <w:rsid w:val="003D443D"/>
    <w:rsid w:val="003D47FC"/>
    <w:rsid w:val="003D4AE5"/>
    <w:rsid w:val="003D4B3E"/>
    <w:rsid w:val="003D4B6A"/>
    <w:rsid w:val="003D4C2A"/>
    <w:rsid w:val="003D577F"/>
    <w:rsid w:val="003D5857"/>
    <w:rsid w:val="003D5B8D"/>
    <w:rsid w:val="003D69C1"/>
    <w:rsid w:val="003D6A92"/>
    <w:rsid w:val="003D71A8"/>
    <w:rsid w:val="003D77DB"/>
    <w:rsid w:val="003D79F1"/>
    <w:rsid w:val="003D7EEB"/>
    <w:rsid w:val="003DE9C9"/>
    <w:rsid w:val="003E01AD"/>
    <w:rsid w:val="003E06C5"/>
    <w:rsid w:val="003E0BBD"/>
    <w:rsid w:val="003E119D"/>
    <w:rsid w:val="003E1712"/>
    <w:rsid w:val="003E1767"/>
    <w:rsid w:val="003E177B"/>
    <w:rsid w:val="003E1982"/>
    <w:rsid w:val="003E1CD6"/>
    <w:rsid w:val="003E20B8"/>
    <w:rsid w:val="003E2296"/>
    <w:rsid w:val="003E26B9"/>
    <w:rsid w:val="003E2826"/>
    <w:rsid w:val="003E28A1"/>
    <w:rsid w:val="003E2950"/>
    <w:rsid w:val="003E2A76"/>
    <w:rsid w:val="003E2B90"/>
    <w:rsid w:val="003E2EC1"/>
    <w:rsid w:val="003E3D4F"/>
    <w:rsid w:val="003E41AB"/>
    <w:rsid w:val="003E4692"/>
    <w:rsid w:val="003E489B"/>
    <w:rsid w:val="003E4D4A"/>
    <w:rsid w:val="003E529E"/>
    <w:rsid w:val="003E52EA"/>
    <w:rsid w:val="003E5723"/>
    <w:rsid w:val="003E5973"/>
    <w:rsid w:val="003E63D3"/>
    <w:rsid w:val="003E654B"/>
    <w:rsid w:val="003E654D"/>
    <w:rsid w:val="003E6A97"/>
    <w:rsid w:val="003E6B02"/>
    <w:rsid w:val="003E719F"/>
    <w:rsid w:val="003E71D9"/>
    <w:rsid w:val="003E74F9"/>
    <w:rsid w:val="003E769C"/>
    <w:rsid w:val="003E7876"/>
    <w:rsid w:val="003E7ABE"/>
    <w:rsid w:val="003E7BFE"/>
    <w:rsid w:val="003E7C85"/>
    <w:rsid w:val="003E7D35"/>
    <w:rsid w:val="003F01C8"/>
    <w:rsid w:val="003F03CF"/>
    <w:rsid w:val="003F0621"/>
    <w:rsid w:val="003F069A"/>
    <w:rsid w:val="003F06CC"/>
    <w:rsid w:val="003F12AB"/>
    <w:rsid w:val="003F1733"/>
    <w:rsid w:val="003F1854"/>
    <w:rsid w:val="003F2627"/>
    <w:rsid w:val="003F2DBD"/>
    <w:rsid w:val="003F2DC4"/>
    <w:rsid w:val="003F31D8"/>
    <w:rsid w:val="003F35E0"/>
    <w:rsid w:val="003F3735"/>
    <w:rsid w:val="003F3B77"/>
    <w:rsid w:val="003F4329"/>
    <w:rsid w:val="003F4B8B"/>
    <w:rsid w:val="003F4EA4"/>
    <w:rsid w:val="003F4ED5"/>
    <w:rsid w:val="003F504D"/>
    <w:rsid w:val="003F5289"/>
    <w:rsid w:val="003F589B"/>
    <w:rsid w:val="003F5F7D"/>
    <w:rsid w:val="003F6179"/>
    <w:rsid w:val="003F6521"/>
    <w:rsid w:val="003F66ED"/>
    <w:rsid w:val="003F6BBF"/>
    <w:rsid w:val="003F6FE0"/>
    <w:rsid w:val="003F6FFF"/>
    <w:rsid w:val="003F716E"/>
    <w:rsid w:val="003F780B"/>
    <w:rsid w:val="003F7AE3"/>
    <w:rsid w:val="003F7AF7"/>
    <w:rsid w:val="0040026F"/>
    <w:rsid w:val="004008C3"/>
    <w:rsid w:val="00400A0E"/>
    <w:rsid w:val="00400B5F"/>
    <w:rsid w:val="00400C1C"/>
    <w:rsid w:val="00400E0A"/>
    <w:rsid w:val="0040137A"/>
    <w:rsid w:val="00401862"/>
    <w:rsid w:val="00401AF6"/>
    <w:rsid w:val="0040263C"/>
    <w:rsid w:val="0040264B"/>
    <w:rsid w:val="004026ED"/>
    <w:rsid w:val="00402818"/>
    <w:rsid w:val="004030CD"/>
    <w:rsid w:val="00403350"/>
    <w:rsid w:val="00403359"/>
    <w:rsid w:val="0040352B"/>
    <w:rsid w:val="004038E1"/>
    <w:rsid w:val="004041C3"/>
    <w:rsid w:val="00404854"/>
    <w:rsid w:val="00404B76"/>
    <w:rsid w:val="00404DF9"/>
    <w:rsid w:val="00404FC0"/>
    <w:rsid w:val="004051A4"/>
    <w:rsid w:val="004058D8"/>
    <w:rsid w:val="004061D7"/>
    <w:rsid w:val="0040635F"/>
    <w:rsid w:val="004069C3"/>
    <w:rsid w:val="00406A1D"/>
    <w:rsid w:val="00406A65"/>
    <w:rsid w:val="00406C33"/>
    <w:rsid w:val="00406C66"/>
    <w:rsid w:val="0040743D"/>
    <w:rsid w:val="00407554"/>
    <w:rsid w:val="00407663"/>
    <w:rsid w:val="004077F4"/>
    <w:rsid w:val="00407A4A"/>
    <w:rsid w:val="00410E94"/>
    <w:rsid w:val="004113A3"/>
    <w:rsid w:val="0041217A"/>
    <w:rsid w:val="00412374"/>
    <w:rsid w:val="004124D5"/>
    <w:rsid w:val="00412534"/>
    <w:rsid w:val="004126F3"/>
    <w:rsid w:val="00412700"/>
    <w:rsid w:val="00412876"/>
    <w:rsid w:val="004129D8"/>
    <w:rsid w:val="00412C83"/>
    <w:rsid w:val="0041302A"/>
    <w:rsid w:val="004131C4"/>
    <w:rsid w:val="00413303"/>
    <w:rsid w:val="004138AA"/>
    <w:rsid w:val="004138AB"/>
    <w:rsid w:val="00414095"/>
    <w:rsid w:val="00414599"/>
    <w:rsid w:val="0041469E"/>
    <w:rsid w:val="00414767"/>
    <w:rsid w:val="00414F82"/>
    <w:rsid w:val="00415588"/>
    <w:rsid w:val="00416152"/>
    <w:rsid w:val="004163B5"/>
    <w:rsid w:val="00417081"/>
    <w:rsid w:val="00417309"/>
    <w:rsid w:val="00417867"/>
    <w:rsid w:val="00417DB3"/>
    <w:rsid w:val="004201D3"/>
    <w:rsid w:val="00420946"/>
    <w:rsid w:val="00420D53"/>
    <w:rsid w:val="00421150"/>
    <w:rsid w:val="004215CC"/>
    <w:rsid w:val="00422373"/>
    <w:rsid w:val="00422468"/>
    <w:rsid w:val="004229CD"/>
    <w:rsid w:val="00423815"/>
    <w:rsid w:val="00424549"/>
    <w:rsid w:val="00424C65"/>
    <w:rsid w:val="00424DFA"/>
    <w:rsid w:val="00424F09"/>
    <w:rsid w:val="004250FD"/>
    <w:rsid w:val="00425A6D"/>
    <w:rsid w:val="00425A95"/>
    <w:rsid w:val="00425F1A"/>
    <w:rsid w:val="00425FD3"/>
    <w:rsid w:val="00426014"/>
    <w:rsid w:val="00426244"/>
    <w:rsid w:val="004267A4"/>
    <w:rsid w:val="0042691C"/>
    <w:rsid w:val="0042698A"/>
    <w:rsid w:val="00426E26"/>
    <w:rsid w:val="004270F8"/>
    <w:rsid w:val="00430571"/>
    <w:rsid w:val="0043067C"/>
    <w:rsid w:val="00430799"/>
    <w:rsid w:val="00430833"/>
    <w:rsid w:val="00430C7F"/>
    <w:rsid w:val="00430CF7"/>
    <w:rsid w:val="00430D2E"/>
    <w:rsid w:val="00430ECD"/>
    <w:rsid w:val="004317F4"/>
    <w:rsid w:val="00431C03"/>
    <w:rsid w:val="004327FC"/>
    <w:rsid w:val="00432A2A"/>
    <w:rsid w:val="00432CD9"/>
    <w:rsid w:val="00432F21"/>
    <w:rsid w:val="00432FA0"/>
    <w:rsid w:val="0043378E"/>
    <w:rsid w:val="00433DFB"/>
    <w:rsid w:val="00433F91"/>
    <w:rsid w:val="004345A4"/>
    <w:rsid w:val="004345E9"/>
    <w:rsid w:val="0043509C"/>
    <w:rsid w:val="004350FB"/>
    <w:rsid w:val="004355E8"/>
    <w:rsid w:val="0043577F"/>
    <w:rsid w:val="00435979"/>
    <w:rsid w:val="00435982"/>
    <w:rsid w:val="004360CD"/>
    <w:rsid w:val="00436448"/>
    <w:rsid w:val="00436867"/>
    <w:rsid w:val="00436B7F"/>
    <w:rsid w:val="00436DB7"/>
    <w:rsid w:val="00436EE1"/>
    <w:rsid w:val="00437E61"/>
    <w:rsid w:val="00440331"/>
    <w:rsid w:val="0044065F"/>
    <w:rsid w:val="0044112B"/>
    <w:rsid w:val="00441463"/>
    <w:rsid w:val="0044294D"/>
    <w:rsid w:val="00442C64"/>
    <w:rsid w:val="00442C7F"/>
    <w:rsid w:val="00443FAA"/>
    <w:rsid w:val="00443FC4"/>
    <w:rsid w:val="00443FD4"/>
    <w:rsid w:val="00444124"/>
    <w:rsid w:val="00444879"/>
    <w:rsid w:val="00444A7E"/>
    <w:rsid w:val="00444CC8"/>
    <w:rsid w:val="00445162"/>
    <w:rsid w:val="004452C7"/>
    <w:rsid w:val="00445BC8"/>
    <w:rsid w:val="00445CEC"/>
    <w:rsid w:val="004462F3"/>
    <w:rsid w:val="00446A71"/>
    <w:rsid w:val="00447018"/>
    <w:rsid w:val="00447405"/>
    <w:rsid w:val="00447EB0"/>
    <w:rsid w:val="004500B0"/>
    <w:rsid w:val="004502D5"/>
    <w:rsid w:val="0045070B"/>
    <w:rsid w:val="00450932"/>
    <w:rsid w:val="00450A86"/>
    <w:rsid w:val="00450C42"/>
    <w:rsid w:val="00450C4D"/>
    <w:rsid w:val="00451DB5"/>
    <w:rsid w:val="00452109"/>
    <w:rsid w:val="00452258"/>
    <w:rsid w:val="004526EA"/>
    <w:rsid w:val="0045272D"/>
    <w:rsid w:val="00452903"/>
    <w:rsid w:val="00452A5B"/>
    <w:rsid w:val="00452D4C"/>
    <w:rsid w:val="00452F9D"/>
    <w:rsid w:val="00453632"/>
    <w:rsid w:val="0045397F"/>
    <w:rsid w:val="004539EF"/>
    <w:rsid w:val="0045434E"/>
    <w:rsid w:val="00454370"/>
    <w:rsid w:val="0045455E"/>
    <w:rsid w:val="004551B3"/>
    <w:rsid w:val="004553E7"/>
    <w:rsid w:val="00455BC3"/>
    <w:rsid w:val="00456096"/>
    <w:rsid w:val="00456235"/>
    <w:rsid w:val="004562E7"/>
    <w:rsid w:val="00456628"/>
    <w:rsid w:val="004569EE"/>
    <w:rsid w:val="00457113"/>
    <w:rsid w:val="00457879"/>
    <w:rsid w:val="004578C4"/>
    <w:rsid w:val="00457A46"/>
    <w:rsid w:val="00457D9E"/>
    <w:rsid w:val="004602C8"/>
    <w:rsid w:val="004605D2"/>
    <w:rsid w:val="00460B7D"/>
    <w:rsid w:val="00460FF1"/>
    <w:rsid w:val="004616AF"/>
    <w:rsid w:val="004619CA"/>
    <w:rsid w:val="00462121"/>
    <w:rsid w:val="0046270D"/>
    <w:rsid w:val="0046299D"/>
    <w:rsid w:val="004632D6"/>
    <w:rsid w:val="004636F7"/>
    <w:rsid w:val="00463922"/>
    <w:rsid w:val="00463D16"/>
    <w:rsid w:val="00463D29"/>
    <w:rsid w:val="00464510"/>
    <w:rsid w:val="004645DA"/>
    <w:rsid w:val="00465067"/>
    <w:rsid w:val="004652CC"/>
    <w:rsid w:val="0046566B"/>
    <w:rsid w:val="0046590A"/>
    <w:rsid w:val="004661DD"/>
    <w:rsid w:val="0046631E"/>
    <w:rsid w:val="00466402"/>
    <w:rsid w:val="0046647D"/>
    <w:rsid w:val="0046655D"/>
    <w:rsid w:val="00466AE9"/>
    <w:rsid w:val="00466C65"/>
    <w:rsid w:val="00466DF8"/>
    <w:rsid w:val="00466E32"/>
    <w:rsid w:val="004672CE"/>
    <w:rsid w:val="0047010C"/>
    <w:rsid w:val="004705F2"/>
    <w:rsid w:val="00470A5D"/>
    <w:rsid w:val="00470A83"/>
    <w:rsid w:val="00470C7A"/>
    <w:rsid w:val="004717CE"/>
    <w:rsid w:val="004721B9"/>
    <w:rsid w:val="0047248C"/>
    <w:rsid w:val="00472716"/>
    <w:rsid w:val="00472730"/>
    <w:rsid w:val="00472BC1"/>
    <w:rsid w:val="00472D4F"/>
    <w:rsid w:val="00472DBD"/>
    <w:rsid w:val="00472FB1"/>
    <w:rsid w:val="0047303C"/>
    <w:rsid w:val="004733EE"/>
    <w:rsid w:val="004734DA"/>
    <w:rsid w:val="0047392C"/>
    <w:rsid w:val="00473A47"/>
    <w:rsid w:val="00473C9F"/>
    <w:rsid w:val="00473ECC"/>
    <w:rsid w:val="00473F8A"/>
    <w:rsid w:val="00474561"/>
    <w:rsid w:val="00474912"/>
    <w:rsid w:val="00474AB8"/>
    <w:rsid w:val="00474CA0"/>
    <w:rsid w:val="00475076"/>
    <w:rsid w:val="004756C4"/>
    <w:rsid w:val="004757A6"/>
    <w:rsid w:val="004762D4"/>
    <w:rsid w:val="00476C08"/>
    <w:rsid w:val="00476CFE"/>
    <w:rsid w:val="00476D19"/>
    <w:rsid w:val="00476ED1"/>
    <w:rsid w:val="004771D5"/>
    <w:rsid w:val="004773E1"/>
    <w:rsid w:val="004806FB"/>
    <w:rsid w:val="00480969"/>
    <w:rsid w:val="00480CB0"/>
    <w:rsid w:val="00480EC4"/>
    <w:rsid w:val="00481550"/>
    <w:rsid w:val="00481564"/>
    <w:rsid w:val="00481568"/>
    <w:rsid w:val="004818C2"/>
    <w:rsid w:val="00481ADA"/>
    <w:rsid w:val="00481EA3"/>
    <w:rsid w:val="004822DD"/>
    <w:rsid w:val="00482355"/>
    <w:rsid w:val="004827E7"/>
    <w:rsid w:val="00482805"/>
    <w:rsid w:val="00482FA2"/>
    <w:rsid w:val="00483602"/>
    <w:rsid w:val="0048448C"/>
    <w:rsid w:val="00484575"/>
    <w:rsid w:val="004848EB"/>
    <w:rsid w:val="00484ACA"/>
    <w:rsid w:val="00484B12"/>
    <w:rsid w:val="00484FD5"/>
    <w:rsid w:val="00485266"/>
    <w:rsid w:val="004853BC"/>
    <w:rsid w:val="00485483"/>
    <w:rsid w:val="0048594A"/>
    <w:rsid w:val="00486930"/>
    <w:rsid w:val="00486D78"/>
    <w:rsid w:val="00487369"/>
    <w:rsid w:val="004874E4"/>
    <w:rsid w:val="004878DF"/>
    <w:rsid w:val="00487B70"/>
    <w:rsid w:val="0049007D"/>
    <w:rsid w:val="004901AF"/>
    <w:rsid w:val="004902F6"/>
    <w:rsid w:val="00490B7C"/>
    <w:rsid w:val="00490CCB"/>
    <w:rsid w:val="00491B27"/>
    <w:rsid w:val="00491E70"/>
    <w:rsid w:val="00491EA9"/>
    <w:rsid w:val="0049201F"/>
    <w:rsid w:val="00492104"/>
    <w:rsid w:val="0049264A"/>
    <w:rsid w:val="004926DE"/>
    <w:rsid w:val="00492D40"/>
    <w:rsid w:val="00492EE6"/>
    <w:rsid w:val="004938CB"/>
    <w:rsid w:val="004939EC"/>
    <w:rsid w:val="00493BC1"/>
    <w:rsid w:val="004946DE"/>
    <w:rsid w:val="004947BB"/>
    <w:rsid w:val="00494B39"/>
    <w:rsid w:val="00494B4E"/>
    <w:rsid w:val="00495B03"/>
    <w:rsid w:val="00496297"/>
    <w:rsid w:val="00496B5C"/>
    <w:rsid w:val="00497249"/>
    <w:rsid w:val="0049734A"/>
    <w:rsid w:val="004976A7"/>
    <w:rsid w:val="00497946"/>
    <w:rsid w:val="00497A30"/>
    <w:rsid w:val="00497C08"/>
    <w:rsid w:val="004A00E8"/>
    <w:rsid w:val="004A0AB3"/>
    <w:rsid w:val="004A0C68"/>
    <w:rsid w:val="004A1750"/>
    <w:rsid w:val="004A1813"/>
    <w:rsid w:val="004A1A63"/>
    <w:rsid w:val="004A2194"/>
    <w:rsid w:val="004A3581"/>
    <w:rsid w:val="004A382D"/>
    <w:rsid w:val="004A3BC0"/>
    <w:rsid w:val="004A3FF1"/>
    <w:rsid w:val="004A401B"/>
    <w:rsid w:val="004A42EC"/>
    <w:rsid w:val="004A46BB"/>
    <w:rsid w:val="004A559A"/>
    <w:rsid w:val="004A565D"/>
    <w:rsid w:val="004A66E5"/>
    <w:rsid w:val="004A693D"/>
    <w:rsid w:val="004A70DE"/>
    <w:rsid w:val="004A7266"/>
    <w:rsid w:val="004A7A22"/>
    <w:rsid w:val="004A7DAA"/>
    <w:rsid w:val="004B0037"/>
    <w:rsid w:val="004B0095"/>
    <w:rsid w:val="004B0248"/>
    <w:rsid w:val="004B046E"/>
    <w:rsid w:val="004B06EB"/>
    <w:rsid w:val="004B1150"/>
    <w:rsid w:val="004B11B6"/>
    <w:rsid w:val="004B1703"/>
    <w:rsid w:val="004B1A39"/>
    <w:rsid w:val="004B1D63"/>
    <w:rsid w:val="004B23AC"/>
    <w:rsid w:val="004B268B"/>
    <w:rsid w:val="004B34EA"/>
    <w:rsid w:val="004B376E"/>
    <w:rsid w:val="004B3823"/>
    <w:rsid w:val="004B3C97"/>
    <w:rsid w:val="004B45ED"/>
    <w:rsid w:val="004B4996"/>
    <w:rsid w:val="004B5494"/>
    <w:rsid w:val="004B5698"/>
    <w:rsid w:val="004B57E0"/>
    <w:rsid w:val="004B5EC4"/>
    <w:rsid w:val="004B5EC6"/>
    <w:rsid w:val="004B7752"/>
    <w:rsid w:val="004B78B9"/>
    <w:rsid w:val="004B7B12"/>
    <w:rsid w:val="004C026C"/>
    <w:rsid w:val="004C0718"/>
    <w:rsid w:val="004C11DC"/>
    <w:rsid w:val="004C256A"/>
    <w:rsid w:val="004C26F4"/>
    <w:rsid w:val="004C27CA"/>
    <w:rsid w:val="004C2A26"/>
    <w:rsid w:val="004C2B40"/>
    <w:rsid w:val="004C2FE8"/>
    <w:rsid w:val="004C349D"/>
    <w:rsid w:val="004C4148"/>
    <w:rsid w:val="004C4471"/>
    <w:rsid w:val="004C45FE"/>
    <w:rsid w:val="004C4630"/>
    <w:rsid w:val="004C4CD6"/>
    <w:rsid w:val="004C515A"/>
    <w:rsid w:val="004C521D"/>
    <w:rsid w:val="004C540F"/>
    <w:rsid w:val="004C64A5"/>
    <w:rsid w:val="004C65C7"/>
    <w:rsid w:val="004C6847"/>
    <w:rsid w:val="004C6C73"/>
    <w:rsid w:val="004C73FE"/>
    <w:rsid w:val="004C74B7"/>
    <w:rsid w:val="004C7610"/>
    <w:rsid w:val="004C7834"/>
    <w:rsid w:val="004C7A2B"/>
    <w:rsid w:val="004C7B49"/>
    <w:rsid w:val="004C7B5E"/>
    <w:rsid w:val="004C7D3A"/>
    <w:rsid w:val="004D0D07"/>
    <w:rsid w:val="004D0F18"/>
    <w:rsid w:val="004D1050"/>
    <w:rsid w:val="004D1085"/>
    <w:rsid w:val="004D111A"/>
    <w:rsid w:val="004D11A1"/>
    <w:rsid w:val="004D1497"/>
    <w:rsid w:val="004D1C42"/>
    <w:rsid w:val="004D1C8E"/>
    <w:rsid w:val="004D1EF3"/>
    <w:rsid w:val="004D2343"/>
    <w:rsid w:val="004D2363"/>
    <w:rsid w:val="004D47EF"/>
    <w:rsid w:val="004D4A80"/>
    <w:rsid w:val="004D4E0F"/>
    <w:rsid w:val="004D4FF4"/>
    <w:rsid w:val="004D57A8"/>
    <w:rsid w:val="004D61C8"/>
    <w:rsid w:val="004D6ECA"/>
    <w:rsid w:val="004D6F6F"/>
    <w:rsid w:val="004D722A"/>
    <w:rsid w:val="004D752E"/>
    <w:rsid w:val="004D75AB"/>
    <w:rsid w:val="004D7D09"/>
    <w:rsid w:val="004D7EB0"/>
    <w:rsid w:val="004E007A"/>
    <w:rsid w:val="004E0C24"/>
    <w:rsid w:val="004E2077"/>
    <w:rsid w:val="004E2487"/>
    <w:rsid w:val="004E2BF5"/>
    <w:rsid w:val="004E2CAB"/>
    <w:rsid w:val="004E2D24"/>
    <w:rsid w:val="004E2EBE"/>
    <w:rsid w:val="004E3A30"/>
    <w:rsid w:val="004E3BB5"/>
    <w:rsid w:val="004E3BCA"/>
    <w:rsid w:val="004E3C63"/>
    <w:rsid w:val="004E3EB3"/>
    <w:rsid w:val="004E46BE"/>
    <w:rsid w:val="004E4724"/>
    <w:rsid w:val="004E5173"/>
    <w:rsid w:val="004E521D"/>
    <w:rsid w:val="004E5574"/>
    <w:rsid w:val="004E5B0A"/>
    <w:rsid w:val="004E5CDF"/>
    <w:rsid w:val="004E5E1C"/>
    <w:rsid w:val="004E5FC9"/>
    <w:rsid w:val="004E60AE"/>
    <w:rsid w:val="004E6149"/>
    <w:rsid w:val="004E6D1F"/>
    <w:rsid w:val="004E6DC3"/>
    <w:rsid w:val="004E7202"/>
    <w:rsid w:val="004E72F8"/>
    <w:rsid w:val="004E7B51"/>
    <w:rsid w:val="004E7E23"/>
    <w:rsid w:val="004F074F"/>
    <w:rsid w:val="004F0A9D"/>
    <w:rsid w:val="004F0BC4"/>
    <w:rsid w:val="004F0D79"/>
    <w:rsid w:val="004F130F"/>
    <w:rsid w:val="004F1964"/>
    <w:rsid w:val="004F1E16"/>
    <w:rsid w:val="004F2632"/>
    <w:rsid w:val="004F271D"/>
    <w:rsid w:val="004F2765"/>
    <w:rsid w:val="004F29F9"/>
    <w:rsid w:val="004F2A63"/>
    <w:rsid w:val="004F30ED"/>
    <w:rsid w:val="004F355C"/>
    <w:rsid w:val="004F4150"/>
    <w:rsid w:val="004F42F1"/>
    <w:rsid w:val="004F4A25"/>
    <w:rsid w:val="004F4A2C"/>
    <w:rsid w:val="004F4A56"/>
    <w:rsid w:val="004F4AAE"/>
    <w:rsid w:val="004F50FC"/>
    <w:rsid w:val="004F510C"/>
    <w:rsid w:val="004F564C"/>
    <w:rsid w:val="004F5AF0"/>
    <w:rsid w:val="004F5B44"/>
    <w:rsid w:val="004F5BA3"/>
    <w:rsid w:val="004F5D07"/>
    <w:rsid w:val="004F67C4"/>
    <w:rsid w:val="004F6C6C"/>
    <w:rsid w:val="004F6C9D"/>
    <w:rsid w:val="004F71CF"/>
    <w:rsid w:val="004F748C"/>
    <w:rsid w:val="004F7529"/>
    <w:rsid w:val="004F75F0"/>
    <w:rsid w:val="004F76B5"/>
    <w:rsid w:val="004F7ADF"/>
    <w:rsid w:val="004F7E4F"/>
    <w:rsid w:val="00500370"/>
    <w:rsid w:val="0050082B"/>
    <w:rsid w:val="005017CA"/>
    <w:rsid w:val="005018A8"/>
    <w:rsid w:val="005018BB"/>
    <w:rsid w:val="00501991"/>
    <w:rsid w:val="00501B99"/>
    <w:rsid w:val="00502116"/>
    <w:rsid w:val="005022DC"/>
    <w:rsid w:val="0050278E"/>
    <w:rsid w:val="005029AB"/>
    <w:rsid w:val="00502D22"/>
    <w:rsid w:val="005032C2"/>
    <w:rsid w:val="00503323"/>
    <w:rsid w:val="00503938"/>
    <w:rsid w:val="00503D3E"/>
    <w:rsid w:val="00503D56"/>
    <w:rsid w:val="00503E5D"/>
    <w:rsid w:val="00503EF6"/>
    <w:rsid w:val="00503F3E"/>
    <w:rsid w:val="00504177"/>
    <w:rsid w:val="0050435D"/>
    <w:rsid w:val="0050441E"/>
    <w:rsid w:val="00504850"/>
    <w:rsid w:val="00504A13"/>
    <w:rsid w:val="00504E94"/>
    <w:rsid w:val="00504FF7"/>
    <w:rsid w:val="00505485"/>
    <w:rsid w:val="005059CA"/>
    <w:rsid w:val="00505A39"/>
    <w:rsid w:val="00506377"/>
    <w:rsid w:val="005064D4"/>
    <w:rsid w:val="00506724"/>
    <w:rsid w:val="0050687D"/>
    <w:rsid w:val="00507477"/>
    <w:rsid w:val="00507A3A"/>
    <w:rsid w:val="00507C36"/>
    <w:rsid w:val="00510366"/>
    <w:rsid w:val="00510441"/>
    <w:rsid w:val="00510946"/>
    <w:rsid w:val="0051099E"/>
    <w:rsid w:val="005109CD"/>
    <w:rsid w:val="005110E8"/>
    <w:rsid w:val="00511190"/>
    <w:rsid w:val="00511588"/>
    <w:rsid w:val="00511AFF"/>
    <w:rsid w:val="005120D7"/>
    <w:rsid w:val="00512190"/>
    <w:rsid w:val="0051282B"/>
    <w:rsid w:val="00513058"/>
    <w:rsid w:val="005132FD"/>
    <w:rsid w:val="005135FD"/>
    <w:rsid w:val="005140C4"/>
    <w:rsid w:val="00514214"/>
    <w:rsid w:val="00514490"/>
    <w:rsid w:val="0051533E"/>
    <w:rsid w:val="00515754"/>
    <w:rsid w:val="00516016"/>
    <w:rsid w:val="005161B3"/>
    <w:rsid w:val="005165C4"/>
    <w:rsid w:val="00516997"/>
    <w:rsid w:val="00516DB3"/>
    <w:rsid w:val="00516E11"/>
    <w:rsid w:val="00516F13"/>
    <w:rsid w:val="0051733E"/>
    <w:rsid w:val="005173AF"/>
    <w:rsid w:val="00517422"/>
    <w:rsid w:val="005179B6"/>
    <w:rsid w:val="00520413"/>
    <w:rsid w:val="00520E4E"/>
    <w:rsid w:val="00521181"/>
    <w:rsid w:val="005216B3"/>
    <w:rsid w:val="005226CC"/>
    <w:rsid w:val="00522884"/>
    <w:rsid w:val="0052311A"/>
    <w:rsid w:val="005231FE"/>
    <w:rsid w:val="00523255"/>
    <w:rsid w:val="0052370A"/>
    <w:rsid w:val="00523A04"/>
    <w:rsid w:val="00523B0D"/>
    <w:rsid w:val="00523D19"/>
    <w:rsid w:val="00523F38"/>
    <w:rsid w:val="00523F5E"/>
    <w:rsid w:val="005240BF"/>
    <w:rsid w:val="0052445F"/>
    <w:rsid w:val="005247E8"/>
    <w:rsid w:val="0052489F"/>
    <w:rsid w:val="00524A35"/>
    <w:rsid w:val="00524E28"/>
    <w:rsid w:val="005259CC"/>
    <w:rsid w:val="00525B08"/>
    <w:rsid w:val="00525CBA"/>
    <w:rsid w:val="00526032"/>
    <w:rsid w:val="00526ECE"/>
    <w:rsid w:val="005272EF"/>
    <w:rsid w:val="0052B4E4"/>
    <w:rsid w:val="005303D3"/>
    <w:rsid w:val="00530470"/>
    <w:rsid w:val="00530967"/>
    <w:rsid w:val="00530C07"/>
    <w:rsid w:val="00530DCA"/>
    <w:rsid w:val="00530E3C"/>
    <w:rsid w:val="0053145F"/>
    <w:rsid w:val="00531731"/>
    <w:rsid w:val="00531ED4"/>
    <w:rsid w:val="00531F48"/>
    <w:rsid w:val="0053243D"/>
    <w:rsid w:val="005324E2"/>
    <w:rsid w:val="00532C4B"/>
    <w:rsid w:val="0053331E"/>
    <w:rsid w:val="005337C1"/>
    <w:rsid w:val="00533AA1"/>
    <w:rsid w:val="00533DB2"/>
    <w:rsid w:val="0053435A"/>
    <w:rsid w:val="0053487A"/>
    <w:rsid w:val="00534945"/>
    <w:rsid w:val="00534B44"/>
    <w:rsid w:val="00534B5A"/>
    <w:rsid w:val="00534C96"/>
    <w:rsid w:val="005358E6"/>
    <w:rsid w:val="0053596C"/>
    <w:rsid w:val="005359F6"/>
    <w:rsid w:val="00535BAF"/>
    <w:rsid w:val="00535CFF"/>
    <w:rsid w:val="00537CAB"/>
    <w:rsid w:val="005406A6"/>
    <w:rsid w:val="005412E1"/>
    <w:rsid w:val="005413DF"/>
    <w:rsid w:val="00541B07"/>
    <w:rsid w:val="00541B8F"/>
    <w:rsid w:val="00541D0A"/>
    <w:rsid w:val="00541D0F"/>
    <w:rsid w:val="00542339"/>
    <w:rsid w:val="00542551"/>
    <w:rsid w:val="00542856"/>
    <w:rsid w:val="0054292A"/>
    <w:rsid w:val="00542D82"/>
    <w:rsid w:val="00543146"/>
    <w:rsid w:val="00543636"/>
    <w:rsid w:val="00544083"/>
    <w:rsid w:val="00544D72"/>
    <w:rsid w:val="00544EE7"/>
    <w:rsid w:val="00544F33"/>
    <w:rsid w:val="00545BA5"/>
    <w:rsid w:val="00545D73"/>
    <w:rsid w:val="00545F07"/>
    <w:rsid w:val="0054627E"/>
    <w:rsid w:val="00546688"/>
    <w:rsid w:val="00546C27"/>
    <w:rsid w:val="0054749C"/>
    <w:rsid w:val="005474C1"/>
    <w:rsid w:val="00547AB2"/>
    <w:rsid w:val="00547F3C"/>
    <w:rsid w:val="00547F51"/>
    <w:rsid w:val="00550384"/>
    <w:rsid w:val="00550989"/>
    <w:rsid w:val="00550B6C"/>
    <w:rsid w:val="00550F9E"/>
    <w:rsid w:val="0055147B"/>
    <w:rsid w:val="00551C49"/>
    <w:rsid w:val="00551CE4"/>
    <w:rsid w:val="00551D19"/>
    <w:rsid w:val="0055296A"/>
    <w:rsid w:val="00552BEC"/>
    <w:rsid w:val="00552FED"/>
    <w:rsid w:val="00553182"/>
    <w:rsid w:val="00553396"/>
    <w:rsid w:val="00553623"/>
    <w:rsid w:val="00553F15"/>
    <w:rsid w:val="005544E8"/>
    <w:rsid w:val="005546BF"/>
    <w:rsid w:val="00554EA1"/>
    <w:rsid w:val="00554EF0"/>
    <w:rsid w:val="00555026"/>
    <w:rsid w:val="005554CA"/>
    <w:rsid w:val="00555CE2"/>
    <w:rsid w:val="00555D69"/>
    <w:rsid w:val="00555F2D"/>
    <w:rsid w:val="00555FDD"/>
    <w:rsid w:val="0055643D"/>
    <w:rsid w:val="0055697F"/>
    <w:rsid w:val="00556B1B"/>
    <w:rsid w:val="00556B4C"/>
    <w:rsid w:val="00556B63"/>
    <w:rsid w:val="00557551"/>
    <w:rsid w:val="005578B4"/>
    <w:rsid w:val="00557DE8"/>
    <w:rsid w:val="00557F1F"/>
    <w:rsid w:val="0056053B"/>
    <w:rsid w:val="005607D0"/>
    <w:rsid w:val="00560BCB"/>
    <w:rsid w:val="0056140C"/>
    <w:rsid w:val="00561E6C"/>
    <w:rsid w:val="00561EE6"/>
    <w:rsid w:val="00561F99"/>
    <w:rsid w:val="005624BD"/>
    <w:rsid w:val="0056282D"/>
    <w:rsid w:val="00562904"/>
    <w:rsid w:val="00562C51"/>
    <w:rsid w:val="005631CB"/>
    <w:rsid w:val="00563E16"/>
    <w:rsid w:val="00564728"/>
    <w:rsid w:val="0056472C"/>
    <w:rsid w:val="00564AE5"/>
    <w:rsid w:val="00564B75"/>
    <w:rsid w:val="00564EDE"/>
    <w:rsid w:val="00565247"/>
    <w:rsid w:val="00565504"/>
    <w:rsid w:val="0056585C"/>
    <w:rsid w:val="00565AF7"/>
    <w:rsid w:val="005666C6"/>
    <w:rsid w:val="005668D3"/>
    <w:rsid w:val="005669ED"/>
    <w:rsid w:val="00566B1B"/>
    <w:rsid w:val="00567586"/>
    <w:rsid w:val="00567BDF"/>
    <w:rsid w:val="00567E25"/>
    <w:rsid w:val="005700D2"/>
    <w:rsid w:val="00570214"/>
    <w:rsid w:val="00570499"/>
    <w:rsid w:val="005704E4"/>
    <w:rsid w:val="005705D8"/>
    <w:rsid w:val="005708DE"/>
    <w:rsid w:val="00570914"/>
    <w:rsid w:val="005709CB"/>
    <w:rsid w:val="00570B58"/>
    <w:rsid w:val="00570D50"/>
    <w:rsid w:val="00570EFD"/>
    <w:rsid w:val="00570F48"/>
    <w:rsid w:val="0057126C"/>
    <w:rsid w:val="0057196E"/>
    <w:rsid w:val="00571D7B"/>
    <w:rsid w:val="00571DE4"/>
    <w:rsid w:val="0057270C"/>
    <w:rsid w:val="00572755"/>
    <w:rsid w:val="00572820"/>
    <w:rsid w:val="00572CCB"/>
    <w:rsid w:val="00572E2C"/>
    <w:rsid w:val="00573139"/>
    <w:rsid w:val="005741FD"/>
    <w:rsid w:val="00574470"/>
    <w:rsid w:val="00574F76"/>
    <w:rsid w:val="00575C3C"/>
    <w:rsid w:val="00575CDB"/>
    <w:rsid w:val="00575FDA"/>
    <w:rsid w:val="005762C3"/>
    <w:rsid w:val="0057646A"/>
    <w:rsid w:val="00576579"/>
    <w:rsid w:val="0057666C"/>
    <w:rsid w:val="00576929"/>
    <w:rsid w:val="005769A4"/>
    <w:rsid w:val="00576F3F"/>
    <w:rsid w:val="005776D4"/>
    <w:rsid w:val="00577831"/>
    <w:rsid w:val="005779CB"/>
    <w:rsid w:val="00577EEB"/>
    <w:rsid w:val="0058017E"/>
    <w:rsid w:val="005807BE"/>
    <w:rsid w:val="005807DB"/>
    <w:rsid w:val="0058084A"/>
    <w:rsid w:val="00580A50"/>
    <w:rsid w:val="0058121B"/>
    <w:rsid w:val="005818E4"/>
    <w:rsid w:val="00582837"/>
    <w:rsid w:val="00582C54"/>
    <w:rsid w:val="00582D5C"/>
    <w:rsid w:val="00583331"/>
    <w:rsid w:val="0058355A"/>
    <w:rsid w:val="0058391E"/>
    <w:rsid w:val="00583F0B"/>
    <w:rsid w:val="00583F79"/>
    <w:rsid w:val="005840F4"/>
    <w:rsid w:val="00584436"/>
    <w:rsid w:val="00584CAD"/>
    <w:rsid w:val="00584CE9"/>
    <w:rsid w:val="00584F20"/>
    <w:rsid w:val="00584F7C"/>
    <w:rsid w:val="005850C0"/>
    <w:rsid w:val="00585188"/>
    <w:rsid w:val="00585201"/>
    <w:rsid w:val="00585390"/>
    <w:rsid w:val="005860EE"/>
    <w:rsid w:val="0058655F"/>
    <w:rsid w:val="005865F5"/>
    <w:rsid w:val="00586D14"/>
    <w:rsid w:val="00587841"/>
    <w:rsid w:val="00587A3B"/>
    <w:rsid w:val="00587D3F"/>
    <w:rsid w:val="005905A1"/>
    <w:rsid w:val="00590672"/>
    <w:rsid w:val="00590A9F"/>
    <w:rsid w:val="00590FF9"/>
    <w:rsid w:val="00591243"/>
    <w:rsid w:val="00591852"/>
    <w:rsid w:val="0059199E"/>
    <w:rsid w:val="00591C6E"/>
    <w:rsid w:val="0059200B"/>
    <w:rsid w:val="00592686"/>
    <w:rsid w:val="005927FF"/>
    <w:rsid w:val="00592858"/>
    <w:rsid w:val="00592B94"/>
    <w:rsid w:val="00592F85"/>
    <w:rsid w:val="00593128"/>
    <w:rsid w:val="005933D1"/>
    <w:rsid w:val="005939A5"/>
    <w:rsid w:val="00593AA8"/>
    <w:rsid w:val="00594060"/>
    <w:rsid w:val="005940C8"/>
    <w:rsid w:val="005943EE"/>
    <w:rsid w:val="00594784"/>
    <w:rsid w:val="00594ECA"/>
    <w:rsid w:val="00595410"/>
    <w:rsid w:val="00595A6E"/>
    <w:rsid w:val="00595A7A"/>
    <w:rsid w:val="00595C12"/>
    <w:rsid w:val="00595C7C"/>
    <w:rsid w:val="0059619F"/>
    <w:rsid w:val="0059674B"/>
    <w:rsid w:val="00596890"/>
    <w:rsid w:val="00596972"/>
    <w:rsid w:val="00596A30"/>
    <w:rsid w:val="00596E46"/>
    <w:rsid w:val="00597154"/>
    <w:rsid w:val="005974AF"/>
    <w:rsid w:val="00597A62"/>
    <w:rsid w:val="00597B39"/>
    <w:rsid w:val="00597C78"/>
    <w:rsid w:val="005A0742"/>
    <w:rsid w:val="005A0BCB"/>
    <w:rsid w:val="005A0EB1"/>
    <w:rsid w:val="005A121D"/>
    <w:rsid w:val="005A1362"/>
    <w:rsid w:val="005A1366"/>
    <w:rsid w:val="005A148C"/>
    <w:rsid w:val="005A15A6"/>
    <w:rsid w:val="005A1C78"/>
    <w:rsid w:val="005A1FA6"/>
    <w:rsid w:val="005A2835"/>
    <w:rsid w:val="005A2FBF"/>
    <w:rsid w:val="005A3063"/>
    <w:rsid w:val="005A30A8"/>
    <w:rsid w:val="005A42D3"/>
    <w:rsid w:val="005A4479"/>
    <w:rsid w:val="005A46E7"/>
    <w:rsid w:val="005A5D76"/>
    <w:rsid w:val="005A623D"/>
    <w:rsid w:val="005A6C99"/>
    <w:rsid w:val="005A7FE7"/>
    <w:rsid w:val="005B00E6"/>
    <w:rsid w:val="005B0B35"/>
    <w:rsid w:val="005B0C19"/>
    <w:rsid w:val="005B162D"/>
    <w:rsid w:val="005B223D"/>
    <w:rsid w:val="005B226E"/>
    <w:rsid w:val="005B2351"/>
    <w:rsid w:val="005B2466"/>
    <w:rsid w:val="005B2979"/>
    <w:rsid w:val="005B29F4"/>
    <w:rsid w:val="005B2DD1"/>
    <w:rsid w:val="005B3700"/>
    <w:rsid w:val="005B3A34"/>
    <w:rsid w:val="005B3B85"/>
    <w:rsid w:val="005B3EA6"/>
    <w:rsid w:val="005B429A"/>
    <w:rsid w:val="005B49AB"/>
    <w:rsid w:val="005B4D33"/>
    <w:rsid w:val="005B5570"/>
    <w:rsid w:val="005B562E"/>
    <w:rsid w:val="005B59EB"/>
    <w:rsid w:val="005B5FEC"/>
    <w:rsid w:val="005B6145"/>
    <w:rsid w:val="005B6A3E"/>
    <w:rsid w:val="005B6E3C"/>
    <w:rsid w:val="005B7496"/>
    <w:rsid w:val="005B7882"/>
    <w:rsid w:val="005C0253"/>
    <w:rsid w:val="005C0B94"/>
    <w:rsid w:val="005C0FD4"/>
    <w:rsid w:val="005C10F4"/>
    <w:rsid w:val="005C1235"/>
    <w:rsid w:val="005C143D"/>
    <w:rsid w:val="005C14ED"/>
    <w:rsid w:val="005C156C"/>
    <w:rsid w:val="005C15CA"/>
    <w:rsid w:val="005C162A"/>
    <w:rsid w:val="005C1AD5"/>
    <w:rsid w:val="005C225B"/>
    <w:rsid w:val="005C36F1"/>
    <w:rsid w:val="005C4057"/>
    <w:rsid w:val="005C45D1"/>
    <w:rsid w:val="005C48AB"/>
    <w:rsid w:val="005C49F7"/>
    <w:rsid w:val="005C4C0A"/>
    <w:rsid w:val="005C4D48"/>
    <w:rsid w:val="005C4F30"/>
    <w:rsid w:val="005C52E2"/>
    <w:rsid w:val="005C548B"/>
    <w:rsid w:val="005C568B"/>
    <w:rsid w:val="005C58B1"/>
    <w:rsid w:val="005C5D13"/>
    <w:rsid w:val="005C5E19"/>
    <w:rsid w:val="005C5FD0"/>
    <w:rsid w:val="005C64E3"/>
    <w:rsid w:val="005C6AD9"/>
    <w:rsid w:val="005C6D60"/>
    <w:rsid w:val="005C6E13"/>
    <w:rsid w:val="005C7056"/>
    <w:rsid w:val="005C7CF6"/>
    <w:rsid w:val="005C7E2D"/>
    <w:rsid w:val="005D0181"/>
    <w:rsid w:val="005D0C89"/>
    <w:rsid w:val="005D109F"/>
    <w:rsid w:val="005D1198"/>
    <w:rsid w:val="005D157E"/>
    <w:rsid w:val="005D161C"/>
    <w:rsid w:val="005D1658"/>
    <w:rsid w:val="005D1766"/>
    <w:rsid w:val="005D1D91"/>
    <w:rsid w:val="005D2806"/>
    <w:rsid w:val="005D2D6C"/>
    <w:rsid w:val="005D3130"/>
    <w:rsid w:val="005D37FB"/>
    <w:rsid w:val="005D3ADA"/>
    <w:rsid w:val="005D3EA4"/>
    <w:rsid w:val="005D3EEB"/>
    <w:rsid w:val="005D4003"/>
    <w:rsid w:val="005D4410"/>
    <w:rsid w:val="005D450A"/>
    <w:rsid w:val="005D46CE"/>
    <w:rsid w:val="005D4879"/>
    <w:rsid w:val="005D4AFC"/>
    <w:rsid w:val="005D4F9C"/>
    <w:rsid w:val="005D5747"/>
    <w:rsid w:val="005D6B7B"/>
    <w:rsid w:val="005D6C91"/>
    <w:rsid w:val="005D6DFD"/>
    <w:rsid w:val="005D73DE"/>
    <w:rsid w:val="005D77DA"/>
    <w:rsid w:val="005E0435"/>
    <w:rsid w:val="005E0514"/>
    <w:rsid w:val="005E0666"/>
    <w:rsid w:val="005E06BE"/>
    <w:rsid w:val="005E0828"/>
    <w:rsid w:val="005E0C2E"/>
    <w:rsid w:val="005E0F2C"/>
    <w:rsid w:val="005E15E4"/>
    <w:rsid w:val="005E1A08"/>
    <w:rsid w:val="005E1C36"/>
    <w:rsid w:val="005E1FC7"/>
    <w:rsid w:val="005E228A"/>
    <w:rsid w:val="005E2B5F"/>
    <w:rsid w:val="005E30FA"/>
    <w:rsid w:val="005E318B"/>
    <w:rsid w:val="005E31BD"/>
    <w:rsid w:val="005E35F2"/>
    <w:rsid w:val="005E3787"/>
    <w:rsid w:val="005E3A00"/>
    <w:rsid w:val="005E3D23"/>
    <w:rsid w:val="005E482B"/>
    <w:rsid w:val="005E4955"/>
    <w:rsid w:val="005E55BB"/>
    <w:rsid w:val="005E56A0"/>
    <w:rsid w:val="005E56AF"/>
    <w:rsid w:val="005E68B6"/>
    <w:rsid w:val="005E6EB6"/>
    <w:rsid w:val="005E6F06"/>
    <w:rsid w:val="005E6F98"/>
    <w:rsid w:val="005E7119"/>
    <w:rsid w:val="005E754B"/>
    <w:rsid w:val="005E791E"/>
    <w:rsid w:val="005E7931"/>
    <w:rsid w:val="005E7A76"/>
    <w:rsid w:val="005F0159"/>
    <w:rsid w:val="005F0D7F"/>
    <w:rsid w:val="005F1504"/>
    <w:rsid w:val="005F1628"/>
    <w:rsid w:val="005F1B0B"/>
    <w:rsid w:val="005F1BA4"/>
    <w:rsid w:val="005F238E"/>
    <w:rsid w:val="005F2558"/>
    <w:rsid w:val="005F27A3"/>
    <w:rsid w:val="005F286D"/>
    <w:rsid w:val="005F2B78"/>
    <w:rsid w:val="005F2DC0"/>
    <w:rsid w:val="005F2DCF"/>
    <w:rsid w:val="005F31FD"/>
    <w:rsid w:val="005F3694"/>
    <w:rsid w:val="005F41EF"/>
    <w:rsid w:val="005F4250"/>
    <w:rsid w:val="005F48AE"/>
    <w:rsid w:val="005F4967"/>
    <w:rsid w:val="005F4AEF"/>
    <w:rsid w:val="005F4AF4"/>
    <w:rsid w:val="005F567F"/>
    <w:rsid w:val="005F597B"/>
    <w:rsid w:val="005F5BF6"/>
    <w:rsid w:val="005F5DD0"/>
    <w:rsid w:val="005F61A3"/>
    <w:rsid w:val="005F6A59"/>
    <w:rsid w:val="005F6EB6"/>
    <w:rsid w:val="005F7499"/>
    <w:rsid w:val="005F78E3"/>
    <w:rsid w:val="005F7BC3"/>
    <w:rsid w:val="0060031C"/>
    <w:rsid w:val="0060042F"/>
    <w:rsid w:val="006015C0"/>
    <w:rsid w:val="00601AEA"/>
    <w:rsid w:val="00601B78"/>
    <w:rsid w:val="00601E02"/>
    <w:rsid w:val="006022E8"/>
    <w:rsid w:val="00602553"/>
    <w:rsid w:val="00602921"/>
    <w:rsid w:val="00602BA8"/>
    <w:rsid w:val="00602F72"/>
    <w:rsid w:val="006030A0"/>
    <w:rsid w:val="00603174"/>
    <w:rsid w:val="006031C1"/>
    <w:rsid w:val="006039B6"/>
    <w:rsid w:val="00603D38"/>
    <w:rsid w:val="00604A0D"/>
    <w:rsid w:val="00605632"/>
    <w:rsid w:val="00605C45"/>
    <w:rsid w:val="00605DD3"/>
    <w:rsid w:val="006061DB"/>
    <w:rsid w:val="00606F92"/>
    <w:rsid w:val="00607373"/>
    <w:rsid w:val="00607595"/>
    <w:rsid w:val="0060770B"/>
    <w:rsid w:val="00607784"/>
    <w:rsid w:val="00607C33"/>
    <w:rsid w:val="00607C8A"/>
    <w:rsid w:val="00607EDF"/>
    <w:rsid w:val="00607FC7"/>
    <w:rsid w:val="006102F2"/>
    <w:rsid w:val="00611035"/>
    <w:rsid w:val="006116CB"/>
    <w:rsid w:val="00611756"/>
    <w:rsid w:val="006117BC"/>
    <w:rsid w:val="00611803"/>
    <w:rsid w:val="00611B9B"/>
    <w:rsid w:val="0061277E"/>
    <w:rsid w:val="00612840"/>
    <w:rsid w:val="00612AD2"/>
    <w:rsid w:val="00612E00"/>
    <w:rsid w:val="00612F96"/>
    <w:rsid w:val="00613299"/>
    <w:rsid w:val="00614200"/>
    <w:rsid w:val="00614227"/>
    <w:rsid w:val="006142DF"/>
    <w:rsid w:val="00614442"/>
    <w:rsid w:val="00614606"/>
    <w:rsid w:val="00614A9E"/>
    <w:rsid w:val="00614D9B"/>
    <w:rsid w:val="006150A9"/>
    <w:rsid w:val="00615114"/>
    <w:rsid w:val="00615D2A"/>
    <w:rsid w:val="00616323"/>
    <w:rsid w:val="00617557"/>
    <w:rsid w:val="00617B93"/>
    <w:rsid w:val="00617F46"/>
    <w:rsid w:val="006200A2"/>
    <w:rsid w:val="00620226"/>
    <w:rsid w:val="0062046E"/>
    <w:rsid w:val="00621039"/>
    <w:rsid w:val="00621357"/>
    <w:rsid w:val="006215B3"/>
    <w:rsid w:val="0062197D"/>
    <w:rsid w:val="00621FB7"/>
    <w:rsid w:val="0062251E"/>
    <w:rsid w:val="00622614"/>
    <w:rsid w:val="0062271D"/>
    <w:rsid w:val="006228B3"/>
    <w:rsid w:val="00622A57"/>
    <w:rsid w:val="00622EBF"/>
    <w:rsid w:val="006236C0"/>
    <w:rsid w:val="00623796"/>
    <w:rsid w:val="00625358"/>
    <w:rsid w:val="006255FD"/>
    <w:rsid w:val="00626143"/>
    <w:rsid w:val="00626408"/>
    <w:rsid w:val="00626DD3"/>
    <w:rsid w:val="0062743C"/>
    <w:rsid w:val="00627814"/>
    <w:rsid w:val="00630346"/>
    <w:rsid w:val="006305DF"/>
    <w:rsid w:val="00630792"/>
    <w:rsid w:val="00630837"/>
    <w:rsid w:val="00630922"/>
    <w:rsid w:val="00630EDB"/>
    <w:rsid w:val="0063119F"/>
    <w:rsid w:val="0063126E"/>
    <w:rsid w:val="0063158E"/>
    <w:rsid w:val="00631B80"/>
    <w:rsid w:val="00632207"/>
    <w:rsid w:val="0063221D"/>
    <w:rsid w:val="006323EE"/>
    <w:rsid w:val="00632AAA"/>
    <w:rsid w:val="00632CB9"/>
    <w:rsid w:val="00632D0F"/>
    <w:rsid w:val="00632F18"/>
    <w:rsid w:val="00633869"/>
    <w:rsid w:val="00633B8E"/>
    <w:rsid w:val="00633D44"/>
    <w:rsid w:val="006345C6"/>
    <w:rsid w:val="0063491C"/>
    <w:rsid w:val="00634D47"/>
    <w:rsid w:val="0063541C"/>
    <w:rsid w:val="00636235"/>
    <w:rsid w:val="0063648A"/>
    <w:rsid w:val="006365A1"/>
    <w:rsid w:val="00636BA8"/>
    <w:rsid w:val="00636C5B"/>
    <w:rsid w:val="00636DA7"/>
    <w:rsid w:val="00636DD8"/>
    <w:rsid w:val="00636E2D"/>
    <w:rsid w:val="0063770F"/>
    <w:rsid w:val="00637CAA"/>
    <w:rsid w:val="00637DB2"/>
    <w:rsid w:val="00640273"/>
    <w:rsid w:val="00640367"/>
    <w:rsid w:val="00640824"/>
    <w:rsid w:val="00640E82"/>
    <w:rsid w:val="00640EBD"/>
    <w:rsid w:val="00640ED8"/>
    <w:rsid w:val="00640F8E"/>
    <w:rsid w:val="0064105F"/>
    <w:rsid w:val="00641091"/>
    <w:rsid w:val="006410C9"/>
    <w:rsid w:val="0064150B"/>
    <w:rsid w:val="00641DB1"/>
    <w:rsid w:val="00641FEE"/>
    <w:rsid w:val="006422A7"/>
    <w:rsid w:val="006428BC"/>
    <w:rsid w:val="00642BAB"/>
    <w:rsid w:val="00643300"/>
    <w:rsid w:val="00643303"/>
    <w:rsid w:val="006438CA"/>
    <w:rsid w:val="00643D69"/>
    <w:rsid w:val="006441B1"/>
    <w:rsid w:val="00644A15"/>
    <w:rsid w:val="00644DC3"/>
    <w:rsid w:val="00645C5A"/>
    <w:rsid w:val="00645D76"/>
    <w:rsid w:val="00646D56"/>
    <w:rsid w:val="00647462"/>
    <w:rsid w:val="0064762E"/>
    <w:rsid w:val="00647A88"/>
    <w:rsid w:val="00647E89"/>
    <w:rsid w:val="00650046"/>
    <w:rsid w:val="00650577"/>
    <w:rsid w:val="0065085D"/>
    <w:rsid w:val="0065119B"/>
    <w:rsid w:val="00651995"/>
    <w:rsid w:val="00651A62"/>
    <w:rsid w:val="00651ADE"/>
    <w:rsid w:val="00651D2A"/>
    <w:rsid w:val="006537D9"/>
    <w:rsid w:val="00653BC3"/>
    <w:rsid w:val="00653DBF"/>
    <w:rsid w:val="00653E90"/>
    <w:rsid w:val="0065481C"/>
    <w:rsid w:val="0065486A"/>
    <w:rsid w:val="00654C5C"/>
    <w:rsid w:val="00654FA4"/>
    <w:rsid w:val="00655016"/>
    <w:rsid w:val="006550C5"/>
    <w:rsid w:val="00655939"/>
    <w:rsid w:val="006559F1"/>
    <w:rsid w:val="00655C7D"/>
    <w:rsid w:val="00655CBD"/>
    <w:rsid w:val="00655E69"/>
    <w:rsid w:val="00655E96"/>
    <w:rsid w:val="00656D4E"/>
    <w:rsid w:val="006571F7"/>
    <w:rsid w:val="0065752E"/>
    <w:rsid w:val="00657568"/>
    <w:rsid w:val="006575F6"/>
    <w:rsid w:val="00657B7A"/>
    <w:rsid w:val="006609C6"/>
    <w:rsid w:val="00660AE6"/>
    <w:rsid w:val="00660B0F"/>
    <w:rsid w:val="00660B43"/>
    <w:rsid w:val="00660CEF"/>
    <w:rsid w:val="006610B7"/>
    <w:rsid w:val="0066111B"/>
    <w:rsid w:val="006613C7"/>
    <w:rsid w:val="00661830"/>
    <w:rsid w:val="006618EA"/>
    <w:rsid w:val="00661AFE"/>
    <w:rsid w:val="00661BE4"/>
    <w:rsid w:val="00661F52"/>
    <w:rsid w:val="00662204"/>
    <w:rsid w:val="00663093"/>
    <w:rsid w:val="0066391A"/>
    <w:rsid w:val="00663B8C"/>
    <w:rsid w:val="00663C89"/>
    <w:rsid w:val="006641DB"/>
    <w:rsid w:val="00664314"/>
    <w:rsid w:val="0066502D"/>
    <w:rsid w:val="00665943"/>
    <w:rsid w:val="00666584"/>
    <w:rsid w:val="0066672D"/>
    <w:rsid w:val="00666C0C"/>
    <w:rsid w:val="0066743C"/>
    <w:rsid w:val="006678AB"/>
    <w:rsid w:val="00667B4A"/>
    <w:rsid w:val="00667CD4"/>
    <w:rsid w:val="006707AF"/>
    <w:rsid w:val="00670FD8"/>
    <w:rsid w:val="0067103C"/>
    <w:rsid w:val="00671324"/>
    <w:rsid w:val="00671495"/>
    <w:rsid w:val="0067158D"/>
    <w:rsid w:val="006715AF"/>
    <w:rsid w:val="006718FB"/>
    <w:rsid w:val="006722BA"/>
    <w:rsid w:val="006727C5"/>
    <w:rsid w:val="006737A1"/>
    <w:rsid w:val="006739C8"/>
    <w:rsid w:val="00673CA2"/>
    <w:rsid w:val="00673D35"/>
    <w:rsid w:val="00674134"/>
    <w:rsid w:val="006745AF"/>
    <w:rsid w:val="006745DA"/>
    <w:rsid w:val="00674AAD"/>
    <w:rsid w:val="00674B89"/>
    <w:rsid w:val="00674D75"/>
    <w:rsid w:val="00674DF7"/>
    <w:rsid w:val="00674F13"/>
    <w:rsid w:val="0067520C"/>
    <w:rsid w:val="0067537C"/>
    <w:rsid w:val="006757F5"/>
    <w:rsid w:val="006758C3"/>
    <w:rsid w:val="006758E6"/>
    <w:rsid w:val="006760BE"/>
    <w:rsid w:val="00676430"/>
    <w:rsid w:val="00676BEA"/>
    <w:rsid w:val="00676C74"/>
    <w:rsid w:val="00676F3A"/>
    <w:rsid w:val="00676FD6"/>
    <w:rsid w:val="006774D0"/>
    <w:rsid w:val="00677DDA"/>
    <w:rsid w:val="00677E3C"/>
    <w:rsid w:val="00677F29"/>
    <w:rsid w:val="00677FBA"/>
    <w:rsid w:val="00680303"/>
    <w:rsid w:val="006808A4"/>
    <w:rsid w:val="006809C8"/>
    <w:rsid w:val="006809E4"/>
    <w:rsid w:val="00681457"/>
    <w:rsid w:val="00681517"/>
    <w:rsid w:val="0068169B"/>
    <w:rsid w:val="00681B5A"/>
    <w:rsid w:val="00681B77"/>
    <w:rsid w:val="00681E08"/>
    <w:rsid w:val="00681EDA"/>
    <w:rsid w:val="00682100"/>
    <w:rsid w:val="006821D5"/>
    <w:rsid w:val="00682464"/>
    <w:rsid w:val="00682906"/>
    <w:rsid w:val="00682A1D"/>
    <w:rsid w:val="00682A8D"/>
    <w:rsid w:val="00682C5B"/>
    <w:rsid w:val="00682D05"/>
    <w:rsid w:val="0068388C"/>
    <w:rsid w:val="00683E2A"/>
    <w:rsid w:val="0068462D"/>
    <w:rsid w:val="0068525E"/>
    <w:rsid w:val="00685505"/>
    <w:rsid w:val="00685693"/>
    <w:rsid w:val="006856CF"/>
    <w:rsid w:val="006857D7"/>
    <w:rsid w:val="00685C38"/>
    <w:rsid w:val="00686316"/>
    <w:rsid w:val="006863E3"/>
    <w:rsid w:val="006869F1"/>
    <w:rsid w:val="006877D2"/>
    <w:rsid w:val="00687AF1"/>
    <w:rsid w:val="006906A6"/>
    <w:rsid w:val="00690C60"/>
    <w:rsid w:val="00690C99"/>
    <w:rsid w:val="006911AB"/>
    <w:rsid w:val="0069151A"/>
    <w:rsid w:val="00691803"/>
    <w:rsid w:val="0069187F"/>
    <w:rsid w:val="00691A07"/>
    <w:rsid w:val="00691A78"/>
    <w:rsid w:val="00692077"/>
    <w:rsid w:val="0069212A"/>
    <w:rsid w:val="006924D4"/>
    <w:rsid w:val="00692CE7"/>
    <w:rsid w:val="006930AD"/>
    <w:rsid w:val="006933CF"/>
    <w:rsid w:val="00693596"/>
    <w:rsid w:val="0069390F"/>
    <w:rsid w:val="00693B72"/>
    <w:rsid w:val="0069494E"/>
    <w:rsid w:val="006958F9"/>
    <w:rsid w:val="0069590B"/>
    <w:rsid w:val="00695AC3"/>
    <w:rsid w:val="00696087"/>
    <w:rsid w:val="00696C79"/>
    <w:rsid w:val="00697276"/>
    <w:rsid w:val="006A0281"/>
    <w:rsid w:val="006A0537"/>
    <w:rsid w:val="006A0607"/>
    <w:rsid w:val="006A0762"/>
    <w:rsid w:val="006A080D"/>
    <w:rsid w:val="006A0E4D"/>
    <w:rsid w:val="006A1091"/>
    <w:rsid w:val="006A1102"/>
    <w:rsid w:val="006A12CD"/>
    <w:rsid w:val="006A1334"/>
    <w:rsid w:val="006A1437"/>
    <w:rsid w:val="006A18C8"/>
    <w:rsid w:val="006A1BB6"/>
    <w:rsid w:val="006A21F9"/>
    <w:rsid w:val="006A3847"/>
    <w:rsid w:val="006A3B7A"/>
    <w:rsid w:val="006A4221"/>
    <w:rsid w:val="006A4946"/>
    <w:rsid w:val="006A4A0A"/>
    <w:rsid w:val="006A4DDC"/>
    <w:rsid w:val="006A5455"/>
    <w:rsid w:val="006A58E1"/>
    <w:rsid w:val="006A5986"/>
    <w:rsid w:val="006A5BBF"/>
    <w:rsid w:val="006A5DC8"/>
    <w:rsid w:val="006A61E6"/>
    <w:rsid w:val="006A6629"/>
    <w:rsid w:val="006A728D"/>
    <w:rsid w:val="006A7366"/>
    <w:rsid w:val="006A741A"/>
    <w:rsid w:val="006A77C0"/>
    <w:rsid w:val="006B0BA3"/>
    <w:rsid w:val="006B106C"/>
    <w:rsid w:val="006B12E7"/>
    <w:rsid w:val="006B1490"/>
    <w:rsid w:val="006B1675"/>
    <w:rsid w:val="006B203E"/>
    <w:rsid w:val="006B20C8"/>
    <w:rsid w:val="006B22B1"/>
    <w:rsid w:val="006B23A1"/>
    <w:rsid w:val="006B28C6"/>
    <w:rsid w:val="006B2BC7"/>
    <w:rsid w:val="006B30BF"/>
    <w:rsid w:val="006B32EC"/>
    <w:rsid w:val="006B3638"/>
    <w:rsid w:val="006B3D58"/>
    <w:rsid w:val="006B446B"/>
    <w:rsid w:val="006B47BA"/>
    <w:rsid w:val="006B4C1D"/>
    <w:rsid w:val="006B5082"/>
    <w:rsid w:val="006B509F"/>
    <w:rsid w:val="006B52E7"/>
    <w:rsid w:val="006B5421"/>
    <w:rsid w:val="006B5444"/>
    <w:rsid w:val="006B54A5"/>
    <w:rsid w:val="006B5C34"/>
    <w:rsid w:val="006B61AD"/>
    <w:rsid w:val="006B701A"/>
    <w:rsid w:val="006B70A5"/>
    <w:rsid w:val="006B781D"/>
    <w:rsid w:val="006B7847"/>
    <w:rsid w:val="006C0095"/>
    <w:rsid w:val="006C068E"/>
    <w:rsid w:val="006C1145"/>
    <w:rsid w:val="006C11EC"/>
    <w:rsid w:val="006C1430"/>
    <w:rsid w:val="006C19D7"/>
    <w:rsid w:val="006C1E45"/>
    <w:rsid w:val="006C1E59"/>
    <w:rsid w:val="006C1F10"/>
    <w:rsid w:val="006C287A"/>
    <w:rsid w:val="006C291F"/>
    <w:rsid w:val="006C2B87"/>
    <w:rsid w:val="006C2DC7"/>
    <w:rsid w:val="006C3C15"/>
    <w:rsid w:val="006C4010"/>
    <w:rsid w:val="006C43A6"/>
    <w:rsid w:val="006C4416"/>
    <w:rsid w:val="006C52A4"/>
    <w:rsid w:val="006C52A8"/>
    <w:rsid w:val="006C568E"/>
    <w:rsid w:val="006C56C0"/>
    <w:rsid w:val="006C5F2B"/>
    <w:rsid w:val="006C6011"/>
    <w:rsid w:val="006C654F"/>
    <w:rsid w:val="006C6976"/>
    <w:rsid w:val="006C6A20"/>
    <w:rsid w:val="006C77B6"/>
    <w:rsid w:val="006C7E53"/>
    <w:rsid w:val="006C7EE4"/>
    <w:rsid w:val="006D037E"/>
    <w:rsid w:val="006D053F"/>
    <w:rsid w:val="006D08A0"/>
    <w:rsid w:val="006D08D2"/>
    <w:rsid w:val="006D126A"/>
    <w:rsid w:val="006D18C7"/>
    <w:rsid w:val="006D1CF0"/>
    <w:rsid w:val="006D2290"/>
    <w:rsid w:val="006D2478"/>
    <w:rsid w:val="006D2486"/>
    <w:rsid w:val="006D2681"/>
    <w:rsid w:val="006D3740"/>
    <w:rsid w:val="006D3C98"/>
    <w:rsid w:val="006D3D83"/>
    <w:rsid w:val="006D4343"/>
    <w:rsid w:val="006D462C"/>
    <w:rsid w:val="006D4870"/>
    <w:rsid w:val="006D48FE"/>
    <w:rsid w:val="006D4975"/>
    <w:rsid w:val="006D4AF8"/>
    <w:rsid w:val="006D4F48"/>
    <w:rsid w:val="006D53CE"/>
    <w:rsid w:val="006D5C89"/>
    <w:rsid w:val="006D5CE8"/>
    <w:rsid w:val="006D617D"/>
    <w:rsid w:val="006D61E3"/>
    <w:rsid w:val="006D6254"/>
    <w:rsid w:val="006D6671"/>
    <w:rsid w:val="006D67A3"/>
    <w:rsid w:val="006D6860"/>
    <w:rsid w:val="006D6864"/>
    <w:rsid w:val="006D697E"/>
    <w:rsid w:val="006D69B9"/>
    <w:rsid w:val="006D6A8F"/>
    <w:rsid w:val="006D6AAC"/>
    <w:rsid w:val="006D73C0"/>
    <w:rsid w:val="006D7917"/>
    <w:rsid w:val="006D7B70"/>
    <w:rsid w:val="006DF2D3"/>
    <w:rsid w:val="006E1432"/>
    <w:rsid w:val="006E1C56"/>
    <w:rsid w:val="006E288B"/>
    <w:rsid w:val="006E28BC"/>
    <w:rsid w:val="006E28DF"/>
    <w:rsid w:val="006E2A60"/>
    <w:rsid w:val="006E2FA6"/>
    <w:rsid w:val="006E3155"/>
    <w:rsid w:val="006E31E2"/>
    <w:rsid w:val="006E328E"/>
    <w:rsid w:val="006E3C78"/>
    <w:rsid w:val="006E3D72"/>
    <w:rsid w:val="006E422F"/>
    <w:rsid w:val="006E453E"/>
    <w:rsid w:val="006E4980"/>
    <w:rsid w:val="006E5600"/>
    <w:rsid w:val="006E5717"/>
    <w:rsid w:val="006E5760"/>
    <w:rsid w:val="006E5AAB"/>
    <w:rsid w:val="006E5E28"/>
    <w:rsid w:val="006E64BA"/>
    <w:rsid w:val="006E6538"/>
    <w:rsid w:val="006E6574"/>
    <w:rsid w:val="006E6FBA"/>
    <w:rsid w:val="006F0459"/>
    <w:rsid w:val="006F10B6"/>
    <w:rsid w:val="006F1208"/>
    <w:rsid w:val="006F12A2"/>
    <w:rsid w:val="006F12F1"/>
    <w:rsid w:val="006F194E"/>
    <w:rsid w:val="006F26D9"/>
    <w:rsid w:val="006F2C28"/>
    <w:rsid w:val="006F2ED9"/>
    <w:rsid w:val="006F3339"/>
    <w:rsid w:val="006F336A"/>
    <w:rsid w:val="006F3529"/>
    <w:rsid w:val="006F39F6"/>
    <w:rsid w:val="006F42A4"/>
    <w:rsid w:val="006F439F"/>
    <w:rsid w:val="006F43BB"/>
    <w:rsid w:val="006F4C15"/>
    <w:rsid w:val="006F4FA9"/>
    <w:rsid w:val="006F50DA"/>
    <w:rsid w:val="006F58B5"/>
    <w:rsid w:val="006F5DDC"/>
    <w:rsid w:val="006F6232"/>
    <w:rsid w:val="006F6607"/>
    <w:rsid w:val="006F699E"/>
    <w:rsid w:val="006F6F4D"/>
    <w:rsid w:val="006F711B"/>
    <w:rsid w:val="006F7484"/>
    <w:rsid w:val="006F750D"/>
    <w:rsid w:val="006F758A"/>
    <w:rsid w:val="006F782E"/>
    <w:rsid w:val="006F784E"/>
    <w:rsid w:val="006F7A82"/>
    <w:rsid w:val="00700070"/>
    <w:rsid w:val="00700180"/>
    <w:rsid w:val="00700A00"/>
    <w:rsid w:val="00700E46"/>
    <w:rsid w:val="007012D9"/>
    <w:rsid w:val="00701C2F"/>
    <w:rsid w:val="00702174"/>
    <w:rsid w:val="00703767"/>
    <w:rsid w:val="00703892"/>
    <w:rsid w:val="00704240"/>
    <w:rsid w:val="007046C4"/>
    <w:rsid w:val="00704F80"/>
    <w:rsid w:val="00705520"/>
    <w:rsid w:val="00705692"/>
    <w:rsid w:val="00705848"/>
    <w:rsid w:val="00705A95"/>
    <w:rsid w:val="00705A9D"/>
    <w:rsid w:val="007060A5"/>
    <w:rsid w:val="00706C51"/>
    <w:rsid w:val="00707327"/>
    <w:rsid w:val="0070735A"/>
    <w:rsid w:val="00707B22"/>
    <w:rsid w:val="00707C19"/>
    <w:rsid w:val="00707CF0"/>
    <w:rsid w:val="007102B8"/>
    <w:rsid w:val="00710579"/>
    <w:rsid w:val="00710682"/>
    <w:rsid w:val="00710E36"/>
    <w:rsid w:val="00711679"/>
    <w:rsid w:val="00711B9E"/>
    <w:rsid w:val="00711D11"/>
    <w:rsid w:val="0071213B"/>
    <w:rsid w:val="007121DA"/>
    <w:rsid w:val="007128CE"/>
    <w:rsid w:val="007129DB"/>
    <w:rsid w:val="00712EFE"/>
    <w:rsid w:val="00712F52"/>
    <w:rsid w:val="00712F9B"/>
    <w:rsid w:val="007133DA"/>
    <w:rsid w:val="00713BC2"/>
    <w:rsid w:val="00713DF7"/>
    <w:rsid w:val="00714499"/>
    <w:rsid w:val="00714CF2"/>
    <w:rsid w:val="00714D50"/>
    <w:rsid w:val="007156B9"/>
    <w:rsid w:val="0071586F"/>
    <w:rsid w:val="00715AD3"/>
    <w:rsid w:val="007162FD"/>
    <w:rsid w:val="007165B3"/>
    <w:rsid w:val="007166D6"/>
    <w:rsid w:val="00716E11"/>
    <w:rsid w:val="007175E8"/>
    <w:rsid w:val="007176BC"/>
    <w:rsid w:val="00717B28"/>
    <w:rsid w:val="00720604"/>
    <w:rsid w:val="00720817"/>
    <w:rsid w:val="007209D7"/>
    <w:rsid w:val="00720C99"/>
    <w:rsid w:val="007211B8"/>
    <w:rsid w:val="0072152F"/>
    <w:rsid w:val="007218A2"/>
    <w:rsid w:val="00721AD9"/>
    <w:rsid w:val="00722047"/>
    <w:rsid w:val="0072217F"/>
    <w:rsid w:val="00722850"/>
    <w:rsid w:val="00722A60"/>
    <w:rsid w:val="00722E57"/>
    <w:rsid w:val="00723CB1"/>
    <w:rsid w:val="00723E4C"/>
    <w:rsid w:val="007241C5"/>
    <w:rsid w:val="007242B8"/>
    <w:rsid w:val="00724439"/>
    <w:rsid w:val="00724ABB"/>
    <w:rsid w:val="00724D4A"/>
    <w:rsid w:val="0072505D"/>
    <w:rsid w:val="0072579A"/>
    <w:rsid w:val="00725E9D"/>
    <w:rsid w:val="007265F3"/>
    <w:rsid w:val="007268AC"/>
    <w:rsid w:val="0072705E"/>
    <w:rsid w:val="007277EB"/>
    <w:rsid w:val="007301DC"/>
    <w:rsid w:val="007304AE"/>
    <w:rsid w:val="007307C3"/>
    <w:rsid w:val="00730BD0"/>
    <w:rsid w:val="00730D0B"/>
    <w:rsid w:val="00730E5D"/>
    <w:rsid w:val="00730EB3"/>
    <w:rsid w:val="007314F5"/>
    <w:rsid w:val="00731954"/>
    <w:rsid w:val="00731A39"/>
    <w:rsid w:val="00732AD6"/>
    <w:rsid w:val="00732EAB"/>
    <w:rsid w:val="007333A4"/>
    <w:rsid w:val="0073353F"/>
    <w:rsid w:val="00733641"/>
    <w:rsid w:val="00733ACC"/>
    <w:rsid w:val="007341D3"/>
    <w:rsid w:val="00734917"/>
    <w:rsid w:val="00734C6B"/>
    <w:rsid w:val="0073511C"/>
    <w:rsid w:val="00735429"/>
    <w:rsid w:val="007357D7"/>
    <w:rsid w:val="007358C2"/>
    <w:rsid w:val="00735A91"/>
    <w:rsid w:val="00735C6B"/>
    <w:rsid w:val="00735EDB"/>
    <w:rsid w:val="0073613C"/>
    <w:rsid w:val="007363FD"/>
    <w:rsid w:val="00736587"/>
    <w:rsid w:val="0073672D"/>
    <w:rsid w:val="00736B30"/>
    <w:rsid w:val="00736DBF"/>
    <w:rsid w:val="00736F01"/>
    <w:rsid w:val="00737193"/>
    <w:rsid w:val="00737391"/>
    <w:rsid w:val="007376AD"/>
    <w:rsid w:val="007379B0"/>
    <w:rsid w:val="00737AF5"/>
    <w:rsid w:val="00737C41"/>
    <w:rsid w:val="00737C6B"/>
    <w:rsid w:val="00740621"/>
    <w:rsid w:val="00740C42"/>
    <w:rsid w:val="00740F9C"/>
    <w:rsid w:val="0074108F"/>
    <w:rsid w:val="007411EF"/>
    <w:rsid w:val="00741252"/>
    <w:rsid w:val="0074194B"/>
    <w:rsid w:val="00741B34"/>
    <w:rsid w:val="00741B53"/>
    <w:rsid w:val="00741EA0"/>
    <w:rsid w:val="00742677"/>
    <w:rsid w:val="0074281D"/>
    <w:rsid w:val="0074292E"/>
    <w:rsid w:val="00742CED"/>
    <w:rsid w:val="00742D32"/>
    <w:rsid w:val="00742E45"/>
    <w:rsid w:val="00743716"/>
    <w:rsid w:val="00743A8E"/>
    <w:rsid w:val="00743E56"/>
    <w:rsid w:val="007443ED"/>
    <w:rsid w:val="0074463A"/>
    <w:rsid w:val="007447AF"/>
    <w:rsid w:val="00744F13"/>
    <w:rsid w:val="00745A76"/>
    <w:rsid w:val="00745CE3"/>
    <w:rsid w:val="00745E19"/>
    <w:rsid w:val="007462AC"/>
    <w:rsid w:val="007467AD"/>
    <w:rsid w:val="007467D9"/>
    <w:rsid w:val="00746C9D"/>
    <w:rsid w:val="00746CD3"/>
    <w:rsid w:val="0074706F"/>
    <w:rsid w:val="007474B4"/>
    <w:rsid w:val="007474BB"/>
    <w:rsid w:val="007474C5"/>
    <w:rsid w:val="007477E0"/>
    <w:rsid w:val="00747F01"/>
    <w:rsid w:val="00747FDA"/>
    <w:rsid w:val="00750816"/>
    <w:rsid w:val="00750DDA"/>
    <w:rsid w:val="007510FA"/>
    <w:rsid w:val="007514A8"/>
    <w:rsid w:val="007519B1"/>
    <w:rsid w:val="0075229C"/>
    <w:rsid w:val="00752593"/>
    <w:rsid w:val="00752725"/>
    <w:rsid w:val="00752C11"/>
    <w:rsid w:val="0075345F"/>
    <w:rsid w:val="00753987"/>
    <w:rsid w:val="00753A2D"/>
    <w:rsid w:val="00753DF1"/>
    <w:rsid w:val="0075458A"/>
    <w:rsid w:val="007549E7"/>
    <w:rsid w:val="00754A9A"/>
    <w:rsid w:val="00755174"/>
    <w:rsid w:val="0075533F"/>
    <w:rsid w:val="007562C1"/>
    <w:rsid w:val="00756361"/>
    <w:rsid w:val="00756381"/>
    <w:rsid w:val="00756543"/>
    <w:rsid w:val="007565F6"/>
    <w:rsid w:val="00756BB8"/>
    <w:rsid w:val="00756D53"/>
    <w:rsid w:val="00756EFD"/>
    <w:rsid w:val="00757E4A"/>
    <w:rsid w:val="0076071B"/>
    <w:rsid w:val="00760A1F"/>
    <w:rsid w:val="00760B9C"/>
    <w:rsid w:val="00760D8F"/>
    <w:rsid w:val="00760F7A"/>
    <w:rsid w:val="00761658"/>
    <w:rsid w:val="00761706"/>
    <w:rsid w:val="00761C56"/>
    <w:rsid w:val="00761D88"/>
    <w:rsid w:val="00761EF2"/>
    <w:rsid w:val="00762210"/>
    <w:rsid w:val="00762537"/>
    <w:rsid w:val="00762823"/>
    <w:rsid w:val="00762A4E"/>
    <w:rsid w:val="00762DAB"/>
    <w:rsid w:val="007633DB"/>
    <w:rsid w:val="007634D2"/>
    <w:rsid w:val="00763814"/>
    <w:rsid w:val="00764AE9"/>
    <w:rsid w:val="00764C90"/>
    <w:rsid w:val="00764F03"/>
    <w:rsid w:val="007651FD"/>
    <w:rsid w:val="00765393"/>
    <w:rsid w:val="007656E5"/>
    <w:rsid w:val="007657C1"/>
    <w:rsid w:val="007658CE"/>
    <w:rsid w:val="00765945"/>
    <w:rsid w:val="00765EB7"/>
    <w:rsid w:val="00765F36"/>
    <w:rsid w:val="007660F4"/>
    <w:rsid w:val="0076682B"/>
    <w:rsid w:val="00766A8F"/>
    <w:rsid w:val="00766AF9"/>
    <w:rsid w:val="00767323"/>
    <w:rsid w:val="00767BC9"/>
    <w:rsid w:val="0077026E"/>
    <w:rsid w:val="007712A8"/>
    <w:rsid w:val="00771E40"/>
    <w:rsid w:val="00771E8D"/>
    <w:rsid w:val="0077221A"/>
    <w:rsid w:val="00772446"/>
    <w:rsid w:val="00772D77"/>
    <w:rsid w:val="00772F72"/>
    <w:rsid w:val="007731D9"/>
    <w:rsid w:val="00773216"/>
    <w:rsid w:val="007737F3"/>
    <w:rsid w:val="007740F8"/>
    <w:rsid w:val="007745D0"/>
    <w:rsid w:val="00774764"/>
    <w:rsid w:val="00774A59"/>
    <w:rsid w:val="00775255"/>
    <w:rsid w:val="007753A6"/>
    <w:rsid w:val="007755DE"/>
    <w:rsid w:val="00775A23"/>
    <w:rsid w:val="007764EB"/>
    <w:rsid w:val="00777230"/>
    <w:rsid w:val="007772E1"/>
    <w:rsid w:val="0077737A"/>
    <w:rsid w:val="0077755F"/>
    <w:rsid w:val="00777BF2"/>
    <w:rsid w:val="00777CD2"/>
    <w:rsid w:val="00780C4D"/>
    <w:rsid w:val="00781460"/>
    <w:rsid w:val="0078196F"/>
    <w:rsid w:val="00781989"/>
    <w:rsid w:val="0078219B"/>
    <w:rsid w:val="00782DCF"/>
    <w:rsid w:val="00782DD1"/>
    <w:rsid w:val="00783099"/>
    <w:rsid w:val="00783206"/>
    <w:rsid w:val="0078323A"/>
    <w:rsid w:val="0078427D"/>
    <w:rsid w:val="0078461B"/>
    <w:rsid w:val="00785402"/>
    <w:rsid w:val="00785483"/>
    <w:rsid w:val="00785855"/>
    <w:rsid w:val="00785FC2"/>
    <w:rsid w:val="00786AAF"/>
    <w:rsid w:val="00786CA8"/>
    <w:rsid w:val="0078709A"/>
    <w:rsid w:val="0078727E"/>
    <w:rsid w:val="00787A14"/>
    <w:rsid w:val="00787A19"/>
    <w:rsid w:val="00787B1B"/>
    <w:rsid w:val="00790753"/>
    <w:rsid w:val="00790AC0"/>
    <w:rsid w:val="0079145E"/>
    <w:rsid w:val="007917B3"/>
    <w:rsid w:val="00791A0A"/>
    <w:rsid w:val="0079271A"/>
    <w:rsid w:val="007929EA"/>
    <w:rsid w:val="007932C4"/>
    <w:rsid w:val="007933CE"/>
    <w:rsid w:val="0079354F"/>
    <w:rsid w:val="00793E11"/>
    <w:rsid w:val="00794207"/>
    <w:rsid w:val="0079487C"/>
    <w:rsid w:val="00794954"/>
    <w:rsid w:val="00794C8B"/>
    <w:rsid w:val="00794E83"/>
    <w:rsid w:val="00795655"/>
    <w:rsid w:val="00795914"/>
    <w:rsid w:val="007959DC"/>
    <w:rsid w:val="00795D15"/>
    <w:rsid w:val="00796225"/>
    <w:rsid w:val="007967AE"/>
    <w:rsid w:val="007969BA"/>
    <w:rsid w:val="00796AD0"/>
    <w:rsid w:val="00796B57"/>
    <w:rsid w:val="00796C77"/>
    <w:rsid w:val="00796E97"/>
    <w:rsid w:val="00796F97"/>
    <w:rsid w:val="00797031"/>
    <w:rsid w:val="0079708D"/>
    <w:rsid w:val="00797616"/>
    <w:rsid w:val="00797A41"/>
    <w:rsid w:val="007A01B7"/>
    <w:rsid w:val="007A039F"/>
    <w:rsid w:val="007A05AA"/>
    <w:rsid w:val="007A078D"/>
    <w:rsid w:val="007A0815"/>
    <w:rsid w:val="007A08B0"/>
    <w:rsid w:val="007A0BE3"/>
    <w:rsid w:val="007A1400"/>
    <w:rsid w:val="007A1462"/>
    <w:rsid w:val="007A1B6E"/>
    <w:rsid w:val="007A1CFB"/>
    <w:rsid w:val="007A1FAB"/>
    <w:rsid w:val="007A258F"/>
    <w:rsid w:val="007A2EA2"/>
    <w:rsid w:val="007A366C"/>
    <w:rsid w:val="007A38A7"/>
    <w:rsid w:val="007A3A9B"/>
    <w:rsid w:val="007A406D"/>
    <w:rsid w:val="007A434C"/>
    <w:rsid w:val="007A48EF"/>
    <w:rsid w:val="007A4A36"/>
    <w:rsid w:val="007A4F68"/>
    <w:rsid w:val="007A50C6"/>
    <w:rsid w:val="007A5814"/>
    <w:rsid w:val="007A5F4F"/>
    <w:rsid w:val="007A62B0"/>
    <w:rsid w:val="007A63F8"/>
    <w:rsid w:val="007A6716"/>
    <w:rsid w:val="007A6EAF"/>
    <w:rsid w:val="007A702E"/>
    <w:rsid w:val="007A714D"/>
    <w:rsid w:val="007A731C"/>
    <w:rsid w:val="007A7634"/>
    <w:rsid w:val="007A7A48"/>
    <w:rsid w:val="007A7B78"/>
    <w:rsid w:val="007A7F60"/>
    <w:rsid w:val="007B0112"/>
    <w:rsid w:val="007B032E"/>
    <w:rsid w:val="007B03AF"/>
    <w:rsid w:val="007B067E"/>
    <w:rsid w:val="007B0905"/>
    <w:rsid w:val="007B0A63"/>
    <w:rsid w:val="007B0C3C"/>
    <w:rsid w:val="007B110F"/>
    <w:rsid w:val="007B1945"/>
    <w:rsid w:val="007B1B07"/>
    <w:rsid w:val="007B1CF4"/>
    <w:rsid w:val="007B267C"/>
    <w:rsid w:val="007B2E4C"/>
    <w:rsid w:val="007B3757"/>
    <w:rsid w:val="007B37CA"/>
    <w:rsid w:val="007B39B7"/>
    <w:rsid w:val="007B3AA4"/>
    <w:rsid w:val="007B3B7B"/>
    <w:rsid w:val="007B439E"/>
    <w:rsid w:val="007B4ACD"/>
    <w:rsid w:val="007B5239"/>
    <w:rsid w:val="007B5400"/>
    <w:rsid w:val="007B55DC"/>
    <w:rsid w:val="007B5A90"/>
    <w:rsid w:val="007B5B86"/>
    <w:rsid w:val="007B5DB9"/>
    <w:rsid w:val="007B62E5"/>
    <w:rsid w:val="007B63C8"/>
    <w:rsid w:val="007B6943"/>
    <w:rsid w:val="007B6946"/>
    <w:rsid w:val="007B6B8F"/>
    <w:rsid w:val="007B6E3E"/>
    <w:rsid w:val="007B7033"/>
    <w:rsid w:val="007B70E4"/>
    <w:rsid w:val="007B7517"/>
    <w:rsid w:val="007B7CBD"/>
    <w:rsid w:val="007C00A6"/>
    <w:rsid w:val="007C02CA"/>
    <w:rsid w:val="007C0528"/>
    <w:rsid w:val="007C0C25"/>
    <w:rsid w:val="007C0CC9"/>
    <w:rsid w:val="007C117D"/>
    <w:rsid w:val="007C1464"/>
    <w:rsid w:val="007C14F1"/>
    <w:rsid w:val="007C1949"/>
    <w:rsid w:val="007C1AA0"/>
    <w:rsid w:val="007C205E"/>
    <w:rsid w:val="007C2345"/>
    <w:rsid w:val="007C23F3"/>
    <w:rsid w:val="007C27F6"/>
    <w:rsid w:val="007C2B44"/>
    <w:rsid w:val="007C305D"/>
    <w:rsid w:val="007C3397"/>
    <w:rsid w:val="007C370D"/>
    <w:rsid w:val="007C37AC"/>
    <w:rsid w:val="007C3BD3"/>
    <w:rsid w:val="007C3D8E"/>
    <w:rsid w:val="007C4103"/>
    <w:rsid w:val="007C43B3"/>
    <w:rsid w:val="007C4407"/>
    <w:rsid w:val="007C4542"/>
    <w:rsid w:val="007C4986"/>
    <w:rsid w:val="007C4BAE"/>
    <w:rsid w:val="007C5199"/>
    <w:rsid w:val="007C51FA"/>
    <w:rsid w:val="007C53F5"/>
    <w:rsid w:val="007C5A0C"/>
    <w:rsid w:val="007C5C31"/>
    <w:rsid w:val="007C67BE"/>
    <w:rsid w:val="007C6884"/>
    <w:rsid w:val="007C7C1C"/>
    <w:rsid w:val="007D002C"/>
    <w:rsid w:val="007D029C"/>
    <w:rsid w:val="007D0302"/>
    <w:rsid w:val="007D0722"/>
    <w:rsid w:val="007D086B"/>
    <w:rsid w:val="007D09F8"/>
    <w:rsid w:val="007D12A9"/>
    <w:rsid w:val="007D1B48"/>
    <w:rsid w:val="007D2087"/>
    <w:rsid w:val="007D2359"/>
    <w:rsid w:val="007D31B1"/>
    <w:rsid w:val="007D3579"/>
    <w:rsid w:val="007D3C69"/>
    <w:rsid w:val="007D3CAE"/>
    <w:rsid w:val="007D3D5E"/>
    <w:rsid w:val="007D41DD"/>
    <w:rsid w:val="007D488E"/>
    <w:rsid w:val="007D4BDC"/>
    <w:rsid w:val="007D4DFF"/>
    <w:rsid w:val="007D528E"/>
    <w:rsid w:val="007D5745"/>
    <w:rsid w:val="007D5ABA"/>
    <w:rsid w:val="007D5B45"/>
    <w:rsid w:val="007D6284"/>
    <w:rsid w:val="007D6592"/>
    <w:rsid w:val="007D667B"/>
    <w:rsid w:val="007D67BA"/>
    <w:rsid w:val="007D713D"/>
    <w:rsid w:val="007D7643"/>
    <w:rsid w:val="007D7F8B"/>
    <w:rsid w:val="007E0DFE"/>
    <w:rsid w:val="007E0FEE"/>
    <w:rsid w:val="007E13B5"/>
    <w:rsid w:val="007E181F"/>
    <w:rsid w:val="007E1953"/>
    <w:rsid w:val="007E1A43"/>
    <w:rsid w:val="007E1A62"/>
    <w:rsid w:val="007E1E8C"/>
    <w:rsid w:val="007E23A4"/>
    <w:rsid w:val="007E240C"/>
    <w:rsid w:val="007E370D"/>
    <w:rsid w:val="007E37A6"/>
    <w:rsid w:val="007E3BA3"/>
    <w:rsid w:val="007E446C"/>
    <w:rsid w:val="007E4692"/>
    <w:rsid w:val="007E4AC7"/>
    <w:rsid w:val="007E4BA2"/>
    <w:rsid w:val="007E4C21"/>
    <w:rsid w:val="007E4C28"/>
    <w:rsid w:val="007E51A5"/>
    <w:rsid w:val="007E5791"/>
    <w:rsid w:val="007E6228"/>
    <w:rsid w:val="007E688B"/>
    <w:rsid w:val="007E738C"/>
    <w:rsid w:val="007E7BB5"/>
    <w:rsid w:val="007E7C5C"/>
    <w:rsid w:val="007E7FD5"/>
    <w:rsid w:val="007F08D2"/>
    <w:rsid w:val="007F0CD9"/>
    <w:rsid w:val="007F10B4"/>
    <w:rsid w:val="007F14ED"/>
    <w:rsid w:val="007F19D0"/>
    <w:rsid w:val="007F1DAE"/>
    <w:rsid w:val="007F2017"/>
    <w:rsid w:val="007F21B8"/>
    <w:rsid w:val="007F2681"/>
    <w:rsid w:val="007F2AB1"/>
    <w:rsid w:val="007F2C39"/>
    <w:rsid w:val="007F2C83"/>
    <w:rsid w:val="007F2D36"/>
    <w:rsid w:val="007F2D46"/>
    <w:rsid w:val="007F305F"/>
    <w:rsid w:val="007F307C"/>
    <w:rsid w:val="007F330E"/>
    <w:rsid w:val="007F363B"/>
    <w:rsid w:val="007F37A6"/>
    <w:rsid w:val="007F3B6A"/>
    <w:rsid w:val="007F3D48"/>
    <w:rsid w:val="007F41F8"/>
    <w:rsid w:val="007F49A3"/>
    <w:rsid w:val="007F49BF"/>
    <w:rsid w:val="007F4C97"/>
    <w:rsid w:val="007F4F4F"/>
    <w:rsid w:val="007F56CF"/>
    <w:rsid w:val="007F57A2"/>
    <w:rsid w:val="007F5951"/>
    <w:rsid w:val="007F5BC8"/>
    <w:rsid w:val="007F5D12"/>
    <w:rsid w:val="007F5E62"/>
    <w:rsid w:val="007F5E7D"/>
    <w:rsid w:val="007F5EA7"/>
    <w:rsid w:val="007F5F5C"/>
    <w:rsid w:val="007F6016"/>
    <w:rsid w:val="007F60DC"/>
    <w:rsid w:val="007F6348"/>
    <w:rsid w:val="007F6D33"/>
    <w:rsid w:val="007F7024"/>
    <w:rsid w:val="007F71E8"/>
    <w:rsid w:val="007F726C"/>
    <w:rsid w:val="007F7359"/>
    <w:rsid w:val="007F746B"/>
    <w:rsid w:val="007F7554"/>
    <w:rsid w:val="007F76CE"/>
    <w:rsid w:val="007F770C"/>
    <w:rsid w:val="007F7B8A"/>
    <w:rsid w:val="00800279"/>
    <w:rsid w:val="00800340"/>
    <w:rsid w:val="0080043D"/>
    <w:rsid w:val="008008D9"/>
    <w:rsid w:val="0080100A"/>
    <w:rsid w:val="008016DD"/>
    <w:rsid w:val="008018AC"/>
    <w:rsid w:val="00802C2E"/>
    <w:rsid w:val="00802C3C"/>
    <w:rsid w:val="00802F8A"/>
    <w:rsid w:val="00803092"/>
    <w:rsid w:val="008034F6"/>
    <w:rsid w:val="00803892"/>
    <w:rsid w:val="008038D7"/>
    <w:rsid w:val="00803A9D"/>
    <w:rsid w:val="00803DBD"/>
    <w:rsid w:val="00803E86"/>
    <w:rsid w:val="00804553"/>
    <w:rsid w:val="008047B0"/>
    <w:rsid w:val="00804A5C"/>
    <w:rsid w:val="00804A9F"/>
    <w:rsid w:val="00805131"/>
    <w:rsid w:val="00805F93"/>
    <w:rsid w:val="00806034"/>
    <w:rsid w:val="00806249"/>
    <w:rsid w:val="008063A2"/>
    <w:rsid w:val="008063BB"/>
    <w:rsid w:val="0080646B"/>
    <w:rsid w:val="008066B3"/>
    <w:rsid w:val="008075EC"/>
    <w:rsid w:val="00807FE7"/>
    <w:rsid w:val="00810194"/>
    <w:rsid w:val="00810887"/>
    <w:rsid w:val="00810B6D"/>
    <w:rsid w:val="00811406"/>
    <w:rsid w:val="008116D8"/>
    <w:rsid w:val="00812A2B"/>
    <w:rsid w:val="00812A74"/>
    <w:rsid w:val="00812C7B"/>
    <w:rsid w:val="008137FB"/>
    <w:rsid w:val="00813820"/>
    <w:rsid w:val="008138FF"/>
    <w:rsid w:val="00813D03"/>
    <w:rsid w:val="00813D10"/>
    <w:rsid w:val="00813E1F"/>
    <w:rsid w:val="00814022"/>
    <w:rsid w:val="0081473D"/>
    <w:rsid w:val="008148A3"/>
    <w:rsid w:val="00814A1D"/>
    <w:rsid w:val="008150BE"/>
    <w:rsid w:val="008152FD"/>
    <w:rsid w:val="0081553B"/>
    <w:rsid w:val="00815F19"/>
    <w:rsid w:val="00815F2D"/>
    <w:rsid w:val="00815F5C"/>
    <w:rsid w:val="00816376"/>
    <w:rsid w:val="00816537"/>
    <w:rsid w:val="008165B7"/>
    <w:rsid w:val="00816B0C"/>
    <w:rsid w:val="00816E59"/>
    <w:rsid w:val="00817267"/>
    <w:rsid w:val="00817C90"/>
    <w:rsid w:val="00817CA7"/>
    <w:rsid w:val="00817E4A"/>
    <w:rsid w:val="00817FE6"/>
    <w:rsid w:val="0082038F"/>
    <w:rsid w:val="00820455"/>
    <w:rsid w:val="008208C5"/>
    <w:rsid w:val="00820FE6"/>
    <w:rsid w:val="0082179A"/>
    <w:rsid w:val="00821876"/>
    <w:rsid w:val="00822281"/>
    <w:rsid w:val="00822564"/>
    <w:rsid w:val="0082270B"/>
    <w:rsid w:val="0082277B"/>
    <w:rsid w:val="00822BDF"/>
    <w:rsid w:val="008230C7"/>
    <w:rsid w:val="008232B7"/>
    <w:rsid w:val="00823667"/>
    <w:rsid w:val="008236D1"/>
    <w:rsid w:val="00823949"/>
    <w:rsid w:val="00823A0D"/>
    <w:rsid w:val="00823D94"/>
    <w:rsid w:val="008244F3"/>
    <w:rsid w:val="00824891"/>
    <w:rsid w:val="00824B74"/>
    <w:rsid w:val="00824C84"/>
    <w:rsid w:val="008251D2"/>
    <w:rsid w:val="00825298"/>
    <w:rsid w:val="00825B21"/>
    <w:rsid w:val="00826367"/>
    <w:rsid w:val="008265F8"/>
    <w:rsid w:val="00826674"/>
    <w:rsid w:val="00826D3A"/>
    <w:rsid w:val="00826E9A"/>
    <w:rsid w:val="00826EFF"/>
    <w:rsid w:val="008273FF"/>
    <w:rsid w:val="00827512"/>
    <w:rsid w:val="00827918"/>
    <w:rsid w:val="00827A83"/>
    <w:rsid w:val="00827C7E"/>
    <w:rsid w:val="008307D0"/>
    <w:rsid w:val="00830DBC"/>
    <w:rsid w:val="008310E1"/>
    <w:rsid w:val="0083117E"/>
    <w:rsid w:val="008314F2"/>
    <w:rsid w:val="0083155D"/>
    <w:rsid w:val="008319D5"/>
    <w:rsid w:val="00831AE4"/>
    <w:rsid w:val="0083284C"/>
    <w:rsid w:val="00832E00"/>
    <w:rsid w:val="008338DA"/>
    <w:rsid w:val="008339BB"/>
    <w:rsid w:val="008345D9"/>
    <w:rsid w:val="008346BD"/>
    <w:rsid w:val="00834860"/>
    <w:rsid w:val="00834A79"/>
    <w:rsid w:val="0083514B"/>
    <w:rsid w:val="00835759"/>
    <w:rsid w:val="00835843"/>
    <w:rsid w:val="008360B4"/>
    <w:rsid w:val="008360EC"/>
    <w:rsid w:val="0083611E"/>
    <w:rsid w:val="008361E8"/>
    <w:rsid w:val="0083635C"/>
    <w:rsid w:val="0083683A"/>
    <w:rsid w:val="00836B36"/>
    <w:rsid w:val="00836D02"/>
    <w:rsid w:val="00837337"/>
    <w:rsid w:val="008374B9"/>
    <w:rsid w:val="00837D64"/>
    <w:rsid w:val="0084025E"/>
    <w:rsid w:val="00840934"/>
    <w:rsid w:val="00840C18"/>
    <w:rsid w:val="0084107C"/>
    <w:rsid w:val="008411CF"/>
    <w:rsid w:val="008419CB"/>
    <w:rsid w:val="008429BA"/>
    <w:rsid w:val="00842A14"/>
    <w:rsid w:val="00842CB3"/>
    <w:rsid w:val="00842FE6"/>
    <w:rsid w:val="008432DE"/>
    <w:rsid w:val="0084356F"/>
    <w:rsid w:val="00843BCF"/>
    <w:rsid w:val="00844083"/>
    <w:rsid w:val="00844151"/>
    <w:rsid w:val="008442F3"/>
    <w:rsid w:val="0084441C"/>
    <w:rsid w:val="00844433"/>
    <w:rsid w:val="008444FA"/>
    <w:rsid w:val="008446FE"/>
    <w:rsid w:val="00844826"/>
    <w:rsid w:val="00844A68"/>
    <w:rsid w:val="00844B6A"/>
    <w:rsid w:val="00844B6C"/>
    <w:rsid w:val="00845002"/>
    <w:rsid w:val="008450F2"/>
    <w:rsid w:val="0084528A"/>
    <w:rsid w:val="008454A2"/>
    <w:rsid w:val="00845740"/>
    <w:rsid w:val="00846137"/>
    <w:rsid w:val="00846460"/>
    <w:rsid w:val="00846C2E"/>
    <w:rsid w:val="00846D99"/>
    <w:rsid w:val="00847101"/>
    <w:rsid w:val="00847290"/>
    <w:rsid w:val="00850127"/>
    <w:rsid w:val="00851244"/>
    <w:rsid w:val="00851A1D"/>
    <w:rsid w:val="00851FDC"/>
    <w:rsid w:val="00852435"/>
    <w:rsid w:val="008528BE"/>
    <w:rsid w:val="00852CAC"/>
    <w:rsid w:val="008537AB"/>
    <w:rsid w:val="00853881"/>
    <w:rsid w:val="008539B7"/>
    <w:rsid w:val="00853A81"/>
    <w:rsid w:val="00854646"/>
    <w:rsid w:val="00854A17"/>
    <w:rsid w:val="00854DEB"/>
    <w:rsid w:val="00854E94"/>
    <w:rsid w:val="00854EEE"/>
    <w:rsid w:val="00854FED"/>
    <w:rsid w:val="00855261"/>
    <w:rsid w:val="008553C2"/>
    <w:rsid w:val="008555D3"/>
    <w:rsid w:val="008555E0"/>
    <w:rsid w:val="00856DBC"/>
    <w:rsid w:val="008572CA"/>
    <w:rsid w:val="00857886"/>
    <w:rsid w:val="0085798D"/>
    <w:rsid w:val="00857EB9"/>
    <w:rsid w:val="00860574"/>
    <w:rsid w:val="008607E7"/>
    <w:rsid w:val="0086089C"/>
    <w:rsid w:val="00860E4F"/>
    <w:rsid w:val="00861253"/>
    <w:rsid w:val="008612B5"/>
    <w:rsid w:val="00861609"/>
    <w:rsid w:val="0086202C"/>
    <w:rsid w:val="008623F8"/>
    <w:rsid w:val="0086248E"/>
    <w:rsid w:val="00863392"/>
    <w:rsid w:val="0086419A"/>
    <w:rsid w:val="008647CB"/>
    <w:rsid w:val="008647D3"/>
    <w:rsid w:val="00864FB7"/>
    <w:rsid w:val="008653B4"/>
    <w:rsid w:val="008655DE"/>
    <w:rsid w:val="00865B8C"/>
    <w:rsid w:val="00865D4B"/>
    <w:rsid w:val="00865D60"/>
    <w:rsid w:val="0086698C"/>
    <w:rsid w:val="008669E1"/>
    <w:rsid w:val="00867AD5"/>
    <w:rsid w:val="00867BF7"/>
    <w:rsid w:val="00867C3A"/>
    <w:rsid w:val="0087023B"/>
    <w:rsid w:val="00870A2E"/>
    <w:rsid w:val="00870FED"/>
    <w:rsid w:val="008719E2"/>
    <w:rsid w:val="00871E6D"/>
    <w:rsid w:val="00871EF8"/>
    <w:rsid w:val="0087209D"/>
    <w:rsid w:val="008726E9"/>
    <w:rsid w:val="00872800"/>
    <w:rsid w:val="008729CF"/>
    <w:rsid w:val="00872CA9"/>
    <w:rsid w:val="00873171"/>
    <w:rsid w:val="0087391F"/>
    <w:rsid w:val="00873ADA"/>
    <w:rsid w:val="00874153"/>
    <w:rsid w:val="0087423F"/>
    <w:rsid w:val="00874531"/>
    <w:rsid w:val="00874777"/>
    <w:rsid w:val="00874907"/>
    <w:rsid w:val="008749CB"/>
    <w:rsid w:val="00874AB7"/>
    <w:rsid w:val="00874CC6"/>
    <w:rsid w:val="00875027"/>
    <w:rsid w:val="00875842"/>
    <w:rsid w:val="00875E83"/>
    <w:rsid w:val="0087637B"/>
    <w:rsid w:val="00876537"/>
    <w:rsid w:val="0087751F"/>
    <w:rsid w:val="0087757F"/>
    <w:rsid w:val="00877DF3"/>
    <w:rsid w:val="0088037E"/>
    <w:rsid w:val="00880652"/>
    <w:rsid w:val="00880BF6"/>
    <w:rsid w:val="008814C8"/>
    <w:rsid w:val="00882754"/>
    <w:rsid w:val="00882D33"/>
    <w:rsid w:val="00883539"/>
    <w:rsid w:val="00883597"/>
    <w:rsid w:val="00883670"/>
    <w:rsid w:val="008837CE"/>
    <w:rsid w:val="00883875"/>
    <w:rsid w:val="008839DC"/>
    <w:rsid w:val="00883C99"/>
    <w:rsid w:val="00883ED4"/>
    <w:rsid w:val="00884158"/>
    <w:rsid w:val="008846E3"/>
    <w:rsid w:val="008847F4"/>
    <w:rsid w:val="008848E0"/>
    <w:rsid w:val="00884B72"/>
    <w:rsid w:val="00884C9E"/>
    <w:rsid w:val="00885439"/>
    <w:rsid w:val="008854C0"/>
    <w:rsid w:val="0088557B"/>
    <w:rsid w:val="0088563B"/>
    <w:rsid w:val="00885736"/>
    <w:rsid w:val="00885ED0"/>
    <w:rsid w:val="00886380"/>
    <w:rsid w:val="00886589"/>
    <w:rsid w:val="0088676E"/>
    <w:rsid w:val="0088696E"/>
    <w:rsid w:val="008869A6"/>
    <w:rsid w:val="00886E47"/>
    <w:rsid w:val="00887054"/>
    <w:rsid w:val="00887756"/>
    <w:rsid w:val="00887841"/>
    <w:rsid w:val="00887CD5"/>
    <w:rsid w:val="00887D76"/>
    <w:rsid w:val="00890122"/>
    <w:rsid w:val="00890522"/>
    <w:rsid w:val="008906F7"/>
    <w:rsid w:val="00890778"/>
    <w:rsid w:val="00891449"/>
    <w:rsid w:val="008919DA"/>
    <w:rsid w:val="00891D5F"/>
    <w:rsid w:val="0089239C"/>
    <w:rsid w:val="008925F0"/>
    <w:rsid w:val="00892CC2"/>
    <w:rsid w:val="00893318"/>
    <w:rsid w:val="00893AD6"/>
    <w:rsid w:val="00893CC1"/>
    <w:rsid w:val="00893E6F"/>
    <w:rsid w:val="00894500"/>
    <w:rsid w:val="008947C0"/>
    <w:rsid w:val="00894B78"/>
    <w:rsid w:val="00895550"/>
    <w:rsid w:val="00895AC1"/>
    <w:rsid w:val="00895BE7"/>
    <w:rsid w:val="00895C3E"/>
    <w:rsid w:val="008961B2"/>
    <w:rsid w:val="008965A7"/>
    <w:rsid w:val="00896A91"/>
    <w:rsid w:val="00896B0E"/>
    <w:rsid w:val="00896E37"/>
    <w:rsid w:val="00897266"/>
    <w:rsid w:val="008A00A1"/>
    <w:rsid w:val="008A012D"/>
    <w:rsid w:val="008A0509"/>
    <w:rsid w:val="008A099E"/>
    <w:rsid w:val="008A1015"/>
    <w:rsid w:val="008A179F"/>
    <w:rsid w:val="008A2353"/>
    <w:rsid w:val="008A2448"/>
    <w:rsid w:val="008A2636"/>
    <w:rsid w:val="008A2A1B"/>
    <w:rsid w:val="008A2D6A"/>
    <w:rsid w:val="008A3DB3"/>
    <w:rsid w:val="008A3F08"/>
    <w:rsid w:val="008A439E"/>
    <w:rsid w:val="008A4503"/>
    <w:rsid w:val="008A4A0E"/>
    <w:rsid w:val="008A4F22"/>
    <w:rsid w:val="008A5B68"/>
    <w:rsid w:val="008A62FF"/>
    <w:rsid w:val="008A65FA"/>
    <w:rsid w:val="008A693C"/>
    <w:rsid w:val="008A6E8B"/>
    <w:rsid w:val="008A7069"/>
    <w:rsid w:val="008A742E"/>
    <w:rsid w:val="008A7562"/>
    <w:rsid w:val="008A775D"/>
    <w:rsid w:val="008A77BC"/>
    <w:rsid w:val="008A79D2"/>
    <w:rsid w:val="008A7EF5"/>
    <w:rsid w:val="008B02E7"/>
    <w:rsid w:val="008B0864"/>
    <w:rsid w:val="008B0AC7"/>
    <w:rsid w:val="008B0AF8"/>
    <w:rsid w:val="008B0EE3"/>
    <w:rsid w:val="008B0F8E"/>
    <w:rsid w:val="008B12AB"/>
    <w:rsid w:val="008B13EC"/>
    <w:rsid w:val="008B174C"/>
    <w:rsid w:val="008B18E6"/>
    <w:rsid w:val="008B1E1A"/>
    <w:rsid w:val="008B22CB"/>
    <w:rsid w:val="008B25E7"/>
    <w:rsid w:val="008B268A"/>
    <w:rsid w:val="008B339D"/>
    <w:rsid w:val="008B3959"/>
    <w:rsid w:val="008B3EC2"/>
    <w:rsid w:val="008B4736"/>
    <w:rsid w:val="008B49E6"/>
    <w:rsid w:val="008B4A0D"/>
    <w:rsid w:val="008B4FE4"/>
    <w:rsid w:val="008B52E0"/>
    <w:rsid w:val="008B5387"/>
    <w:rsid w:val="008B5529"/>
    <w:rsid w:val="008B556E"/>
    <w:rsid w:val="008B5C79"/>
    <w:rsid w:val="008B6044"/>
    <w:rsid w:val="008B6793"/>
    <w:rsid w:val="008B698A"/>
    <w:rsid w:val="008B6A85"/>
    <w:rsid w:val="008B731F"/>
    <w:rsid w:val="008B73BB"/>
    <w:rsid w:val="008B7CA8"/>
    <w:rsid w:val="008C0021"/>
    <w:rsid w:val="008C00A8"/>
    <w:rsid w:val="008C03AE"/>
    <w:rsid w:val="008C05D3"/>
    <w:rsid w:val="008C0752"/>
    <w:rsid w:val="008C0769"/>
    <w:rsid w:val="008C09BF"/>
    <w:rsid w:val="008C0B97"/>
    <w:rsid w:val="008C10AC"/>
    <w:rsid w:val="008C1281"/>
    <w:rsid w:val="008C1741"/>
    <w:rsid w:val="008C1A34"/>
    <w:rsid w:val="008C1DCD"/>
    <w:rsid w:val="008C23AB"/>
    <w:rsid w:val="008C2745"/>
    <w:rsid w:val="008C2B0C"/>
    <w:rsid w:val="008C2E0F"/>
    <w:rsid w:val="008C2EE5"/>
    <w:rsid w:val="008C3090"/>
    <w:rsid w:val="008C34CE"/>
    <w:rsid w:val="008C420D"/>
    <w:rsid w:val="008C42BC"/>
    <w:rsid w:val="008C4325"/>
    <w:rsid w:val="008C4527"/>
    <w:rsid w:val="008C4ED7"/>
    <w:rsid w:val="008C549F"/>
    <w:rsid w:val="008C5BD9"/>
    <w:rsid w:val="008C6247"/>
    <w:rsid w:val="008C6FDD"/>
    <w:rsid w:val="008C7102"/>
    <w:rsid w:val="008C7341"/>
    <w:rsid w:val="008C7413"/>
    <w:rsid w:val="008C76FE"/>
    <w:rsid w:val="008C7845"/>
    <w:rsid w:val="008C7CE1"/>
    <w:rsid w:val="008D00C7"/>
    <w:rsid w:val="008D06FB"/>
    <w:rsid w:val="008D090B"/>
    <w:rsid w:val="008D0A67"/>
    <w:rsid w:val="008D0AC8"/>
    <w:rsid w:val="008D16B7"/>
    <w:rsid w:val="008D1943"/>
    <w:rsid w:val="008D1A1A"/>
    <w:rsid w:val="008D2051"/>
    <w:rsid w:val="008D2251"/>
    <w:rsid w:val="008D24C6"/>
    <w:rsid w:val="008D27D5"/>
    <w:rsid w:val="008D2913"/>
    <w:rsid w:val="008D2FCA"/>
    <w:rsid w:val="008D3229"/>
    <w:rsid w:val="008D3A16"/>
    <w:rsid w:val="008D3E11"/>
    <w:rsid w:val="008D4286"/>
    <w:rsid w:val="008D468A"/>
    <w:rsid w:val="008D49EB"/>
    <w:rsid w:val="008D4A9C"/>
    <w:rsid w:val="008D53DC"/>
    <w:rsid w:val="008D61FC"/>
    <w:rsid w:val="008D6255"/>
    <w:rsid w:val="008D6336"/>
    <w:rsid w:val="008D71B5"/>
    <w:rsid w:val="008D7223"/>
    <w:rsid w:val="008D768C"/>
    <w:rsid w:val="008D76DF"/>
    <w:rsid w:val="008D7B14"/>
    <w:rsid w:val="008E0195"/>
    <w:rsid w:val="008E11D8"/>
    <w:rsid w:val="008E1376"/>
    <w:rsid w:val="008E1609"/>
    <w:rsid w:val="008E1E15"/>
    <w:rsid w:val="008E20FF"/>
    <w:rsid w:val="008E2315"/>
    <w:rsid w:val="008E2972"/>
    <w:rsid w:val="008E29CE"/>
    <w:rsid w:val="008E2DED"/>
    <w:rsid w:val="008E3FDF"/>
    <w:rsid w:val="008E4047"/>
    <w:rsid w:val="008E43D4"/>
    <w:rsid w:val="008E4A5B"/>
    <w:rsid w:val="008E4A86"/>
    <w:rsid w:val="008E4F12"/>
    <w:rsid w:val="008E4F98"/>
    <w:rsid w:val="008E503C"/>
    <w:rsid w:val="008E50CD"/>
    <w:rsid w:val="008E51ED"/>
    <w:rsid w:val="008E5A8F"/>
    <w:rsid w:val="008E5C05"/>
    <w:rsid w:val="008E5E3E"/>
    <w:rsid w:val="008E5E8F"/>
    <w:rsid w:val="008E63CC"/>
    <w:rsid w:val="008E669D"/>
    <w:rsid w:val="008E6AE6"/>
    <w:rsid w:val="008E7164"/>
    <w:rsid w:val="008E7551"/>
    <w:rsid w:val="008E7E9C"/>
    <w:rsid w:val="008F00E3"/>
    <w:rsid w:val="008F0116"/>
    <w:rsid w:val="008F06C2"/>
    <w:rsid w:val="008F08E8"/>
    <w:rsid w:val="008F091B"/>
    <w:rsid w:val="008F1142"/>
    <w:rsid w:val="008F143D"/>
    <w:rsid w:val="008F1663"/>
    <w:rsid w:val="008F1C1C"/>
    <w:rsid w:val="008F24C4"/>
    <w:rsid w:val="008F314B"/>
    <w:rsid w:val="008F3C32"/>
    <w:rsid w:val="008F41F9"/>
    <w:rsid w:val="008F461E"/>
    <w:rsid w:val="008F4EA4"/>
    <w:rsid w:val="008F5938"/>
    <w:rsid w:val="008F662A"/>
    <w:rsid w:val="008F69D7"/>
    <w:rsid w:val="008F6C58"/>
    <w:rsid w:val="008F74D9"/>
    <w:rsid w:val="008F7586"/>
    <w:rsid w:val="008F7727"/>
    <w:rsid w:val="008F7B3C"/>
    <w:rsid w:val="008F7BFC"/>
    <w:rsid w:val="009003BA"/>
    <w:rsid w:val="00900750"/>
    <w:rsid w:val="00900DC0"/>
    <w:rsid w:val="009011C3"/>
    <w:rsid w:val="0090170D"/>
    <w:rsid w:val="009018E6"/>
    <w:rsid w:val="00901AB6"/>
    <w:rsid w:val="00901F93"/>
    <w:rsid w:val="009023B1"/>
    <w:rsid w:val="009026C7"/>
    <w:rsid w:val="00902A67"/>
    <w:rsid w:val="00902D7F"/>
    <w:rsid w:val="00902E15"/>
    <w:rsid w:val="00903350"/>
    <w:rsid w:val="009034FF"/>
    <w:rsid w:val="00903691"/>
    <w:rsid w:val="00903C36"/>
    <w:rsid w:val="00903F05"/>
    <w:rsid w:val="009046BF"/>
    <w:rsid w:val="00904DA0"/>
    <w:rsid w:val="009051EE"/>
    <w:rsid w:val="00905BED"/>
    <w:rsid w:val="00906050"/>
    <w:rsid w:val="0090613A"/>
    <w:rsid w:val="0090649D"/>
    <w:rsid w:val="00906D22"/>
    <w:rsid w:val="00906D83"/>
    <w:rsid w:val="009075B1"/>
    <w:rsid w:val="009075B2"/>
    <w:rsid w:val="009075F1"/>
    <w:rsid w:val="00907761"/>
    <w:rsid w:val="00907B10"/>
    <w:rsid w:val="00907B9F"/>
    <w:rsid w:val="00907D6A"/>
    <w:rsid w:val="0091007F"/>
    <w:rsid w:val="00910391"/>
    <w:rsid w:val="009107BC"/>
    <w:rsid w:val="009107F0"/>
    <w:rsid w:val="00910934"/>
    <w:rsid w:val="00910A3A"/>
    <w:rsid w:val="0091131A"/>
    <w:rsid w:val="00911348"/>
    <w:rsid w:val="009115C4"/>
    <w:rsid w:val="009118CE"/>
    <w:rsid w:val="009118F0"/>
    <w:rsid w:val="00911955"/>
    <w:rsid w:val="00911B91"/>
    <w:rsid w:val="00912067"/>
    <w:rsid w:val="009123C5"/>
    <w:rsid w:val="009127C9"/>
    <w:rsid w:val="00912E5B"/>
    <w:rsid w:val="009130FB"/>
    <w:rsid w:val="009133D9"/>
    <w:rsid w:val="009136F1"/>
    <w:rsid w:val="0091475B"/>
    <w:rsid w:val="009147DA"/>
    <w:rsid w:val="00914E87"/>
    <w:rsid w:val="0091520D"/>
    <w:rsid w:val="0091545B"/>
    <w:rsid w:val="0091572A"/>
    <w:rsid w:val="00916103"/>
    <w:rsid w:val="009168C8"/>
    <w:rsid w:val="00916CF1"/>
    <w:rsid w:val="00917114"/>
    <w:rsid w:val="0091720A"/>
    <w:rsid w:val="009178D0"/>
    <w:rsid w:val="0092017D"/>
    <w:rsid w:val="0092058D"/>
    <w:rsid w:val="00920809"/>
    <w:rsid w:val="00920B47"/>
    <w:rsid w:val="00920CFA"/>
    <w:rsid w:val="009212FB"/>
    <w:rsid w:val="00921645"/>
    <w:rsid w:val="00921BF2"/>
    <w:rsid w:val="00921CD1"/>
    <w:rsid w:val="00921DEF"/>
    <w:rsid w:val="00921EA9"/>
    <w:rsid w:val="009221B5"/>
    <w:rsid w:val="00922815"/>
    <w:rsid w:val="009232C9"/>
    <w:rsid w:val="00923446"/>
    <w:rsid w:val="00923A9B"/>
    <w:rsid w:val="00923BE1"/>
    <w:rsid w:val="00923C89"/>
    <w:rsid w:val="009249B0"/>
    <w:rsid w:val="00924CB3"/>
    <w:rsid w:val="00924CDE"/>
    <w:rsid w:val="00924D0C"/>
    <w:rsid w:val="00924EEB"/>
    <w:rsid w:val="00924F58"/>
    <w:rsid w:val="00925406"/>
    <w:rsid w:val="009255C5"/>
    <w:rsid w:val="009263B6"/>
    <w:rsid w:val="00926874"/>
    <w:rsid w:val="00926B6D"/>
    <w:rsid w:val="00926EB4"/>
    <w:rsid w:val="00927417"/>
    <w:rsid w:val="00927DC3"/>
    <w:rsid w:val="00927EF6"/>
    <w:rsid w:val="009314E2"/>
    <w:rsid w:val="00931571"/>
    <w:rsid w:val="009322AE"/>
    <w:rsid w:val="009324E3"/>
    <w:rsid w:val="0093277B"/>
    <w:rsid w:val="00932865"/>
    <w:rsid w:val="00932E7E"/>
    <w:rsid w:val="009330F2"/>
    <w:rsid w:val="00933113"/>
    <w:rsid w:val="00933DE4"/>
    <w:rsid w:val="0093417C"/>
    <w:rsid w:val="0093466B"/>
    <w:rsid w:val="009348A3"/>
    <w:rsid w:val="00934A47"/>
    <w:rsid w:val="00934BB4"/>
    <w:rsid w:val="00934D2E"/>
    <w:rsid w:val="00935007"/>
    <w:rsid w:val="00935052"/>
    <w:rsid w:val="0093537A"/>
    <w:rsid w:val="00935AC3"/>
    <w:rsid w:val="00935B30"/>
    <w:rsid w:val="00935E33"/>
    <w:rsid w:val="00935EDA"/>
    <w:rsid w:val="00935EDB"/>
    <w:rsid w:val="00935F0F"/>
    <w:rsid w:val="00936068"/>
    <w:rsid w:val="009367B4"/>
    <w:rsid w:val="00936A5F"/>
    <w:rsid w:val="009371F9"/>
    <w:rsid w:val="009372B0"/>
    <w:rsid w:val="009373A6"/>
    <w:rsid w:val="0093746A"/>
    <w:rsid w:val="009375F5"/>
    <w:rsid w:val="00937D7B"/>
    <w:rsid w:val="00940842"/>
    <w:rsid w:val="009410AE"/>
    <w:rsid w:val="009411B1"/>
    <w:rsid w:val="009417D4"/>
    <w:rsid w:val="009419EB"/>
    <w:rsid w:val="00941CA2"/>
    <w:rsid w:val="00942030"/>
    <w:rsid w:val="00942053"/>
    <w:rsid w:val="00942167"/>
    <w:rsid w:val="009429D5"/>
    <w:rsid w:val="00942E10"/>
    <w:rsid w:val="00942F05"/>
    <w:rsid w:val="009430E0"/>
    <w:rsid w:val="009431AD"/>
    <w:rsid w:val="0094337E"/>
    <w:rsid w:val="00943604"/>
    <w:rsid w:val="00943630"/>
    <w:rsid w:val="00943963"/>
    <w:rsid w:val="00943FE3"/>
    <w:rsid w:val="009444BE"/>
    <w:rsid w:val="00944628"/>
    <w:rsid w:val="00944B17"/>
    <w:rsid w:val="009450DF"/>
    <w:rsid w:val="0094518B"/>
    <w:rsid w:val="009451F5"/>
    <w:rsid w:val="009454EE"/>
    <w:rsid w:val="009457FF"/>
    <w:rsid w:val="009458CA"/>
    <w:rsid w:val="00946272"/>
    <w:rsid w:val="009465F6"/>
    <w:rsid w:val="0094660C"/>
    <w:rsid w:val="00946970"/>
    <w:rsid w:val="00946B70"/>
    <w:rsid w:val="00946CC0"/>
    <w:rsid w:val="009477AE"/>
    <w:rsid w:val="00947A7F"/>
    <w:rsid w:val="00950261"/>
    <w:rsid w:val="00950C08"/>
    <w:rsid w:val="00950E31"/>
    <w:rsid w:val="00950E96"/>
    <w:rsid w:val="00951087"/>
    <w:rsid w:val="00951BD4"/>
    <w:rsid w:val="00952025"/>
    <w:rsid w:val="0095269A"/>
    <w:rsid w:val="00952973"/>
    <w:rsid w:val="00953202"/>
    <w:rsid w:val="009532A3"/>
    <w:rsid w:val="009532CA"/>
    <w:rsid w:val="00953CC0"/>
    <w:rsid w:val="00954018"/>
    <w:rsid w:val="00954F1C"/>
    <w:rsid w:val="00955171"/>
    <w:rsid w:val="009552C2"/>
    <w:rsid w:val="00955A13"/>
    <w:rsid w:val="00955B5F"/>
    <w:rsid w:val="00955D5A"/>
    <w:rsid w:val="00956442"/>
    <w:rsid w:val="00956977"/>
    <w:rsid w:val="00956C81"/>
    <w:rsid w:val="00956FBE"/>
    <w:rsid w:val="009578A8"/>
    <w:rsid w:val="00957C13"/>
    <w:rsid w:val="00957C6C"/>
    <w:rsid w:val="00957C7E"/>
    <w:rsid w:val="00957CFC"/>
    <w:rsid w:val="00957D75"/>
    <w:rsid w:val="00957E5F"/>
    <w:rsid w:val="00957F63"/>
    <w:rsid w:val="0096061F"/>
    <w:rsid w:val="00960A06"/>
    <w:rsid w:val="00960C43"/>
    <w:rsid w:val="00961F98"/>
    <w:rsid w:val="00962A1C"/>
    <w:rsid w:val="00962EBB"/>
    <w:rsid w:val="00962F97"/>
    <w:rsid w:val="009631CB"/>
    <w:rsid w:val="0096338A"/>
    <w:rsid w:val="009636B5"/>
    <w:rsid w:val="00963B41"/>
    <w:rsid w:val="00963C2B"/>
    <w:rsid w:val="00964122"/>
    <w:rsid w:val="00964459"/>
    <w:rsid w:val="0096451A"/>
    <w:rsid w:val="009648A4"/>
    <w:rsid w:val="00964C9A"/>
    <w:rsid w:val="0096519C"/>
    <w:rsid w:val="0096524B"/>
    <w:rsid w:val="00965859"/>
    <w:rsid w:val="00965893"/>
    <w:rsid w:val="00966073"/>
    <w:rsid w:val="00966284"/>
    <w:rsid w:val="009665EE"/>
    <w:rsid w:val="00966B10"/>
    <w:rsid w:val="00966B8D"/>
    <w:rsid w:val="00966C42"/>
    <w:rsid w:val="00966C63"/>
    <w:rsid w:val="00967812"/>
    <w:rsid w:val="009679AB"/>
    <w:rsid w:val="00967B16"/>
    <w:rsid w:val="00967DF7"/>
    <w:rsid w:val="00967E83"/>
    <w:rsid w:val="00968FB7"/>
    <w:rsid w:val="0096ED41"/>
    <w:rsid w:val="00970A2F"/>
    <w:rsid w:val="00970BDA"/>
    <w:rsid w:val="00970E91"/>
    <w:rsid w:val="0097102E"/>
    <w:rsid w:val="009710CF"/>
    <w:rsid w:val="009715DC"/>
    <w:rsid w:val="009715F9"/>
    <w:rsid w:val="00971E3B"/>
    <w:rsid w:val="00971E48"/>
    <w:rsid w:val="0097249C"/>
    <w:rsid w:val="00972CDD"/>
    <w:rsid w:val="00973481"/>
    <w:rsid w:val="00973916"/>
    <w:rsid w:val="00973B9D"/>
    <w:rsid w:val="00973C52"/>
    <w:rsid w:val="00973EA7"/>
    <w:rsid w:val="00973EB5"/>
    <w:rsid w:val="0097460D"/>
    <w:rsid w:val="009751D8"/>
    <w:rsid w:val="009759F7"/>
    <w:rsid w:val="00975A09"/>
    <w:rsid w:val="00976BBF"/>
    <w:rsid w:val="00976D19"/>
    <w:rsid w:val="00976F93"/>
    <w:rsid w:val="009772C6"/>
    <w:rsid w:val="009773DA"/>
    <w:rsid w:val="00977498"/>
    <w:rsid w:val="009774E5"/>
    <w:rsid w:val="009774EC"/>
    <w:rsid w:val="0097767B"/>
    <w:rsid w:val="0097797C"/>
    <w:rsid w:val="009779EE"/>
    <w:rsid w:val="00977E9D"/>
    <w:rsid w:val="00980186"/>
    <w:rsid w:val="00980376"/>
    <w:rsid w:val="00980490"/>
    <w:rsid w:val="009806A1"/>
    <w:rsid w:val="0098090D"/>
    <w:rsid w:val="0098138E"/>
    <w:rsid w:val="00981416"/>
    <w:rsid w:val="0098145C"/>
    <w:rsid w:val="009819E6"/>
    <w:rsid w:val="00981C2C"/>
    <w:rsid w:val="009820C0"/>
    <w:rsid w:val="00982A79"/>
    <w:rsid w:val="00982B8C"/>
    <w:rsid w:val="00982D20"/>
    <w:rsid w:val="009831A6"/>
    <w:rsid w:val="009831DB"/>
    <w:rsid w:val="00983303"/>
    <w:rsid w:val="009837D5"/>
    <w:rsid w:val="00983D20"/>
    <w:rsid w:val="00984A01"/>
    <w:rsid w:val="00985010"/>
    <w:rsid w:val="009855B6"/>
    <w:rsid w:val="0098654B"/>
    <w:rsid w:val="0098655A"/>
    <w:rsid w:val="00986B2E"/>
    <w:rsid w:val="00986DE1"/>
    <w:rsid w:val="00986F34"/>
    <w:rsid w:val="00987278"/>
    <w:rsid w:val="009877EB"/>
    <w:rsid w:val="00987C99"/>
    <w:rsid w:val="00987DFF"/>
    <w:rsid w:val="009901C5"/>
    <w:rsid w:val="00990488"/>
    <w:rsid w:val="00990932"/>
    <w:rsid w:val="00990986"/>
    <w:rsid w:val="00990D9A"/>
    <w:rsid w:val="009919E5"/>
    <w:rsid w:val="009919EA"/>
    <w:rsid w:val="00991A84"/>
    <w:rsid w:val="00991C94"/>
    <w:rsid w:val="009920AF"/>
    <w:rsid w:val="0099269C"/>
    <w:rsid w:val="009927DA"/>
    <w:rsid w:val="00992DDA"/>
    <w:rsid w:val="009938C4"/>
    <w:rsid w:val="00993BAF"/>
    <w:rsid w:val="00994323"/>
    <w:rsid w:val="00994650"/>
    <w:rsid w:val="009949AE"/>
    <w:rsid w:val="00994A0B"/>
    <w:rsid w:val="00994CFF"/>
    <w:rsid w:val="00994D7E"/>
    <w:rsid w:val="00995067"/>
    <w:rsid w:val="00995536"/>
    <w:rsid w:val="00995C3F"/>
    <w:rsid w:val="00995F81"/>
    <w:rsid w:val="00996539"/>
    <w:rsid w:val="0099664C"/>
    <w:rsid w:val="00996795"/>
    <w:rsid w:val="00996A73"/>
    <w:rsid w:val="00996C14"/>
    <w:rsid w:val="00996FD2"/>
    <w:rsid w:val="009973EA"/>
    <w:rsid w:val="0099768F"/>
    <w:rsid w:val="00997B25"/>
    <w:rsid w:val="00997E73"/>
    <w:rsid w:val="009A0708"/>
    <w:rsid w:val="009A07B0"/>
    <w:rsid w:val="009A15D9"/>
    <w:rsid w:val="009A1CBB"/>
    <w:rsid w:val="009A1CD0"/>
    <w:rsid w:val="009A1DA1"/>
    <w:rsid w:val="009A2296"/>
    <w:rsid w:val="009A2764"/>
    <w:rsid w:val="009A27B2"/>
    <w:rsid w:val="009A2A06"/>
    <w:rsid w:val="009A2CD9"/>
    <w:rsid w:val="009A30D9"/>
    <w:rsid w:val="009A384F"/>
    <w:rsid w:val="009A3918"/>
    <w:rsid w:val="009A3D28"/>
    <w:rsid w:val="009A3DF3"/>
    <w:rsid w:val="009A4121"/>
    <w:rsid w:val="009A473D"/>
    <w:rsid w:val="009A5369"/>
    <w:rsid w:val="009A5613"/>
    <w:rsid w:val="009A582F"/>
    <w:rsid w:val="009A5961"/>
    <w:rsid w:val="009A615B"/>
    <w:rsid w:val="009A63E5"/>
    <w:rsid w:val="009A6D2D"/>
    <w:rsid w:val="009A717E"/>
    <w:rsid w:val="009A7559"/>
    <w:rsid w:val="009A7678"/>
    <w:rsid w:val="009A77B6"/>
    <w:rsid w:val="009B096A"/>
    <w:rsid w:val="009B0EC9"/>
    <w:rsid w:val="009B1170"/>
    <w:rsid w:val="009B132E"/>
    <w:rsid w:val="009B1725"/>
    <w:rsid w:val="009B1853"/>
    <w:rsid w:val="009B2988"/>
    <w:rsid w:val="009B2ACB"/>
    <w:rsid w:val="009B3113"/>
    <w:rsid w:val="009B34DE"/>
    <w:rsid w:val="009B3714"/>
    <w:rsid w:val="009B3762"/>
    <w:rsid w:val="009B3DB6"/>
    <w:rsid w:val="009B3EE1"/>
    <w:rsid w:val="009B3FD5"/>
    <w:rsid w:val="009B4149"/>
    <w:rsid w:val="009B44CC"/>
    <w:rsid w:val="009B46E1"/>
    <w:rsid w:val="009B4770"/>
    <w:rsid w:val="009B5049"/>
    <w:rsid w:val="009B519D"/>
    <w:rsid w:val="009B5277"/>
    <w:rsid w:val="009B53FE"/>
    <w:rsid w:val="009B61E6"/>
    <w:rsid w:val="009B6639"/>
    <w:rsid w:val="009B6737"/>
    <w:rsid w:val="009B6D78"/>
    <w:rsid w:val="009B72D8"/>
    <w:rsid w:val="009B7486"/>
    <w:rsid w:val="009B7BCF"/>
    <w:rsid w:val="009C045C"/>
    <w:rsid w:val="009C092D"/>
    <w:rsid w:val="009C09BE"/>
    <w:rsid w:val="009C0B9B"/>
    <w:rsid w:val="009C0CD2"/>
    <w:rsid w:val="009C10E7"/>
    <w:rsid w:val="009C12E5"/>
    <w:rsid w:val="009C1713"/>
    <w:rsid w:val="009C1C4D"/>
    <w:rsid w:val="009C1F7A"/>
    <w:rsid w:val="009C1FD8"/>
    <w:rsid w:val="009C23AD"/>
    <w:rsid w:val="009C37CF"/>
    <w:rsid w:val="009C3D33"/>
    <w:rsid w:val="009C3F5B"/>
    <w:rsid w:val="009C4206"/>
    <w:rsid w:val="009C42D6"/>
    <w:rsid w:val="009C465A"/>
    <w:rsid w:val="009C4822"/>
    <w:rsid w:val="009C5157"/>
    <w:rsid w:val="009C517D"/>
    <w:rsid w:val="009C56B6"/>
    <w:rsid w:val="009C56EC"/>
    <w:rsid w:val="009C5723"/>
    <w:rsid w:val="009C5798"/>
    <w:rsid w:val="009C59F7"/>
    <w:rsid w:val="009C5B78"/>
    <w:rsid w:val="009C648F"/>
    <w:rsid w:val="009C6793"/>
    <w:rsid w:val="009C6994"/>
    <w:rsid w:val="009C6BEC"/>
    <w:rsid w:val="009C6DBB"/>
    <w:rsid w:val="009C6E5F"/>
    <w:rsid w:val="009C79FB"/>
    <w:rsid w:val="009D0039"/>
    <w:rsid w:val="009D049D"/>
    <w:rsid w:val="009D076A"/>
    <w:rsid w:val="009D0F12"/>
    <w:rsid w:val="009D1604"/>
    <w:rsid w:val="009D186C"/>
    <w:rsid w:val="009D18EE"/>
    <w:rsid w:val="009D1A03"/>
    <w:rsid w:val="009D1AF9"/>
    <w:rsid w:val="009D1BD5"/>
    <w:rsid w:val="009D1C75"/>
    <w:rsid w:val="009D252E"/>
    <w:rsid w:val="009D2C20"/>
    <w:rsid w:val="009D315A"/>
    <w:rsid w:val="009D3C88"/>
    <w:rsid w:val="009D3E7E"/>
    <w:rsid w:val="009D4088"/>
    <w:rsid w:val="009D422A"/>
    <w:rsid w:val="009D43D9"/>
    <w:rsid w:val="009D4C53"/>
    <w:rsid w:val="009D4D27"/>
    <w:rsid w:val="009D5607"/>
    <w:rsid w:val="009D56A6"/>
    <w:rsid w:val="009D58D5"/>
    <w:rsid w:val="009D59F9"/>
    <w:rsid w:val="009D5BD1"/>
    <w:rsid w:val="009D5BE0"/>
    <w:rsid w:val="009D5DD9"/>
    <w:rsid w:val="009D5EEB"/>
    <w:rsid w:val="009D644C"/>
    <w:rsid w:val="009D6C4D"/>
    <w:rsid w:val="009D6CFC"/>
    <w:rsid w:val="009D757D"/>
    <w:rsid w:val="009D7AE1"/>
    <w:rsid w:val="009D7AF0"/>
    <w:rsid w:val="009D7C78"/>
    <w:rsid w:val="009D7D4D"/>
    <w:rsid w:val="009D7E8E"/>
    <w:rsid w:val="009D7F99"/>
    <w:rsid w:val="009E046F"/>
    <w:rsid w:val="009E0628"/>
    <w:rsid w:val="009E076B"/>
    <w:rsid w:val="009E09B0"/>
    <w:rsid w:val="009E0B69"/>
    <w:rsid w:val="009E0B8B"/>
    <w:rsid w:val="009E1F88"/>
    <w:rsid w:val="009E2B39"/>
    <w:rsid w:val="009E2C72"/>
    <w:rsid w:val="009E2D81"/>
    <w:rsid w:val="009E3B77"/>
    <w:rsid w:val="009E3CEC"/>
    <w:rsid w:val="009E3F6E"/>
    <w:rsid w:val="009E3F89"/>
    <w:rsid w:val="009E3FF2"/>
    <w:rsid w:val="009E4266"/>
    <w:rsid w:val="009E47AD"/>
    <w:rsid w:val="009E4D20"/>
    <w:rsid w:val="009E4D98"/>
    <w:rsid w:val="009E4DAC"/>
    <w:rsid w:val="009E4E7C"/>
    <w:rsid w:val="009E515F"/>
    <w:rsid w:val="009E51B5"/>
    <w:rsid w:val="009E5852"/>
    <w:rsid w:val="009E599E"/>
    <w:rsid w:val="009E5B92"/>
    <w:rsid w:val="009E614F"/>
    <w:rsid w:val="009E6207"/>
    <w:rsid w:val="009E666F"/>
    <w:rsid w:val="009E6689"/>
    <w:rsid w:val="009E69D1"/>
    <w:rsid w:val="009E72E7"/>
    <w:rsid w:val="009E7546"/>
    <w:rsid w:val="009E765C"/>
    <w:rsid w:val="009E78D3"/>
    <w:rsid w:val="009E7C7F"/>
    <w:rsid w:val="009F13C6"/>
    <w:rsid w:val="009F1BCA"/>
    <w:rsid w:val="009F1DFB"/>
    <w:rsid w:val="009F1E4E"/>
    <w:rsid w:val="009F2482"/>
    <w:rsid w:val="009F362A"/>
    <w:rsid w:val="009F3B13"/>
    <w:rsid w:val="009F3CA7"/>
    <w:rsid w:val="009F3D42"/>
    <w:rsid w:val="009F49C1"/>
    <w:rsid w:val="009F4DDB"/>
    <w:rsid w:val="009F5447"/>
    <w:rsid w:val="009F57D6"/>
    <w:rsid w:val="009F585F"/>
    <w:rsid w:val="009F5A5D"/>
    <w:rsid w:val="009F5B31"/>
    <w:rsid w:val="009F5CA1"/>
    <w:rsid w:val="009F5D8B"/>
    <w:rsid w:val="009F5F3C"/>
    <w:rsid w:val="009F7930"/>
    <w:rsid w:val="009F7AC0"/>
    <w:rsid w:val="009F7AEF"/>
    <w:rsid w:val="009F7BBE"/>
    <w:rsid w:val="00A0009F"/>
    <w:rsid w:val="00A00375"/>
    <w:rsid w:val="00A00782"/>
    <w:rsid w:val="00A00985"/>
    <w:rsid w:val="00A01106"/>
    <w:rsid w:val="00A01508"/>
    <w:rsid w:val="00A01630"/>
    <w:rsid w:val="00A0178A"/>
    <w:rsid w:val="00A0198C"/>
    <w:rsid w:val="00A01A0D"/>
    <w:rsid w:val="00A01B60"/>
    <w:rsid w:val="00A01D7F"/>
    <w:rsid w:val="00A01F04"/>
    <w:rsid w:val="00A021EC"/>
    <w:rsid w:val="00A023BC"/>
    <w:rsid w:val="00A026EA"/>
    <w:rsid w:val="00A0292C"/>
    <w:rsid w:val="00A02AE5"/>
    <w:rsid w:val="00A02B1D"/>
    <w:rsid w:val="00A035EC"/>
    <w:rsid w:val="00A037DD"/>
    <w:rsid w:val="00A046C2"/>
    <w:rsid w:val="00A04812"/>
    <w:rsid w:val="00A054B4"/>
    <w:rsid w:val="00A05E3A"/>
    <w:rsid w:val="00A06134"/>
    <w:rsid w:val="00A0626E"/>
    <w:rsid w:val="00A062A2"/>
    <w:rsid w:val="00A06BEE"/>
    <w:rsid w:val="00A06D4D"/>
    <w:rsid w:val="00A06F35"/>
    <w:rsid w:val="00A071EB"/>
    <w:rsid w:val="00A07205"/>
    <w:rsid w:val="00A07368"/>
    <w:rsid w:val="00A074F5"/>
    <w:rsid w:val="00A07501"/>
    <w:rsid w:val="00A07974"/>
    <w:rsid w:val="00A07990"/>
    <w:rsid w:val="00A1002E"/>
    <w:rsid w:val="00A1040A"/>
    <w:rsid w:val="00A109A5"/>
    <w:rsid w:val="00A10CB6"/>
    <w:rsid w:val="00A10ED9"/>
    <w:rsid w:val="00A1129D"/>
    <w:rsid w:val="00A113D3"/>
    <w:rsid w:val="00A11A09"/>
    <w:rsid w:val="00A11B3E"/>
    <w:rsid w:val="00A11C7C"/>
    <w:rsid w:val="00A12107"/>
    <w:rsid w:val="00A121B9"/>
    <w:rsid w:val="00A125D5"/>
    <w:rsid w:val="00A126D3"/>
    <w:rsid w:val="00A1376F"/>
    <w:rsid w:val="00A13937"/>
    <w:rsid w:val="00A14097"/>
    <w:rsid w:val="00A142D3"/>
    <w:rsid w:val="00A14543"/>
    <w:rsid w:val="00A1456C"/>
    <w:rsid w:val="00A147E5"/>
    <w:rsid w:val="00A149D8"/>
    <w:rsid w:val="00A14A1F"/>
    <w:rsid w:val="00A15057"/>
    <w:rsid w:val="00A15676"/>
    <w:rsid w:val="00A16044"/>
    <w:rsid w:val="00A1630F"/>
    <w:rsid w:val="00A16419"/>
    <w:rsid w:val="00A169E7"/>
    <w:rsid w:val="00A16F3E"/>
    <w:rsid w:val="00A16FF4"/>
    <w:rsid w:val="00A1713B"/>
    <w:rsid w:val="00A17177"/>
    <w:rsid w:val="00A1720F"/>
    <w:rsid w:val="00A173BB"/>
    <w:rsid w:val="00A17CE0"/>
    <w:rsid w:val="00A21873"/>
    <w:rsid w:val="00A21A7E"/>
    <w:rsid w:val="00A21B76"/>
    <w:rsid w:val="00A22A1D"/>
    <w:rsid w:val="00A22C4C"/>
    <w:rsid w:val="00A22C92"/>
    <w:rsid w:val="00A23D48"/>
    <w:rsid w:val="00A24380"/>
    <w:rsid w:val="00A244FB"/>
    <w:rsid w:val="00A2458C"/>
    <w:rsid w:val="00A24917"/>
    <w:rsid w:val="00A250A9"/>
    <w:rsid w:val="00A2542A"/>
    <w:rsid w:val="00A25ACE"/>
    <w:rsid w:val="00A25C0B"/>
    <w:rsid w:val="00A25C3A"/>
    <w:rsid w:val="00A25CCF"/>
    <w:rsid w:val="00A25D5D"/>
    <w:rsid w:val="00A26212"/>
    <w:rsid w:val="00A26459"/>
    <w:rsid w:val="00A26602"/>
    <w:rsid w:val="00A2674B"/>
    <w:rsid w:val="00A26790"/>
    <w:rsid w:val="00A26EBA"/>
    <w:rsid w:val="00A2716D"/>
    <w:rsid w:val="00A3008F"/>
    <w:rsid w:val="00A30198"/>
    <w:rsid w:val="00A30315"/>
    <w:rsid w:val="00A3053B"/>
    <w:rsid w:val="00A3094E"/>
    <w:rsid w:val="00A30C1A"/>
    <w:rsid w:val="00A30CFB"/>
    <w:rsid w:val="00A31478"/>
    <w:rsid w:val="00A315FD"/>
    <w:rsid w:val="00A32770"/>
    <w:rsid w:val="00A32EF4"/>
    <w:rsid w:val="00A33C1E"/>
    <w:rsid w:val="00A342BE"/>
    <w:rsid w:val="00A34D7C"/>
    <w:rsid w:val="00A34F57"/>
    <w:rsid w:val="00A35914"/>
    <w:rsid w:val="00A359A6"/>
    <w:rsid w:val="00A362AD"/>
    <w:rsid w:val="00A36335"/>
    <w:rsid w:val="00A36480"/>
    <w:rsid w:val="00A364A2"/>
    <w:rsid w:val="00A3659D"/>
    <w:rsid w:val="00A365D4"/>
    <w:rsid w:val="00A36648"/>
    <w:rsid w:val="00A36700"/>
    <w:rsid w:val="00A36E31"/>
    <w:rsid w:val="00A37385"/>
    <w:rsid w:val="00A37A46"/>
    <w:rsid w:val="00A404D9"/>
    <w:rsid w:val="00A40C8A"/>
    <w:rsid w:val="00A40D34"/>
    <w:rsid w:val="00A40FF1"/>
    <w:rsid w:val="00A41022"/>
    <w:rsid w:val="00A4157D"/>
    <w:rsid w:val="00A4183F"/>
    <w:rsid w:val="00A41BD7"/>
    <w:rsid w:val="00A4201D"/>
    <w:rsid w:val="00A42037"/>
    <w:rsid w:val="00A422E8"/>
    <w:rsid w:val="00A42306"/>
    <w:rsid w:val="00A42FA6"/>
    <w:rsid w:val="00A43553"/>
    <w:rsid w:val="00A43716"/>
    <w:rsid w:val="00A43898"/>
    <w:rsid w:val="00A43C4C"/>
    <w:rsid w:val="00A43EB9"/>
    <w:rsid w:val="00A444EA"/>
    <w:rsid w:val="00A44E8D"/>
    <w:rsid w:val="00A4510A"/>
    <w:rsid w:val="00A457EF"/>
    <w:rsid w:val="00A45ED7"/>
    <w:rsid w:val="00A460C9"/>
    <w:rsid w:val="00A46163"/>
    <w:rsid w:val="00A463A9"/>
    <w:rsid w:val="00A46C1E"/>
    <w:rsid w:val="00A46F8D"/>
    <w:rsid w:val="00A47A2E"/>
    <w:rsid w:val="00A503BB"/>
    <w:rsid w:val="00A514CC"/>
    <w:rsid w:val="00A519B8"/>
    <w:rsid w:val="00A521C4"/>
    <w:rsid w:val="00A5230A"/>
    <w:rsid w:val="00A52E5A"/>
    <w:rsid w:val="00A531A4"/>
    <w:rsid w:val="00A535B9"/>
    <w:rsid w:val="00A5391D"/>
    <w:rsid w:val="00A53D34"/>
    <w:rsid w:val="00A53D55"/>
    <w:rsid w:val="00A542EE"/>
    <w:rsid w:val="00A543F9"/>
    <w:rsid w:val="00A549D6"/>
    <w:rsid w:val="00A55192"/>
    <w:rsid w:val="00A55ACD"/>
    <w:rsid w:val="00A56409"/>
    <w:rsid w:val="00A56675"/>
    <w:rsid w:val="00A5705A"/>
    <w:rsid w:val="00A57104"/>
    <w:rsid w:val="00A57416"/>
    <w:rsid w:val="00A57627"/>
    <w:rsid w:val="00A577F1"/>
    <w:rsid w:val="00A57AB0"/>
    <w:rsid w:val="00A57BBB"/>
    <w:rsid w:val="00A60218"/>
    <w:rsid w:val="00A60508"/>
    <w:rsid w:val="00A60652"/>
    <w:rsid w:val="00A60B64"/>
    <w:rsid w:val="00A60BB3"/>
    <w:rsid w:val="00A60CF8"/>
    <w:rsid w:val="00A60E6A"/>
    <w:rsid w:val="00A613E8"/>
    <w:rsid w:val="00A614EC"/>
    <w:rsid w:val="00A61961"/>
    <w:rsid w:val="00A61A9A"/>
    <w:rsid w:val="00A624B5"/>
    <w:rsid w:val="00A628E0"/>
    <w:rsid w:val="00A62AFC"/>
    <w:rsid w:val="00A6341B"/>
    <w:rsid w:val="00A63A10"/>
    <w:rsid w:val="00A63A62"/>
    <w:rsid w:val="00A63BCC"/>
    <w:rsid w:val="00A63D82"/>
    <w:rsid w:val="00A64143"/>
    <w:rsid w:val="00A6423A"/>
    <w:rsid w:val="00A646C9"/>
    <w:rsid w:val="00A647E5"/>
    <w:rsid w:val="00A648CF"/>
    <w:rsid w:val="00A64ECB"/>
    <w:rsid w:val="00A65488"/>
    <w:rsid w:val="00A65922"/>
    <w:rsid w:val="00A661A7"/>
    <w:rsid w:val="00A664BF"/>
    <w:rsid w:val="00A6685C"/>
    <w:rsid w:val="00A66E97"/>
    <w:rsid w:val="00A6754B"/>
    <w:rsid w:val="00A67F29"/>
    <w:rsid w:val="00A706F9"/>
    <w:rsid w:val="00A70744"/>
    <w:rsid w:val="00A70C00"/>
    <w:rsid w:val="00A70E4E"/>
    <w:rsid w:val="00A7165D"/>
    <w:rsid w:val="00A718C8"/>
    <w:rsid w:val="00A71B46"/>
    <w:rsid w:val="00A71C81"/>
    <w:rsid w:val="00A72487"/>
    <w:rsid w:val="00A72772"/>
    <w:rsid w:val="00A7282D"/>
    <w:rsid w:val="00A72A44"/>
    <w:rsid w:val="00A7306E"/>
    <w:rsid w:val="00A73578"/>
    <w:rsid w:val="00A73D43"/>
    <w:rsid w:val="00A7409B"/>
    <w:rsid w:val="00A74BFF"/>
    <w:rsid w:val="00A74D3B"/>
    <w:rsid w:val="00A75580"/>
    <w:rsid w:val="00A756E5"/>
    <w:rsid w:val="00A75948"/>
    <w:rsid w:val="00A75B86"/>
    <w:rsid w:val="00A75C72"/>
    <w:rsid w:val="00A75C90"/>
    <w:rsid w:val="00A75ED7"/>
    <w:rsid w:val="00A76367"/>
    <w:rsid w:val="00A76625"/>
    <w:rsid w:val="00A76722"/>
    <w:rsid w:val="00A7684E"/>
    <w:rsid w:val="00A801C3"/>
    <w:rsid w:val="00A801C7"/>
    <w:rsid w:val="00A80218"/>
    <w:rsid w:val="00A80C9A"/>
    <w:rsid w:val="00A80F43"/>
    <w:rsid w:val="00A81B01"/>
    <w:rsid w:val="00A81E4A"/>
    <w:rsid w:val="00A82086"/>
    <w:rsid w:val="00A8246D"/>
    <w:rsid w:val="00A824AE"/>
    <w:rsid w:val="00A82EC4"/>
    <w:rsid w:val="00A832A4"/>
    <w:rsid w:val="00A832F8"/>
    <w:rsid w:val="00A837E5"/>
    <w:rsid w:val="00A838F2"/>
    <w:rsid w:val="00A8457D"/>
    <w:rsid w:val="00A849EC"/>
    <w:rsid w:val="00A85606"/>
    <w:rsid w:val="00A8562E"/>
    <w:rsid w:val="00A857F0"/>
    <w:rsid w:val="00A85878"/>
    <w:rsid w:val="00A85A8F"/>
    <w:rsid w:val="00A85ABD"/>
    <w:rsid w:val="00A864FA"/>
    <w:rsid w:val="00A86937"/>
    <w:rsid w:val="00A86BE5"/>
    <w:rsid w:val="00A8735E"/>
    <w:rsid w:val="00A87723"/>
    <w:rsid w:val="00A90C5C"/>
    <w:rsid w:val="00A90E3F"/>
    <w:rsid w:val="00A90F1A"/>
    <w:rsid w:val="00A916D5"/>
    <w:rsid w:val="00A91D82"/>
    <w:rsid w:val="00A9209E"/>
    <w:rsid w:val="00A924D4"/>
    <w:rsid w:val="00A928C9"/>
    <w:rsid w:val="00A92951"/>
    <w:rsid w:val="00A94021"/>
    <w:rsid w:val="00A9412E"/>
    <w:rsid w:val="00A94DB5"/>
    <w:rsid w:val="00A95461"/>
    <w:rsid w:val="00A95512"/>
    <w:rsid w:val="00A957F7"/>
    <w:rsid w:val="00A958E1"/>
    <w:rsid w:val="00A959F5"/>
    <w:rsid w:val="00A95E0E"/>
    <w:rsid w:val="00A95F5A"/>
    <w:rsid w:val="00A95F77"/>
    <w:rsid w:val="00A966EF"/>
    <w:rsid w:val="00A96AEE"/>
    <w:rsid w:val="00A97059"/>
    <w:rsid w:val="00AA02C9"/>
    <w:rsid w:val="00AA0AAC"/>
    <w:rsid w:val="00AA10A3"/>
    <w:rsid w:val="00AA16D5"/>
    <w:rsid w:val="00AA1F9D"/>
    <w:rsid w:val="00AA2283"/>
    <w:rsid w:val="00AA2292"/>
    <w:rsid w:val="00AA2C63"/>
    <w:rsid w:val="00AA38E9"/>
    <w:rsid w:val="00AA3A30"/>
    <w:rsid w:val="00AA3FA9"/>
    <w:rsid w:val="00AA40C4"/>
    <w:rsid w:val="00AA42DA"/>
    <w:rsid w:val="00AA47EC"/>
    <w:rsid w:val="00AA4E6F"/>
    <w:rsid w:val="00AA506F"/>
    <w:rsid w:val="00AA55EE"/>
    <w:rsid w:val="00AA56C5"/>
    <w:rsid w:val="00AA61D7"/>
    <w:rsid w:val="00AA6376"/>
    <w:rsid w:val="00AA6682"/>
    <w:rsid w:val="00AA67DB"/>
    <w:rsid w:val="00AA68B5"/>
    <w:rsid w:val="00AA6902"/>
    <w:rsid w:val="00AA6BCF"/>
    <w:rsid w:val="00AA704B"/>
    <w:rsid w:val="00AA7372"/>
    <w:rsid w:val="00AA74D3"/>
    <w:rsid w:val="00AA7AAD"/>
    <w:rsid w:val="00AA7BB3"/>
    <w:rsid w:val="00AB0392"/>
    <w:rsid w:val="00AB0577"/>
    <w:rsid w:val="00AB09E5"/>
    <w:rsid w:val="00AB0A31"/>
    <w:rsid w:val="00AB15CE"/>
    <w:rsid w:val="00AB1B5A"/>
    <w:rsid w:val="00AB1C56"/>
    <w:rsid w:val="00AB2096"/>
    <w:rsid w:val="00AB2403"/>
    <w:rsid w:val="00AB28F0"/>
    <w:rsid w:val="00AB2B1C"/>
    <w:rsid w:val="00AB2B5A"/>
    <w:rsid w:val="00AB2D3C"/>
    <w:rsid w:val="00AB2E2C"/>
    <w:rsid w:val="00AB341E"/>
    <w:rsid w:val="00AB34D3"/>
    <w:rsid w:val="00AB369F"/>
    <w:rsid w:val="00AB374F"/>
    <w:rsid w:val="00AB4886"/>
    <w:rsid w:val="00AB493E"/>
    <w:rsid w:val="00AB4E95"/>
    <w:rsid w:val="00AB589A"/>
    <w:rsid w:val="00AB5DBA"/>
    <w:rsid w:val="00AB6106"/>
    <w:rsid w:val="00AB6464"/>
    <w:rsid w:val="00AB6A73"/>
    <w:rsid w:val="00AB70DD"/>
    <w:rsid w:val="00AB7240"/>
    <w:rsid w:val="00AB74CF"/>
    <w:rsid w:val="00AB7540"/>
    <w:rsid w:val="00AB76F1"/>
    <w:rsid w:val="00AB77CE"/>
    <w:rsid w:val="00AB7875"/>
    <w:rsid w:val="00AB7955"/>
    <w:rsid w:val="00AB7EF2"/>
    <w:rsid w:val="00AC00E3"/>
    <w:rsid w:val="00AC0470"/>
    <w:rsid w:val="00AC051A"/>
    <w:rsid w:val="00AC1663"/>
    <w:rsid w:val="00AC204B"/>
    <w:rsid w:val="00AC2115"/>
    <w:rsid w:val="00AC2BB7"/>
    <w:rsid w:val="00AC2F46"/>
    <w:rsid w:val="00AC3132"/>
    <w:rsid w:val="00AC3CC4"/>
    <w:rsid w:val="00AC3E74"/>
    <w:rsid w:val="00AC3FE3"/>
    <w:rsid w:val="00AC4088"/>
    <w:rsid w:val="00AC408C"/>
    <w:rsid w:val="00AC40ED"/>
    <w:rsid w:val="00AC46E4"/>
    <w:rsid w:val="00AC4BB0"/>
    <w:rsid w:val="00AC501A"/>
    <w:rsid w:val="00AC5154"/>
    <w:rsid w:val="00AC5894"/>
    <w:rsid w:val="00AC598B"/>
    <w:rsid w:val="00AC5B15"/>
    <w:rsid w:val="00AC5D05"/>
    <w:rsid w:val="00AC5D20"/>
    <w:rsid w:val="00AC5DA7"/>
    <w:rsid w:val="00AC5ECC"/>
    <w:rsid w:val="00AC6528"/>
    <w:rsid w:val="00AC68EE"/>
    <w:rsid w:val="00AC694C"/>
    <w:rsid w:val="00AC7CDC"/>
    <w:rsid w:val="00AC7EDF"/>
    <w:rsid w:val="00AC7F25"/>
    <w:rsid w:val="00AD00F2"/>
    <w:rsid w:val="00AD06C0"/>
    <w:rsid w:val="00AD0B6B"/>
    <w:rsid w:val="00AD1D35"/>
    <w:rsid w:val="00AD2239"/>
    <w:rsid w:val="00AD2690"/>
    <w:rsid w:val="00AD2CD3"/>
    <w:rsid w:val="00AD2EF6"/>
    <w:rsid w:val="00AD2F9A"/>
    <w:rsid w:val="00AD30A7"/>
    <w:rsid w:val="00AD3175"/>
    <w:rsid w:val="00AD31B6"/>
    <w:rsid w:val="00AD31B9"/>
    <w:rsid w:val="00AD38BC"/>
    <w:rsid w:val="00AD38DE"/>
    <w:rsid w:val="00AD3A89"/>
    <w:rsid w:val="00AD3B21"/>
    <w:rsid w:val="00AD3BE6"/>
    <w:rsid w:val="00AD4561"/>
    <w:rsid w:val="00AD4723"/>
    <w:rsid w:val="00AD504A"/>
    <w:rsid w:val="00AD509F"/>
    <w:rsid w:val="00AD6486"/>
    <w:rsid w:val="00AD64B1"/>
    <w:rsid w:val="00AD6873"/>
    <w:rsid w:val="00AD77AA"/>
    <w:rsid w:val="00AD77E1"/>
    <w:rsid w:val="00AE00D6"/>
    <w:rsid w:val="00AE172F"/>
    <w:rsid w:val="00AE1FD2"/>
    <w:rsid w:val="00AE2039"/>
    <w:rsid w:val="00AE28DB"/>
    <w:rsid w:val="00AE3242"/>
    <w:rsid w:val="00AE32C2"/>
    <w:rsid w:val="00AE33A9"/>
    <w:rsid w:val="00AE3528"/>
    <w:rsid w:val="00AE3BA0"/>
    <w:rsid w:val="00AE3F80"/>
    <w:rsid w:val="00AE42AB"/>
    <w:rsid w:val="00AE485A"/>
    <w:rsid w:val="00AE48B4"/>
    <w:rsid w:val="00AE50C9"/>
    <w:rsid w:val="00AE56BB"/>
    <w:rsid w:val="00AE596F"/>
    <w:rsid w:val="00AE5DCB"/>
    <w:rsid w:val="00AE61A2"/>
    <w:rsid w:val="00AE6247"/>
    <w:rsid w:val="00AE66DC"/>
    <w:rsid w:val="00AE6FF4"/>
    <w:rsid w:val="00AE737E"/>
    <w:rsid w:val="00AE76F2"/>
    <w:rsid w:val="00AF0386"/>
    <w:rsid w:val="00AF0769"/>
    <w:rsid w:val="00AF135E"/>
    <w:rsid w:val="00AF1C75"/>
    <w:rsid w:val="00AF213A"/>
    <w:rsid w:val="00AF2B59"/>
    <w:rsid w:val="00AF2CA1"/>
    <w:rsid w:val="00AF3C99"/>
    <w:rsid w:val="00AF415E"/>
    <w:rsid w:val="00AF4922"/>
    <w:rsid w:val="00AF4F7F"/>
    <w:rsid w:val="00AF5066"/>
    <w:rsid w:val="00AF55EA"/>
    <w:rsid w:val="00AF5604"/>
    <w:rsid w:val="00AF56CF"/>
    <w:rsid w:val="00AF5C43"/>
    <w:rsid w:val="00AF5CE0"/>
    <w:rsid w:val="00AF5F62"/>
    <w:rsid w:val="00AF618C"/>
    <w:rsid w:val="00AF6A75"/>
    <w:rsid w:val="00AF75EE"/>
    <w:rsid w:val="00AF763E"/>
    <w:rsid w:val="00AF7E9E"/>
    <w:rsid w:val="00AFBB6E"/>
    <w:rsid w:val="00B00608"/>
    <w:rsid w:val="00B00695"/>
    <w:rsid w:val="00B00835"/>
    <w:rsid w:val="00B00A69"/>
    <w:rsid w:val="00B00F78"/>
    <w:rsid w:val="00B01893"/>
    <w:rsid w:val="00B01B70"/>
    <w:rsid w:val="00B01E1F"/>
    <w:rsid w:val="00B01F7E"/>
    <w:rsid w:val="00B02069"/>
    <w:rsid w:val="00B02482"/>
    <w:rsid w:val="00B03721"/>
    <w:rsid w:val="00B0381B"/>
    <w:rsid w:val="00B03C12"/>
    <w:rsid w:val="00B03EA8"/>
    <w:rsid w:val="00B04690"/>
    <w:rsid w:val="00B0510E"/>
    <w:rsid w:val="00B055E0"/>
    <w:rsid w:val="00B056D5"/>
    <w:rsid w:val="00B05FB1"/>
    <w:rsid w:val="00B07180"/>
    <w:rsid w:val="00B0749F"/>
    <w:rsid w:val="00B07555"/>
    <w:rsid w:val="00B07DE7"/>
    <w:rsid w:val="00B105DB"/>
    <w:rsid w:val="00B10920"/>
    <w:rsid w:val="00B11333"/>
    <w:rsid w:val="00B11356"/>
    <w:rsid w:val="00B117FF"/>
    <w:rsid w:val="00B119E2"/>
    <w:rsid w:val="00B11C8C"/>
    <w:rsid w:val="00B130A1"/>
    <w:rsid w:val="00B132CF"/>
    <w:rsid w:val="00B133A8"/>
    <w:rsid w:val="00B13600"/>
    <w:rsid w:val="00B14067"/>
    <w:rsid w:val="00B1422F"/>
    <w:rsid w:val="00B14601"/>
    <w:rsid w:val="00B14E5E"/>
    <w:rsid w:val="00B15714"/>
    <w:rsid w:val="00B159F6"/>
    <w:rsid w:val="00B16BF5"/>
    <w:rsid w:val="00B16C0A"/>
    <w:rsid w:val="00B171F6"/>
    <w:rsid w:val="00B17B41"/>
    <w:rsid w:val="00B17B9E"/>
    <w:rsid w:val="00B17FE3"/>
    <w:rsid w:val="00B20694"/>
    <w:rsid w:val="00B20AB2"/>
    <w:rsid w:val="00B21414"/>
    <w:rsid w:val="00B2141A"/>
    <w:rsid w:val="00B2148A"/>
    <w:rsid w:val="00B217F5"/>
    <w:rsid w:val="00B21B16"/>
    <w:rsid w:val="00B21B92"/>
    <w:rsid w:val="00B21E54"/>
    <w:rsid w:val="00B22BD3"/>
    <w:rsid w:val="00B22C0B"/>
    <w:rsid w:val="00B23260"/>
    <w:rsid w:val="00B23400"/>
    <w:rsid w:val="00B2358B"/>
    <w:rsid w:val="00B23A7A"/>
    <w:rsid w:val="00B23E99"/>
    <w:rsid w:val="00B246C0"/>
    <w:rsid w:val="00B24B2B"/>
    <w:rsid w:val="00B25003"/>
    <w:rsid w:val="00B25171"/>
    <w:rsid w:val="00B25280"/>
    <w:rsid w:val="00B25CB2"/>
    <w:rsid w:val="00B264D9"/>
    <w:rsid w:val="00B2653E"/>
    <w:rsid w:val="00B26A3A"/>
    <w:rsid w:val="00B26C6B"/>
    <w:rsid w:val="00B26C7C"/>
    <w:rsid w:val="00B26C92"/>
    <w:rsid w:val="00B26E17"/>
    <w:rsid w:val="00B27942"/>
    <w:rsid w:val="00B27FB0"/>
    <w:rsid w:val="00B3043C"/>
    <w:rsid w:val="00B30646"/>
    <w:rsid w:val="00B306A9"/>
    <w:rsid w:val="00B3087D"/>
    <w:rsid w:val="00B30C44"/>
    <w:rsid w:val="00B30DBE"/>
    <w:rsid w:val="00B31308"/>
    <w:rsid w:val="00B32591"/>
    <w:rsid w:val="00B325B6"/>
    <w:rsid w:val="00B328BA"/>
    <w:rsid w:val="00B32BF4"/>
    <w:rsid w:val="00B32C36"/>
    <w:rsid w:val="00B32DA9"/>
    <w:rsid w:val="00B32DE1"/>
    <w:rsid w:val="00B34189"/>
    <w:rsid w:val="00B34794"/>
    <w:rsid w:val="00B348AD"/>
    <w:rsid w:val="00B34ACC"/>
    <w:rsid w:val="00B34DE1"/>
    <w:rsid w:val="00B353C0"/>
    <w:rsid w:val="00B3550E"/>
    <w:rsid w:val="00B355FF"/>
    <w:rsid w:val="00B35904"/>
    <w:rsid w:val="00B3635F"/>
    <w:rsid w:val="00B36706"/>
    <w:rsid w:val="00B373BA"/>
    <w:rsid w:val="00B37C24"/>
    <w:rsid w:val="00B40778"/>
    <w:rsid w:val="00B40B1F"/>
    <w:rsid w:val="00B40DC9"/>
    <w:rsid w:val="00B40E4A"/>
    <w:rsid w:val="00B40EE2"/>
    <w:rsid w:val="00B41753"/>
    <w:rsid w:val="00B41BF8"/>
    <w:rsid w:val="00B41CD3"/>
    <w:rsid w:val="00B42359"/>
    <w:rsid w:val="00B42467"/>
    <w:rsid w:val="00B4270D"/>
    <w:rsid w:val="00B42829"/>
    <w:rsid w:val="00B4389B"/>
    <w:rsid w:val="00B43C2C"/>
    <w:rsid w:val="00B43E23"/>
    <w:rsid w:val="00B44165"/>
    <w:rsid w:val="00B4420B"/>
    <w:rsid w:val="00B4486E"/>
    <w:rsid w:val="00B44B11"/>
    <w:rsid w:val="00B45451"/>
    <w:rsid w:val="00B45489"/>
    <w:rsid w:val="00B4575A"/>
    <w:rsid w:val="00B458EC"/>
    <w:rsid w:val="00B45C08"/>
    <w:rsid w:val="00B45F9B"/>
    <w:rsid w:val="00B4614D"/>
    <w:rsid w:val="00B46189"/>
    <w:rsid w:val="00B47081"/>
    <w:rsid w:val="00B474CB"/>
    <w:rsid w:val="00B47713"/>
    <w:rsid w:val="00B47B0D"/>
    <w:rsid w:val="00B47B4A"/>
    <w:rsid w:val="00B47B51"/>
    <w:rsid w:val="00B47E5C"/>
    <w:rsid w:val="00B47EFB"/>
    <w:rsid w:val="00B503E5"/>
    <w:rsid w:val="00B50639"/>
    <w:rsid w:val="00B50BEE"/>
    <w:rsid w:val="00B510B7"/>
    <w:rsid w:val="00B517FE"/>
    <w:rsid w:val="00B51C78"/>
    <w:rsid w:val="00B51C87"/>
    <w:rsid w:val="00B51CD7"/>
    <w:rsid w:val="00B51EE9"/>
    <w:rsid w:val="00B52091"/>
    <w:rsid w:val="00B523FF"/>
    <w:rsid w:val="00B5259E"/>
    <w:rsid w:val="00B5271E"/>
    <w:rsid w:val="00B5278E"/>
    <w:rsid w:val="00B53734"/>
    <w:rsid w:val="00B539A3"/>
    <w:rsid w:val="00B53C3D"/>
    <w:rsid w:val="00B540BF"/>
    <w:rsid w:val="00B54171"/>
    <w:rsid w:val="00B541AD"/>
    <w:rsid w:val="00B543CE"/>
    <w:rsid w:val="00B545AA"/>
    <w:rsid w:val="00B54D22"/>
    <w:rsid w:val="00B54E8A"/>
    <w:rsid w:val="00B54FBB"/>
    <w:rsid w:val="00B552AB"/>
    <w:rsid w:val="00B552EE"/>
    <w:rsid w:val="00B55BDD"/>
    <w:rsid w:val="00B55C7F"/>
    <w:rsid w:val="00B55CB8"/>
    <w:rsid w:val="00B55DAC"/>
    <w:rsid w:val="00B55DAD"/>
    <w:rsid w:val="00B56370"/>
    <w:rsid w:val="00B5665C"/>
    <w:rsid w:val="00B56878"/>
    <w:rsid w:val="00B571E9"/>
    <w:rsid w:val="00B5751C"/>
    <w:rsid w:val="00B57713"/>
    <w:rsid w:val="00B57D74"/>
    <w:rsid w:val="00B60080"/>
    <w:rsid w:val="00B60421"/>
    <w:rsid w:val="00B60524"/>
    <w:rsid w:val="00B60EA6"/>
    <w:rsid w:val="00B611B2"/>
    <w:rsid w:val="00B61429"/>
    <w:rsid w:val="00B61598"/>
    <w:rsid w:val="00B61721"/>
    <w:rsid w:val="00B61BC1"/>
    <w:rsid w:val="00B61E7C"/>
    <w:rsid w:val="00B61EBF"/>
    <w:rsid w:val="00B622D8"/>
    <w:rsid w:val="00B625EB"/>
    <w:rsid w:val="00B626A3"/>
    <w:rsid w:val="00B6282D"/>
    <w:rsid w:val="00B6368B"/>
    <w:rsid w:val="00B636D5"/>
    <w:rsid w:val="00B639F1"/>
    <w:rsid w:val="00B63B70"/>
    <w:rsid w:val="00B63B86"/>
    <w:rsid w:val="00B63CC0"/>
    <w:rsid w:val="00B641DD"/>
    <w:rsid w:val="00B6421E"/>
    <w:rsid w:val="00B64337"/>
    <w:rsid w:val="00B64837"/>
    <w:rsid w:val="00B64B13"/>
    <w:rsid w:val="00B64FF0"/>
    <w:rsid w:val="00B651FA"/>
    <w:rsid w:val="00B653FF"/>
    <w:rsid w:val="00B658FB"/>
    <w:rsid w:val="00B65E6B"/>
    <w:rsid w:val="00B662A5"/>
    <w:rsid w:val="00B67404"/>
    <w:rsid w:val="00B695AC"/>
    <w:rsid w:val="00B703C1"/>
    <w:rsid w:val="00B705DA"/>
    <w:rsid w:val="00B70EA4"/>
    <w:rsid w:val="00B70F2C"/>
    <w:rsid w:val="00B70F5A"/>
    <w:rsid w:val="00B7112E"/>
    <w:rsid w:val="00B7123F"/>
    <w:rsid w:val="00B718AB"/>
    <w:rsid w:val="00B7196E"/>
    <w:rsid w:val="00B72D82"/>
    <w:rsid w:val="00B73051"/>
    <w:rsid w:val="00B730A4"/>
    <w:rsid w:val="00B731BF"/>
    <w:rsid w:val="00B73349"/>
    <w:rsid w:val="00B733B2"/>
    <w:rsid w:val="00B73585"/>
    <w:rsid w:val="00B73647"/>
    <w:rsid w:val="00B737DC"/>
    <w:rsid w:val="00B739BB"/>
    <w:rsid w:val="00B73E42"/>
    <w:rsid w:val="00B740CE"/>
    <w:rsid w:val="00B740F9"/>
    <w:rsid w:val="00B747D0"/>
    <w:rsid w:val="00B748FB"/>
    <w:rsid w:val="00B74928"/>
    <w:rsid w:val="00B75226"/>
    <w:rsid w:val="00B764BD"/>
    <w:rsid w:val="00B76885"/>
    <w:rsid w:val="00B7728B"/>
    <w:rsid w:val="00B773FE"/>
    <w:rsid w:val="00B7772E"/>
    <w:rsid w:val="00B777A6"/>
    <w:rsid w:val="00B77A9A"/>
    <w:rsid w:val="00B77BE8"/>
    <w:rsid w:val="00B77E46"/>
    <w:rsid w:val="00B80066"/>
    <w:rsid w:val="00B80DD7"/>
    <w:rsid w:val="00B8120D"/>
    <w:rsid w:val="00B81565"/>
    <w:rsid w:val="00B81A25"/>
    <w:rsid w:val="00B81DBB"/>
    <w:rsid w:val="00B81E66"/>
    <w:rsid w:val="00B82747"/>
    <w:rsid w:val="00B827DE"/>
    <w:rsid w:val="00B82803"/>
    <w:rsid w:val="00B8298E"/>
    <w:rsid w:val="00B82F63"/>
    <w:rsid w:val="00B8300C"/>
    <w:rsid w:val="00B832E7"/>
    <w:rsid w:val="00B83396"/>
    <w:rsid w:val="00B83748"/>
    <w:rsid w:val="00B83B9B"/>
    <w:rsid w:val="00B83D60"/>
    <w:rsid w:val="00B844B3"/>
    <w:rsid w:val="00B84568"/>
    <w:rsid w:val="00B84B44"/>
    <w:rsid w:val="00B84E56"/>
    <w:rsid w:val="00B856DB"/>
    <w:rsid w:val="00B858A3"/>
    <w:rsid w:val="00B85A65"/>
    <w:rsid w:val="00B85B9C"/>
    <w:rsid w:val="00B85E8D"/>
    <w:rsid w:val="00B860BE"/>
    <w:rsid w:val="00B862E6"/>
    <w:rsid w:val="00B864A6"/>
    <w:rsid w:val="00B86CC4"/>
    <w:rsid w:val="00B86D3B"/>
    <w:rsid w:val="00B86DF3"/>
    <w:rsid w:val="00B86F6A"/>
    <w:rsid w:val="00B86F7B"/>
    <w:rsid w:val="00B8701E"/>
    <w:rsid w:val="00B8753C"/>
    <w:rsid w:val="00B87BAB"/>
    <w:rsid w:val="00B90578"/>
    <w:rsid w:val="00B90905"/>
    <w:rsid w:val="00B90A29"/>
    <w:rsid w:val="00B90DD0"/>
    <w:rsid w:val="00B90FE3"/>
    <w:rsid w:val="00B91539"/>
    <w:rsid w:val="00B931A2"/>
    <w:rsid w:val="00B93315"/>
    <w:rsid w:val="00B93CA1"/>
    <w:rsid w:val="00B93D0D"/>
    <w:rsid w:val="00B93E64"/>
    <w:rsid w:val="00B940D6"/>
    <w:rsid w:val="00B94C10"/>
    <w:rsid w:val="00B95283"/>
    <w:rsid w:val="00B954A2"/>
    <w:rsid w:val="00B955F9"/>
    <w:rsid w:val="00B95E1C"/>
    <w:rsid w:val="00B9607B"/>
    <w:rsid w:val="00B966C4"/>
    <w:rsid w:val="00B96DCA"/>
    <w:rsid w:val="00B9787D"/>
    <w:rsid w:val="00B97D8C"/>
    <w:rsid w:val="00B97FA3"/>
    <w:rsid w:val="00BA00C3"/>
    <w:rsid w:val="00BA0151"/>
    <w:rsid w:val="00BA07BE"/>
    <w:rsid w:val="00BA135C"/>
    <w:rsid w:val="00BA146B"/>
    <w:rsid w:val="00BA1EAE"/>
    <w:rsid w:val="00BA2F72"/>
    <w:rsid w:val="00BA312E"/>
    <w:rsid w:val="00BA328A"/>
    <w:rsid w:val="00BA3631"/>
    <w:rsid w:val="00BA3D00"/>
    <w:rsid w:val="00BA41C2"/>
    <w:rsid w:val="00BA44DF"/>
    <w:rsid w:val="00BA4C95"/>
    <w:rsid w:val="00BA4CF8"/>
    <w:rsid w:val="00BA52B5"/>
    <w:rsid w:val="00BA5A9D"/>
    <w:rsid w:val="00BA5E70"/>
    <w:rsid w:val="00BA5E86"/>
    <w:rsid w:val="00BA5FD6"/>
    <w:rsid w:val="00BA62BC"/>
    <w:rsid w:val="00BA6466"/>
    <w:rsid w:val="00BA6552"/>
    <w:rsid w:val="00BA65B7"/>
    <w:rsid w:val="00BA6CD4"/>
    <w:rsid w:val="00BA6E10"/>
    <w:rsid w:val="00BA730B"/>
    <w:rsid w:val="00BA7326"/>
    <w:rsid w:val="00BA7425"/>
    <w:rsid w:val="00BA7AD9"/>
    <w:rsid w:val="00BA7D7D"/>
    <w:rsid w:val="00BB0228"/>
    <w:rsid w:val="00BB0243"/>
    <w:rsid w:val="00BB0587"/>
    <w:rsid w:val="00BB05BF"/>
    <w:rsid w:val="00BB067F"/>
    <w:rsid w:val="00BB06B1"/>
    <w:rsid w:val="00BB0798"/>
    <w:rsid w:val="00BB0D6B"/>
    <w:rsid w:val="00BB0D9B"/>
    <w:rsid w:val="00BB0EA2"/>
    <w:rsid w:val="00BB1050"/>
    <w:rsid w:val="00BB188D"/>
    <w:rsid w:val="00BB1DF2"/>
    <w:rsid w:val="00BB1F08"/>
    <w:rsid w:val="00BB2159"/>
    <w:rsid w:val="00BB249B"/>
    <w:rsid w:val="00BB3441"/>
    <w:rsid w:val="00BB381F"/>
    <w:rsid w:val="00BB384C"/>
    <w:rsid w:val="00BB3EF4"/>
    <w:rsid w:val="00BB443B"/>
    <w:rsid w:val="00BB46F5"/>
    <w:rsid w:val="00BB47B3"/>
    <w:rsid w:val="00BB49C9"/>
    <w:rsid w:val="00BB4BFB"/>
    <w:rsid w:val="00BB4C03"/>
    <w:rsid w:val="00BB69A1"/>
    <w:rsid w:val="00BB7350"/>
    <w:rsid w:val="00BB7659"/>
    <w:rsid w:val="00BB7708"/>
    <w:rsid w:val="00BB7976"/>
    <w:rsid w:val="00BC0005"/>
    <w:rsid w:val="00BC02AE"/>
    <w:rsid w:val="00BC0A55"/>
    <w:rsid w:val="00BC0CA8"/>
    <w:rsid w:val="00BC12C7"/>
    <w:rsid w:val="00BC2415"/>
    <w:rsid w:val="00BC2D9F"/>
    <w:rsid w:val="00BC35CB"/>
    <w:rsid w:val="00BC371F"/>
    <w:rsid w:val="00BC379D"/>
    <w:rsid w:val="00BC3C35"/>
    <w:rsid w:val="00BC418C"/>
    <w:rsid w:val="00BC4394"/>
    <w:rsid w:val="00BC4999"/>
    <w:rsid w:val="00BC5101"/>
    <w:rsid w:val="00BC526D"/>
    <w:rsid w:val="00BC5F65"/>
    <w:rsid w:val="00BC602D"/>
    <w:rsid w:val="00BC65EC"/>
    <w:rsid w:val="00BC6AD1"/>
    <w:rsid w:val="00BC6C3E"/>
    <w:rsid w:val="00BC6CC2"/>
    <w:rsid w:val="00BC7C49"/>
    <w:rsid w:val="00BC7F3E"/>
    <w:rsid w:val="00BC7F51"/>
    <w:rsid w:val="00BD0238"/>
    <w:rsid w:val="00BD02B1"/>
    <w:rsid w:val="00BD047A"/>
    <w:rsid w:val="00BD058C"/>
    <w:rsid w:val="00BD0685"/>
    <w:rsid w:val="00BD1B9D"/>
    <w:rsid w:val="00BD1DB2"/>
    <w:rsid w:val="00BD1F2D"/>
    <w:rsid w:val="00BD2015"/>
    <w:rsid w:val="00BD20E3"/>
    <w:rsid w:val="00BD2430"/>
    <w:rsid w:val="00BD245E"/>
    <w:rsid w:val="00BD2670"/>
    <w:rsid w:val="00BD29F3"/>
    <w:rsid w:val="00BD3139"/>
    <w:rsid w:val="00BD380C"/>
    <w:rsid w:val="00BD3922"/>
    <w:rsid w:val="00BD3970"/>
    <w:rsid w:val="00BD3D49"/>
    <w:rsid w:val="00BD3EFB"/>
    <w:rsid w:val="00BD41CD"/>
    <w:rsid w:val="00BD4B23"/>
    <w:rsid w:val="00BD53D6"/>
    <w:rsid w:val="00BD5BCF"/>
    <w:rsid w:val="00BD6B1D"/>
    <w:rsid w:val="00BD6D85"/>
    <w:rsid w:val="00BD7271"/>
    <w:rsid w:val="00BD7DC2"/>
    <w:rsid w:val="00BE04B7"/>
    <w:rsid w:val="00BE0AD8"/>
    <w:rsid w:val="00BE0AFB"/>
    <w:rsid w:val="00BE0C52"/>
    <w:rsid w:val="00BE0DED"/>
    <w:rsid w:val="00BE0F4F"/>
    <w:rsid w:val="00BE146F"/>
    <w:rsid w:val="00BE1F34"/>
    <w:rsid w:val="00BE21CE"/>
    <w:rsid w:val="00BE2261"/>
    <w:rsid w:val="00BE291C"/>
    <w:rsid w:val="00BE2A9C"/>
    <w:rsid w:val="00BE2C90"/>
    <w:rsid w:val="00BE2CED"/>
    <w:rsid w:val="00BE30ED"/>
    <w:rsid w:val="00BE33F5"/>
    <w:rsid w:val="00BE372D"/>
    <w:rsid w:val="00BE37F3"/>
    <w:rsid w:val="00BE3E2B"/>
    <w:rsid w:val="00BE403D"/>
    <w:rsid w:val="00BE4082"/>
    <w:rsid w:val="00BE4179"/>
    <w:rsid w:val="00BE489D"/>
    <w:rsid w:val="00BE4EDE"/>
    <w:rsid w:val="00BE4F1B"/>
    <w:rsid w:val="00BE5245"/>
    <w:rsid w:val="00BE5841"/>
    <w:rsid w:val="00BE5C33"/>
    <w:rsid w:val="00BE5CB2"/>
    <w:rsid w:val="00BE60DD"/>
    <w:rsid w:val="00BE6368"/>
    <w:rsid w:val="00BE6740"/>
    <w:rsid w:val="00BE6C9F"/>
    <w:rsid w:val="00BE6E6B"/>
    <w:rsid w:val="00BE7230"/>
    <w:rsid w:val="00BE7976"/>
    <w:rsid w:val="00BF0999"/>
    <w:rsid w:val="00BF0AFD"/>
    <w:rsid w:val="00BF0B8C"/>
    <w:rsid w:val="00BF0F7B"/>
    <w:rsid w:val="00BF113A"/>
    <w:rsid w:val="00BF142C"/>
    <w:rsid w:val="00BF1658"/>
    <w:rsid w:val="00BF1663"/>
    <w:rsid w:val="00BF17C5"/>
    <w:rsid w:val="00BF195F"/>
    <w:rsid w:val="00BF1D64"/>
    <w:rsid w:val="00BF1F4F"/>
    <w:rsid w:val="00BF20D4"/>
    <w:rsid w:val="00BF279E"/>
    <w:rsid w:val="00BF2C2C"/>
    <w:rsid w:val="00BF2C4C"/>
    <w:rsid w:val="00BF3BCE"/>
    <w:rsid w:val="00BF4127"/>
    <w:rsid w:val="00BF4533"/>
    <w:rsid w:val="00BF5F5E"/>
    <w:rsid w:val="00BF6093"/>
    <w:rsid w:val="00BF615C"/>
    <w:rsid w:val="00BF6EDC"/>
    <w:rsid w:val="00BF749F"/>
    <w:rsid w:val="00BF77C9"/>
    <w:rsid w:val="00BF7A16"/>
    <w:rsid w:val="00C00450"/>
    <w:rsid w:val="00C00D8B"/>
    <w:rsid w:val="00C011D4"/>
    <w:rsid w:val="00C01283"/>
    <w:rsid w:val="00C012A9"/>
    <w:rsid w:val="00C01387"/>
    <w:rsid w:val="00C0188C"/>
    <w:rsid w:val="00C019DF"/>
    <w:rsid w:val="00C01D40"/>
    <w:rsid w:val="00C02A9B"/>
    <w:rsid w:val="00C02F55"/>
    <w:rsid w:val="00C0320B"/>
    <w:rsid w:val="00C03243"/>
    <w:rsid w:val="00C03A2F"/>
    <w:rsid w:val="00C0412A"/>
    <w:rsid w:val="00C04B78"/>
    <w:rsid w:val="00C0515C"/>
    <w:rsid w:val="00C059AA"/>
    <w:rsid w:val="00C05CBB"/>
    <w:rsid w:val="00C066B7"/>
    <w:rsid w:val="00C066E5"/>
    <w:rsid w:val="00C06F88"/>
    <w:rsid w:val="00C07673"/>
    <w:rsid w:val="00C07D49"/>
    <w:rsid w:val="00C109AD"/>
    <w:rsid w:val="00C10B5F"/>
    <w:rsid w:val="00C117DB"/>
    <w:rsid w:val="00C12B06"/>
    <w:rsid w:val="00C13657"/>
    <w:rsid w:val="00C1380E"/>
    <w:rsid w:val="00C139E4"/>
    <w:rsid w:val="00C13B1B"/>
    <w:rsid w:val="00C13B2A"/>
    <w:rsid w:val="00C13B32"/>
    <w:rsid w:val="00C13F2C"/>
    <w:rsid w:val="00C1404D"/>
    <w:rsid w:val="00C144B7"/>
    <w:rsid w:val="00C14FD2"/>
    <w:rsid w:val="00C15027"/>
    <w:rsid w:val="00C150AE"/>
    <w:rsid w:val="00C15135"/>
    <w:rsid w:val="00C15A43"/>
    <w:rsid w:val="00C15D8B"/>
    <w:rsid w:val="00C1605C"/>
    <w:rsid w:val="00C16674"/>
    <w:rsid w:val="00C166DD"/>
    <w:rsid w:val="00C16848"/>
    <w:rsid w:val="00C168F6"/>
    <w:rsid w:val="00C1748D"/>
    <w:rsid w:val="00C17C76"/>
    <w:rsid w:val="00C202B9"/>
    <w:rsid w:val="00C20455"/>
    <w:rsid w:val="00C20556"/>
    <w:rsid w:val="00C2056A"/>
    <w:rsid w:val="00C2059F"/>
    <w:rsid w:val="00C20BAB"/>
    <w:rsid w:val="00C20DA8"/>
    <w:rsid w:val="00C21347"/>
    <w:rsid w:val="00C218F6"/>
    <w:rsid w:val="00C21F0F"/>
    <w:rsid w:val="00C22009"/>
    <w:rsid w:val="00C22385"/>
    <w:rsid w:val="00C22A26"/>
    <w:rsid w:val="00C22BA5"/>
    <w:rsid w:val="00C234ED"/>
    <w:rsid w:val="00C2357F"/>
    <w:rsid w:val="00C2392E"/>
    <w:rsid w:val="00C23B4C"/>
    <w:rsid w:val="00C24188"/>
    <w:rsid w:val="00C2419F"/>
    <w:rsid w:val="00C242DB"/>
    <w:rsid w:val="00C2501C"/>
    <w:rsid w:val="00C26548"/>
    <w:rsid w:val="00C266D0"/>
    <w:rsid w:val="00C26BB8"/>
    <w:rsid w:val="00C2745B"/>
    <w:rsid w:val="00C274B3"/>
    <w:rsid w:val="00C277BF"/>
    <w:rsid w:val="00C278DA"/>
    <w:rsid w:val="00C27B9A"/>
    <w:rsid w:val="00C300F7"/>
    <w:rsid w:val="00C3037F"/>
    <w:rsid w:val="00C30AF7"/>
    <w:rsid w:val="00C30BF1"/>
    <w:rsid w:val="00C30C7D"/>
    <w:rsid w:val="00C30EB2"/>
    <w:rsid w:val="00C3115A"/>
    <w:rsid w:val="00C32410"/>
    <w:rsid w:val="00C3266B"/>
    <w:rsid w:val="00C32AC2"/>
    <w:rsid w:val="00C33BAD"/>
    <w:rsid w:val="00C3442B"/>
    <w:rsid w:val="00C34449"/>
    <w:rsid w:val="00C34895"/>
    <w:rsid w:val="00C34EF3"/>
    <w:rsid w:val="00C359D9"/>
    <w:rsid w:val="00C35CDC"/>
    <w:rsid w:val="00C35E6E"/>
    <w:rsid w:val="00C35E73"/>
    <w:rsid w:val="00C36811"/>
    <w:rsid w:val="00C36823"/>
    <w:rsid w:val="00C37383"/>
    <w:rsid w:val="00C373C6"/>
    <w:rsid w:val="00C37E16"/>
    <w:rsid w:val="00C37FCB"/>
    <w:rsid w:val="00C406FB"/>
    <w:rsid w:val="00C40E41"/>
    <w:rsid w:val="00C422C7"/>
    <w:rsid w:val="00C42753"/>
    <w:rsid w:val="00C429F2"/>
    <w:rsid w:val="00C43599"/>
    <w:rsid w:val="00C435AC"/>
    <w:rsid w:val="00C44F72"/>
    <w:rsid w:val="00C452BD"/>
    <w:rsid w:val="00C45949"/>
    <w:rsid w:val="00C45EFD"/>
    <w:rsid w:val="00C45F59"/>
    <w:rsid w:val="00C465D4"/>
    <w:rsid w:val="00C46724"/>
    <w:rsid w:val="00C4722C"/>
    <w:rsid w:val="00C4750A"/>
    <w:rsid w:val="00C476DF"/>
    <w:rsid w:val="00C47FC7"/>
    <w:rsid w:val="00C50033"/>
    <w:rsid w:val="00C508AB"/>
    <w:rsid w:val="00C510F8"/>
    <w:rsid w:val="00C51155"/>
    <w:rsid w:val="00C5153B"/>
    <w:rsid w:val="00C52550"/>
    <w:rsid w:val="00C52678"/>
    <w:rsid w:val="00C5292B"/>
    <w:rsid w:val="00C52AA9"/>
    <w:rsid w:val="00C52ABB"/>
    <w:rsid w:val="00C5329E"/>
    <w:rsid w:val="00C53533"/>
    <w:rsid w:val="00C53563"/>
    <w:rsid w:val="00C53707"/>
    <w:rsid w:val="00C53A77"/>
    <w:rsid w:val="00C545DC"/>
    <w:rsid w:val="00C546C8"/>
    <w:rsid w:val="00C546FA"/>
    <w:rsid w:val="00C54B31"/>
    <w:rsid w:val="00C54BB6"/>
    <w:rsid w:val="00C55576"/>
    <w:rsid w:val="00C55646"/>
    <w:rsid w:val="00C55EA0"/>
    <w:rsid w:val="00C55F30"/>
    <w:rsid w:val="00C56F00"/>
    <w:rsid w:val="00C56F85"/>
    <w:rsid w:val="00C570D3"/>
    <w:rsid w:val="00C577CD"/>
    <w:rsid w:val="00C60A47"/>
    <w:rsid w:val="00C60FE0"/>
    <w:rsid w:val="00C6202C"/>
    <w:rsid w:val="00C6207B"/>
    <w:rsid w:val="00C6293D"/>
    <w:rsid w:val="00C63503"/>
    <w:rsid w:val="00C63670"/>
    <w:rsid w:val="00C63947"/>
    <w:rsid w:val="00C63E14"/>
    <w:rsid w:val="00C64426"/>
    <w:rsid w:val="00C6468C"/>
    <w:rsid w:val="00C648B2"/>
    <w:rsid w:val="00C64F0A"/>
    <w:rsid w:val="00C65104"/>
    <w:rsid w:val="00C6559F"/>
    <w:rsid w:val="00C65A00"/>
    <w:rsid w:val="00C65D1E"/>
    <w:rsid w:val="00C6603C"/>
    <w:rsid w:val="00C66045"/>
    <w:rsid w:val="00C6647C"/>
    <w:rsid w:val="00C6685C"/>
    <w:rsid w:val="00C66F24"/>
    <w:rsid w:val="00C672A0"/>
    <w:rsid w:val="00C67DDD"/>
    <w:rsid w:val="00C67E44"/>
    <w:rsid w:val="00C67F06"/>
    <w:rsid w:val="00C701AD"/>
    <w:rsid w:val="00C702EA"/>
    <w:rsid w:val="00C7035C"/>
    <w:rsid w:val="00C70461"/>
    <w:rsid w:val="00C705D8"/>
    <w:rsid w:val="00C70F8D"/>
    <w:rsid w:val="00C7102A"/>
    <w:rsid w:val="00C714EE"/>
    <w:rsid w:val="00C71D62"/>
    <w:rsid w:val="00C727A7"/>
    <w:rsid w:val="00C72B7F"/>
    <w:rsid w:val="00C73AF1"/>
    <w:rsid w:val="00C7408E"/>
    <w:rsid w:val="00C742AD"/>
    <w:rsid w:val="00C7458F"/>
    <w:rsid w:val="00C747D7"/>
    <w:rsid w:val="00C74841"/>
    <w:rsid w:val="00C74B34"/>
    <w:rsid w:val="00C74C44"/>
    <w:rsid w:val="00C753BD"/>
    <w:rsid w:val="00C757A2"/>
    <w:rsid w:val="00C7615C"/>
    <w:rsid w:val="00C765FC"/>
    <w:rsid w:val="00C76D46"/>
    <w:rsid w:val="00C76F1F"/>
    <w:rsid w:val="00C7782E"/>
    <w:rsid w:val="00C77898"/>
    <w:rsid w:val="00C8103A"/>
    <w:rsid w:val="00C8123F"/>
    <w:rsid w:val="00C816F9"/>
    <w:rsid w:val="00C8188C"/>
    <w:rsid w:val="00C81923"/>
    <w:rsid w:val="00C8234C"/>
    <w:rsid w:val="00C824AC"/>
    <w:rsid w:val="00C82876"/>
    <w:rsid w:val="00C828C2"/>
    <w:rsid w:val="00C83378"/>
    <w:rsid w:val="00C83530"/>
    <w:rsid w:val="00C837B7"/>
    <w:rsid w:val="00C83931"/>
    <w:rsid w:val="00C84603"/>
    <w:rsid w:val="00C8467E"/>
    <w:rsid w:val="00C846EF"/>
    <w:rsid w:val="00C8489C"/>
    <w:rsid w:val="00C84E76"/>
    <w:rsid w:val="00C8500C"/>
    <w:rsid w:val="00C85453"/>
    <w:rsid w:val="00C8680C"/>
    <w:rsid w:val="00C86C3E"/>
    <w:rsid w:val="00C86E44"/>
    <w:rsid w:val="00C8781C"/>
    <w:rsid w:val="00C87A38"/>
    <w:rsid w:val="00C87B9E"/>
    <w:rsid w:val="00C87BAD"/>
    <w:rsid w:val="00C87EC7"/>
    <w:rsid w:val="00C87F53"/>
    <w:rsid w:val="00C9021A"/>
    <w:rsid w:val="00C90313"/>
    <w:rsid w:val="00C9076D"/>
    <w:rsid w:val="00C90FE5"/>
    <w:rsid w:val="00C913A1"/>
    <w:rsid w:val="00C91458"/>
    <w:rsid w:val="00C91579"/>
    <w:rsid w:val="00C9169B"/>
    <w:rsid w:val="00C919DE"/>
    <w:rsid w:val="00C91DAC"/>
    <w:rsid w:val="00C9244D"/>
    <w:rsid w:val="00C92540"/>
    <w:rsid w:val="00C926DF"/>
    <w:rsid w:val="00C927C0"/>
    <w:rsid w:val="00C92D30"/>
    <w:rsid w:val="00C92DF4"/>
    <w:rsid w:val="00C931AF"/>
    <w:rsid w:val="00C933FD"/>
    <w:rsid w:val="00C93BC9"/>
    <w:rsid w:val="00C943D9"/>
    <w:rsid w:val="00C945E3"/>
    <w:rsid w:val="00C9465E"/>
    <w:rsid w:val="00C94783"/>
    <w:rsid w:val="00C94894"/>
    <w:rsid w:val="00C94F22"/>
    <w:rsid w:val="00C9558C"/>
    <w:rsid w:val="00C95C50"/>
    <w:rsid w:val="00C95DBF"/>
    <w:rsid w:val="00C96455"/>
    <w:rsid w:val="00C964A4"/>
    <w:rsid w:val="00C96678"/>
    <w:rsid w:val="00C96AF5"/>
    <w:rsid w:val="00C9706D"/>
    <w:rsid w:val="00C977FD"/>
    <w:rsid w:val="00C97D44"/>
    <w:rsid w:val="00C97E0F"/>
    <w:rsid w:val="00C97FA1"/>
    <w:rsid w:val="00CA01AC"/>
    <w:rsid w:val="00CA01C4"/>
    <w:rsid w:val="00CA05CC"/>
    <w:rsid w:val="00CA06A2"/>
    <w:rsid w:val="00CA081A"/>
    <w:rsid w:val="00CA0AED"/>
    <w:rsid w:val="00CA10D9"/>
    <w:rsid w:val="00CA207A"/>
    <w:rsid w:val="00CA2BA2"/>
    <w:rsid w:val="00CA2C07"/>
    <w:rsid w:val="00CA2D02"/>
    <w:rsid w:val="00CA307E"/>
    <w:rsid w:val="00CA3178"/>
    <w:rsid w:val="00CA31F4"/>
    <w:rsid w:val="00CA3621"/>
    <w:rsid w:val="00CA3AC1"/>
    <w:rsid w:val="00CA41FA"/>
    <w:rsid w:val="00CA43DF"/>
    <w:rsid w:val="00CA4678"/>
    <w:rsid w:val="00CA46C2"/>
    <w:rsid w:val="00CA4C0E"/>
    <w:rsid w:val="00CA4CF3"/>
    <w:rsid w:val="00CA4F1A"/>
    <w:rsid w:val="00CA507E"/>
    <w:rsid w:val="00CA56F2"/>
    <w:rsid w:val="00CA5CB5"/>
    <w:rsid w:val="00CA6130"/>
    <w:rsid w:val="00CA625D"/>
    <w:rsid w:val="00CA62C4"/>
    <w:rsid w:val="00CA6589"/>
    <w:rsid w:val="00CA68A0"/>
    <w:rsid w:val="00CA6CB2"/>
    <w:rsid w:val="00CA7144"/>
    <w:rsid w:val="00CA79D0"/>
    <w:rsid w:val="00CA7A8C"/>
    <w:rsid w:val="00CB03BD"/>
    <w:rsid w:val="00CB10DD"/>
    <w:rsid w:val="00CB1674"/>
    <w:rsid w:val="00CB170C"/>
    <w:rsid w:val="00CB1BCD"/>
    <w:rsid w:val="00CB1CDB"/>
    <w:rsid w:val="00CB1E3D"/>
    <w:rsid w:val="00CB2152"/>
    <w:rsid w:val="00CB2FE8"/>
    <w:rsid w:val="00CB34F5"/>
    <w:rsid w:val="00CB36E0"/>
    <w:rsid w:val="00CB373B"/>
    <w:rsid w:val="00CB3C92"/>
    <w:rsid w:val="00CB3CC7"/>
    <w:rsid w:val="00CB3EFC"/>
    <w:rsid w:val="00CB45D4"/>
    <w:rsid w:val="00CB4D62"/>
    <w:rsid w:val="00CB515C"/>
    <w:rsid w:val="00CB51B7"/>
    <w:rsid w:val="00CB5C60"/>
    <w:rsid w:val="00CB5CCD"/>
    <w:rsid w:val="00CB5CD0"/>
    <w:rsid w:val="00CB5DF4"/>
    <w:rsid w:val="00CB5E0F"/>
    <w:rsid w:val="00CB6469"/>
    <w:rsid w:val="00CB67C3"/>
    <w:rsid w:val="00CB7260"/>
    <w:rsid w:val="00CB7874"/>
    <w:rsid w:val="00CB7929"/>
    <w:rsid w:val="00CB7B79"/>
    <w:rsid w:val="00CB7CE0"/>
    <w:rsid w:val="00CB7D21"/>
    <w:rsid w:val="00CC0223"/>
    <w:rsid w:val="00CC02BF"/>
    <w:rsid w:val="00CC07C3"/>
    <w:rsid w:val="00CC084B"/>
    <w:rsid w:val="00CC1404"/>
    <w:rsid w:val="00CC1916"/>
    <w:rsid w:val="00CC2134"/>
    <w:rsid w:val="00CC238F"/>
    <w:rsid w:val="00CC29F5"/>
    <w:rsid w:val="00CC3D2E"/>
    <w:rsid w:val="00CC3E00"/>
    <w:rsid w:val="00CC425B"/>
    <w:rsid w:val="00CC4266"/>
    <w:rsid w:val="00CC43FA"/>
    <w:rsid w:val="00CC4BA7"/>
    <w:rsid w:val="00CC5170"/>
    <w:rsid w:val="00CC5201"/>
    <w:rsid w:val="00CC5317"/>
    <w:rsid w:val="00CC53AC"/>
    <w:rsid w:val="00CC54B4"/>
    <w:rsid w:val="00CC58C4"/>
    <w:rsid w:val="00CC5BA3"/>
    <w:rsid w:val="00CC5C6A"/>
    <w:rsid w:val="00CC5F3C"/>
    <w:rsid w:val="00CC6267"/>
    <w:rsid w:val="00CC680F"/>
    <w:rsid w:val="00CC6A99"/>
    <w:rsid w:val="00CC6E75"/>
    <w:rsid w:val="00CC6F85"/>
    <w:rsid w:val="00CC7097"/>
    <w:rsid w:val="00CC79C4"/>
    <w:rsid w:val="00CC7E69"/>
    <w:rsid w:val="00CD0005"/>
    <w:rsid w:val="00CD0224"/>
    <w:rsid w:val="00CD09CA"/>
    <w:rsid w:val="00CD0A19"/>
    <w:rsid w:val="00CD1257"/>
    <w:rsid w:val="00CD1843"/>
    <w:rsid w:val="00CD19CB"/>
    <w:rsid w:val="00CD19E9"/>
    <w:rsid w:val="00CD1E55"/>
    <w:rsid w:val="00CD20C1"/>
    <w:rsid w:val="00CD22EC"/>
    <w:rsid w:val="00CD2355"/>
    <w:rsid w:val="00CD24D7"/>
    <w:rsid w:val="00CD277F"/>
    <w:rsid w:val="00CD2783"/>
    <w:rsid w:val="00CD2DA7"/>
    <w:rsid w:val="00CD3078"/>
    <w:rsid w:val="00CD3238"/>
    <w:rsid w:val="00CD3533"/>
    <w:rsid w:val="00CD36F7"/>
    <w:rsid w:val="00CD3731"/>
    <w:rsid w:val="00CD3908"/>
    <w:rsid w:val="00CD4130"/>
    <w:rsid w:val="00CD434B"/>
    <w:rsid w:val="00CD4452"/>
    <w:rsid w:val="00CD524C"/>
    <w:rsid w:val="00CD56B0"/>
    <w:rsid w:val="00CD5994"/>
    <w:rsid w:val="00CD59C7"/>
    <w:rsid w:val="00CD5C86"/>
    <w:rsid w:val="00CD6374"/>
    <w:rsid w:val="00CD67C6"/>
    <w:rsid w:val="00CD7C0E"/>
    <w:rsid w:val="00CD7E59"/>
    <w:rsid w:val="00CE0E7D"/>
    <w:rsid w:val="00CE0F46"/>
    <w:rsid w:val="00CE0F9B"/>
    <w:rsid w:val="00CE102E"/>
    <w:rsid w:val="00CE113C"/>
    <w:rsid w:val="00CE12A4"/>
    <w:rsid w:val="00CE14C0"/>
    <w:rsid w:val="00CE159F"/>
    <w:rsid w:val="00CE1DC2"/>
    <w:rsid w:val="00CE2508"/>
    <w:rsid w:val="00CE26E0"/>
    <w:rsid w:val="00CE38D8"/>
    <w:rsid w:val="00CE3A20"/>
    <w:rsid w:val="00CE401C"/>
    <w:rsid w:val="00CE480C"/>
    <w:rsid w:val="00CE4989"/>
    <w:rsid w:val="00CE51A0"/>
    <w:rsid w:val="00CE56D3"/>
    <w:rsid w:val="00CE5A16"/>
    <w:rsid w:val="00CE65B9"/>
    <w:rsid w:val="00CE74EF"/>
    <w:rsid w:val="00CE7944"/>
    <w:rsid w:val="00CF06C7"/>
    <w:rsid w:val="00CF0FD0"/>
    <w:rsid w:val="00CF12BE"/>
    <w:rsid w:val="00CF204E"/>
    <w:rsid w:val="00CF2C1C"/>
    <w:rsid w:val="00CF2CEE"/>
    <w:rsid w:val="00CF2D1C"/>
    <w:rsid w:val="00CF305B"/>
    <w:rsid w:val="00CF36ED"/>
    <w:rsid w:val="00CF37A0"/>
    <w:rsid w:val="00CF37C1"/>
    <w:rsid w:val="00CF38EA"/>
    <w:rsid w:val="00CF42FD"/>
    <w:rsid w:val="00CF43D1"/>
    <w:rsid w:val="00CF46D4"/>
    <w:rsid w:val="00CF4841"/>
    <w:rsid w:val="00CF4A7C"/>
    <w:rsid w:val="00CF4D81"/>
    <w:rsid w:val="00CF547B"/>
    <w:rsid w:val="00CF54C4"/>
    <w:rsid w:val="00CF5603"/>
    <w:rsid w:val="00CF5C61"/>
    <w:rsid w:val="00CF5E43"/>
    <w:rsid w:val="00CF5E6A"/>
    <w:rsid w:val="00CF5F05"/>
    <w:rsid w:val="00CF6F02"/>
    <w:rsid w:val="00CF7786"/>
    <w:rsid w:val="00CF7A00"/>
    <w:rsid w:val="00CFE3E1"/>
    <w:rsid w:val="00D0011A"/>
    <w:rsid w:val="00D00197"/>
    <w:rsid w:val="00D00413"/>
    <w:rsid w:val="00D00AA3"/>
    <w:rsid w:val="00D00AF6"/>
    <w:rsid w:val="00D00C43"/>
    <w:rsid w:val="00D010B8"/>
    <w:rsid w:val="00D011E1"/>
    <w:rsid w:val="00D014B3"/>
    <w:rsid w:val="00D016F1"/>
    <w:rsid w:val="00D01E35"/>
    <w:rsid w:val="00D022C8"/>
    <w:rsid w:val="00D02330"/>
    <w:rsid w:val="00D023B9"/>
    <w:rsid w:val="00D029D3"/>
    <w:rsid w:val="00D02DCB"/>
    <w:rsid w:val="00D031C9"/>
    <w:rsid w:val="00D0344B"/>
    <w:rsid w:val="00D03BCD"/>
    <w:rsid w:val="00D03C84"/>
    <w:rsid w:val="00D041E9"/>
    <w:rsid w:val="00D04340"/>
    <w:rsid w:val="00D045D9"/>
    <w:rsid w:val="00D0482B"/>
    <w:rsid w:val="00D04A49"/>
    <w:rsid w:val="00D04A77"/>
    <w:rsid w:val="00D04AD7"/>
    <w:rsid w:val="00D04E2D"/>
    <w:rsid w:val="00D052B9"/>
    <w:rsid w:val="00D05459"/>
    <w:rsid w:val="00D057C2"/>
    <w:rsid w:val="00D058DE"/>
    <w:rsid w:val="00D05989"/>
    <w:rsid w:val="00D059C0"/>
    <w:rsid w:val="00D059CE"/>
    <w:rsid w:val="00D05A3C"/>
    <w:rsid w:val="00D05D30"/>
    <w:rsid w:val="00D0697F"/>
    <w:rsid w:val="00D0711F"/>
    <w:rsid w:val="00D072E5"/>
    <w:rsid w:val="00D07968"/>
    <w:rsid w:val="00D07A37"/>
    <w:rsid w:val="00D07B39"/>
    <w:rsid w:val="00D07B4C"/>
    <w:rsid w:val="00D07F73"/>
    <w:rsid w:val="00D10756"/>
    <w:rsid w:val="00D10EA5"/>
    <w:rsid w:val="00D11B00"/>
    <w:rsid w:val="00D11B60"/>
    <w:rsid w:val="00D11CB0"/>
    <w:rsid w:val="00D11EA1"/>
    <w:rsid w:val="00D12D40"/>
    <w:rsid w:val="00D1375D"/>
    <w:rsid w:val="00D14221"/>
    <w:rsid w:val="00D14844"/>
    <w:rsid w:val="00D14890"/>
    <w:rsid w:val="00D14BE3"/>
    <w:rsid w:val="00D14EB8"/>
    <w:rsid w:val="00D154C6"/>
    <w:rsid w:val="00D157C4"/>
    <w:rsid w:val="00D15E95"/>
    <w:rsid w:val="00D15F2C"/>
    <w:rsid w:val="00D16332"/>
    <w:rsid w:val="00D16763"/>
    <w:rsid w:val="00D169C2"/>
    <w:rsid w:val="00D16EAF"/>
    <w:rsid w:val="00D16F12"/>
    <w:rsid w:val="00D171E9"/>
    <w:rsid w:val="00D176AA"/>
    <w:rsid w:val="00D176E8"/>
    <w:rsid w:val="00D1F26D"/>
    <w:rsid w:val="00D20006"/>
    <w:rsid w:val="00D200B4"/>
    <w:rsid w:val="00D2041C"/>
    <w:rsid w:val="00D204B9"/>
    <w:rsid w:val="00D20543"/>
    <w:rsid w:val="00D20721"/>
    <w:rsid w:val="00D20DCE"/>
    <w:rsid w:val="00D21095"/>
    <w:rsid w:val="00D21560"/>
    <w:rsid w:val="00D21651"/>
    <w:rsid w:val="00D2302F"/>
    <w:rsid w:val="00D23065"/>
    <w:rsid w:val="00D2330F"/>
    <w:rsid w:val="00D23408"/>
    <w:rsid w:val="00D2383F"/>
    <w:rsid w:val="00D23859"/>
    <w:rsid w:val="00D23B51"/>
    <w:rsid w:val="00D23BC9"/>
    <w:rsid w:val="00D242D2"/>
    <w:rsid w:val="00D243AB"/>
    <w:rsid w:val="00D24419"/>
    <w:rsid w:val="00D244B6"/>
    <w:rsid w:val="00D24BE6"/>
    <w:rsid w:val="00D24D39"/>
    <w:rsid w:val="00D24D69"/>
    <w:rsid w:val="00D25395"/>
    <w:rsid w:val="00D259A3"/>
    <w:rsid w:val="00D25ADE"/>
    <w:rsid w:val="00D25CD0"/>
    <w:rsid w:val="00D25DAD"/>
    <w:rsid w:val="00D26B81"/>
    <w:rsid w:val="00D27136"/>
    <w:rsid w:val="00D27349"/>
    <w:rsid w:val="00D27B16"/>
    <w:rsid w:val="00D30381"/>
    <w:rsid w:val="00D30501"/>
    <w:rsid w:val="00D30854"/>
    <w:rsid w:val="00D30884"/>
    <w:rsid w:val="00D308A3"/>
    <w:rsid w:val="00D309B9"/>
    <w:rsid w:val="00D30AFB"/>
    <w:rsid w:val="00D30C23"/>
    <w:rsid w:val="00D30E4D"/>
    <w:rsid w:val="00D31D91"/>
    <w:rsid w:val="00D32191"/>
    <w:rsid w:val="00D322E7"/>
    <w:rsid w:val="00D32DD2"/>
    <w:rsid w:val="00D32E9A"/>
    <w:rsid w:val="00D32F60"/>
    <w:rsid w:val="00D33604"/>
    <w:rsid w:val="00D338A1"/>
    <w:rsid w:val="00D34046"/>
    <w:rsid w:val="00D3405E"/>
    <w:rsid w:val="00D343EC"/>
    <w:rsid w:val="00D3442C"/>
    <w:rsid w:val="00D3482A"/>
    <w:rsid w:val="00D34F09"/>
    <w:rsid w:val="00D3508D"/>
    <w:rsid w:val="00D351EE"/>
    <w:rsid w:val="00D35729"/>
    <w:rsid w:val="00D35AB6"/>
    <w:rsid w:val="00D35D2B"/>
    <w:rsid w:val="00D364B6"/>
    <w:rsid w:val="00D364FF"/>
    <w:rsid w:val="00D36568"/>
    <w:rsid w:val="00D36922"/>
    <w:rsid w:val="00D3697C"/>
    <w:rsid w:val="00D36B26"/>
    <w:rsid w:val="00D36FD2"/>
    <w:rsid w:val="00D37198"/>
    <w:rsid w:val="00D377D1"/>
    <w:rsid w:val="00D37FCC"/>
    <w:rsid w:val="00D40188"/>
    <w:rsid w:val="00D401DF"/>
    <w:rsid w:val="00D40432"/>
    <w:rsid w:val="00D40B58"/>
    <w:rsid w:val="00D41594"/>
    <w:rsid w:val="00D41857"/>
    <w:rsid w:val="00D41F29"/>
    <w:rsid w:val="00D42295"/>
    <w:rsid w:val="00D4276C"/>
    <w:rsid w:val="00D428CC"/>
    <w:rsid w:val="00D4299F"/>
    <w:rsid w:val="00D43297"/>
    <w:rsid w:val="00D433EA"/>
    <w:rsid w:val="00D4367D"/>
    <w:rsid w:val="00D436E1"/>
    <w:rsid w:val="00D438EA"/>
    <w:rsid w:val="00D44510"/>
    <w:rsid w:val="00D44DB6"/>
    <w:rsid w:val="00D45750"/>
    <w:rsid w:val="00D457EC"/>
    <w:rsid w:val="00D45E70"/>
    <w:rsid w:val="00D4645E"/>
    <w:rsid w:val="00D46722"/>
    <w:rsid w:val="00D4692B"/>
    <w:rsid w:val="00D46CE2"/>
    <w:rsid w:val="00D46ECE"/>
    <w:rsid w:val="00D47424"/>
    <w:rsid w:val="00D47513"/>
    <w:rsid w:val="00D4757A"/>
    <w:rsid w:val="00D47B8C"/>
    <w:rsid w:val="00D47C0A"/>
    <w:rsid w:val="00D50119"/>
    <w:rsid w:val="00D5080A"/>
    <w:rsid w:val="00D50D3E"/>
    <w:rsid w:val="00D51060"/>
    <w:rsid w:val="00D510F0"/>
    <w:rsid w:val="00D5112F"/>
    <w:rsid w:val="00D51269"/>
    <w:rsid w:val="00D51330"/>
    <w:rsid w:val="00D515CF"/>
    <w:rsid w:val="00D5164A"/>
    <w:rsid w:val="00D5171B"/>
    <w:rsid w:val="00D52212"/>
    <w:rsid w:val="00D522AC"/>
    <w:rsid w:val="00D52F62"/>
    <w:rsid w:val="00D5317C"/>
    <w:rsid w:val="00D538E4"/>
    <w:rsid w:val="00D53A02"/>
    <w:rsid w:val="00D54048"/>
    <w:rsid w:val="00D54DDA"/>
    <w:rsid w:val="00D54ECA"/>
    <w:rsid w:val="00D553A4"/>
    <w:rsid w:val="00D5596B"/>
    <w:rsid w:val="00D55BD2"/>
    <w:rsid w:val="00D55F28"/>
    <w:rsid w:val="00D560F7"/>
    <w:rsid w:val="00D56457"/>
    <w:rsid w:val="00D564DC"/>
    <w:rsid w:val="00D566E1"/>
    <w:rsid w:val="00D5696D"/>
    <w:rsid w:val="00D56DB9"/>
    <w:rsid w:val="00D574B1"/>
    <w:rsid w:val="00D57510"/>
    <w:rsid w:val="00D57812"/>
    <w:rsid w:val="00D578BF"/>
    <w:rsid w:val="00D57B50"/>
    <w:rsid w:val="00D57C67"/>
    <w:rsid w:val="00D57D1D"/>
    <w:rsid w:val="00D60335"/>
    <w:rsid w:val="00D609B4"/>
    <w:rsid w:val="00D60D9B"/>
    <w:rsid w:val="00D6116A"/>
    <w:rsid w:val="00D62213"/>
    <w:rsid w:val="00D623B2"/>
    <w:rsid w:val="00D6265C"/>
    <w:rsid w:val="00D62B0B"/>
    <w:rsid w:val="00D62CC9"/>
    <w:rsid w:val="00D631CE"/>
    <w:rsid w:val="00D63693"/>
    <w:rsid w:val="00D63B1F"/>
    <w:rsid w:val="00D63BFF"/>
    <w:rsid w:val="00D63F13"/>
    <w:rsid w:val="00D63FD5"/>
    <w:rsid w:val="00D640A7"/>
    <w:rsid w:val="00D6438E"/>
    <w:rsid w:val="00D646E5"/>
    <w:rsid w:val="00D64E2B"/>
    <w:rsid w:val="00D64F5A"/>
    <w:rsid w:val="00D64F95"/>
    <w:rsid w:val="00D65540"/>
    <w:rsid w:val="00D65658"/>
    <w:rsid w:val="00D659F5"/>
    <w:rsid w:val="00D65A38"/>
    <w:rsid w:val="00D65CD0"/>
    <w:rsid w:val="00D65E6B"/>
    <w:rsid w:val="00D65EC2"/>
    <w:rsid w:val="00D662DA"/>
    <w:rsid w:val="00D6650A"/>
    <w:rsid w:val="00D66652"/>
    <w:rsid w:val="00D668A6"/>
    <w:rsid w:val="00D66D06"/>
    <w:rsid w:val="00D6739C"/>
    <w:rsid w:val="00D673CF"/>
    <w:rsid w:val="00D674CF"/>
    <w:rsid w:val="00D67897"/>
    <w:rsid w:val="00D67B6D"/>
    <w:rsid w:val="00D67F2A"/>
    <w:rsid w:val="00D7020D"/>
    <w:rsid w:val="00D70355"/>
    <w:rsid w:val="00D706B2"/>
    <w:rsid w:val="00D7092D"/>
    <w:rsid w:val="00D70C22"/>
    <w:rsid w:val="00D71CBA"/>
    <w:rsid w:val="00D71D67"/>
    <w:rsid w:val="00D71EA7"/>
    <w:rsid w:val="00D72754"/>
    <w:rsid w:val="00D72C61"/>
    <w:rsid w:val="00D72CA7"/>
    <w:rsid w:val="00D72DB2"/>
    <w:rsid w:val="00D7303F"/>
    <w:rsid w:val="00D73103"/>
    <w:rsid w:val="00D73992"/>
    <w:rsid w:val="00D74239"/>
    <w:rsid w:val="00D742DD"/>
    <w:rsid w:val="00D74614"/>
    <w:rsid w:val="00D746EB"/>
    <w:rsid w:val="00D74C8D"/>
    <w:rsid w:val="00D756C0"/>
    <w:rsid w:val="00D75B92"/>
    <w:rsid w:val="00D75ECC"/>
    <w:rsid w:val="00D76347"/>
    <w:rsid w:val="00D76544"/>
    <w:rsid w:val="00D768B3"/>
    <w:rsid w:val="00D76954"/>
    <w:rsid w:val="00D76B38"/>
    <w:rsid w:val="00D76CAB"/>
    <w:rsid w:val="00D76FE9"/>
    <w:rsid w:val="00D770AA"/>
    <w:rsid w:val="00D77829"/>
    <w:rsid w:val="00D77C76"/>
    <w:rsid w:val="00D77F90"/>
    <w:rsid w:val="00D80073"/>
    <w:rsid w:val="00D8050F"/>
    <w:rsid w:val="00D807DB"/>
    <w:rsid w:val="00D80C5A"/>
    <w:rsid w:val="00D80E72"/>
    <w:rsid w:val="00D80E73"/>
    <w:rsid w:val="00D81296"/>
    <w:rsid w:val="00D81BCB"/>
    <w:rsid w:val="00D8202F"/>
    <w:rsid w:val="00D828F3"/>
    <w:rsid w:val="00D82963"/>
    <w:rsid w:val="00D829D9"/>
    <w:rsid w:val="00D82A43"/>
    <w:rsid w:val="00D82E5D"/>
    <w:rsid w:val="00D830B2"/>
    <w:rsid w:val="00D836FC"/>
    <w:rsid w:val="00D838F8"/>
    <w:rsid w:val="00D83FFD"/>
    <w:rsid w:val="00D845B6"/>
    <w:rsid w:val="00D84FFC"/>
    <w:rsid w:val="00D851A0"/>
    <w:rsid w:val="00D8547C"/>
    <w:rsid w:val="00D85511"/>
    <w:rsid w:val="00D85588"/>
    <w:rsid w:val="00D85802"/>
    <w:rsid w:val="00D85E6F"/>
    <w:rsid w:val="00D85E9C"/>
    <w:rsid w:val="00D8660B"/>
    <w:rsid w:val="00D8677E"/>
    <w:rsid w:val="00D867EB"/>
    <w:rsid w:val="00D8689E"/>
    <w:rsid w:val="00D868C5"/>
    <w:rsid w:val="00D86E76"/>
    <w:rsid w:val="00D87213"/>
    <w:rsid w:val="00D874AD"/>
    <w:rsid w:val="00D87CA1"/>
    <w:rsid w:val="00D87DAE"/>
    <w:rsid w:val="00D87F0E"/>
    <w:rsid w:val="00D87FD0"/>
    <w:rsid w:val="00D900AB"/>
    <w:rsid w:val="00D9011D"/>
    <w:rsid w:val="00D9047C"/>
    <w:rsid w:val="00D90593"/>
    <w:rsid w:val="00D906EB"/>
    <w:rsid w:val="00D908FA"/>
    <w:rsid w:val="00D90ABE"/>
    <w:rsid w:val="00D90D21"/>
    <w:rsid w:val="00D911FA"/>
    <w:rsid w:val="00D91347"/>
    <w:rsid w:val="00D922B9"/>
    <w:rsid w:val="00D924EE"/>
    <w:rsid w:val="00D93519"/>
    <w:rsid w:val="00D938FC"/>
    <w:rsid w:val="00D9410F"/>
    <w:rsid w:val="00D94188"/>
    <w:rsid w:val="00D946AA"/>
    <w:rsid w:val="00D94EAD"/>
    <w:rsid w:val="00D95052"/>
    <w:rsid w:val="00D953AA"/>
    <w:rsid w:val="00D955AF"/>
    <w:rsid w:val="00D9567F"/>
    <w:rsid w:val="00D963BF"/>
    <w:rsid w:val="00D96F3F"/>
    <w:rsid w:val="00D97162"/>
    <w:rsid w:val="00D97288"/>
    <w:rsid w:val="00D974DC"/>
    <w:rsid w:val="00D9750F"/>
    <w:rsid w:val="00D97579"/>
    <w:rsid w:val="00DA055E"/>
    <w:rsid w:val="00DA090A"/>
    <w:rsid w:val="00DA0B7D"/>
    <w:rsid w:val="00DA11DD"/>
    <w:rsid w:val="00DA1378"/>
    <w:rsid w:val="00DA148D"/>
    <w:rsid w:val="00DA163F"/>
    <w:rsid w:val="00DA1CF6"/>
    <w:rsid w:val="00DA1D05"/>
    <w:rsid w:val="00DA21A1"/>
    <w:rsid w:val="00DA2842"/>
    <w:rsid w:val="00DA314E"/>
    <w:rsid w:val="00DA3464"/>
    <w:rsid w:val="00DA3AFA"/>
    <w:rsid w:val="00DA3D1D"/>
    <w:rsid w:val="00DA3DE4"/>
    <w:rsid w:val="00DA457F"/>
    <w:rsid w:val="00DA4CB5"/>
    <w:rsid w:val="00DA4DC3"/>
    <w:rsid w:val="00DA502A"/>
    <w:rsid w:val="00DA53BB"/>
    <w:rsid w:val="00DA564D"/>
    <w:rsid w:val="00DA594B"/>
    <w:rsid w:val="00DA599D"/>
    <w:rsid w:val="00DA5C5C"/>
    <w:rsid w:val="00DA5C6A"/>
    <w:rsid w:val="00DA5DC2"/>
    <w:rsid w:val="00DA6048"/>
    <w:rsid w:val="00DA6216"/>
    <w:rsid w:val="00DA66F5"/>
    <w:rsid w:val="00DA6750"/>
    <w:rsid w:val="00DA6A65"/>
    <w:rsid w:val="00DA6D89"/>
    <w:rsid w:val="00DA6D9E"/>
    <w:rsid w:val="00DA7A6B"/>
    <w:rsid w:val="00DA7B5D"/>
    <w:rsid w:val="00DA7C14"/>
    <w:rsid w:val="00DA7CBD"/>
    <w:rsid w:val="00DA7DE2"/>
    <w:rsid w:val="00DA7F00"/>
    <w:rsid w:val="00DB002B"/>
    <w:rsid w:val="00DB040A"/>
    <w:rsid w:val="00DB05DA"/>
    <w:rsid w:val="00DB05E2"/>
    <w:rsid w:val="00DB0926"/>
    <w:rsid w:val="00DB0A30"/>
    <w:rsid w:val="00DB0A45"/>
    <w:rsid w:val="00DB0D5E"/>
    <w:rsid w:val="00DB1132"/>
    <w:rsid w:val="00DB1528"/>
    <w:rsid w:val="00DB1724"/>
    <w:rsid w:val="00DB1AC0"/>
    <w:rsid w:val="00DB1B5F"/>
    <w:rsid w:val="00DB1C39"/>
    <w:rsid w:val="00DB1DA1"/>
    <w:rsid w:val="00DB1EC2"/>
    <w:rsid w:val="00DB1F49"/>
    <w:rsid w:val="00DB1F60"/>
    <w:rsid w:val="00DB22C7"/>
    <w:rsid w:val="00DB3143"/>
    <w:rsid w:val="00DB314C"/>
    <w:rsid w:val="00DB33CC"/>
    <w:rsid w:val="00DB392A"/>
    <w:rsid w:val="00DB3A47"/>
    <w:rsid w:val="00DB3D6D"/>
    <w:rsid w:val="00DB3DB2"/>
    <w:rsid w:val="00DB4BBE"/>
    <w:rsid w:val="00DB4FDE"/>
    <w:rsid w:val="00DB52F9"/>
    <w:rsid w:val="00DB563D"/>
    <w:rsid w:val="00DB5730"/>
    <w:rsid w:val="00DB575C"/>
    <w:rsid w:val="00DB594A"/>
    <w:rsid w:val="00DB5D6D"/>
    <w:rsid w:val="00DB5E5A"/>
    <w:rsid w:val="00DB6D60"/>
    <w:rsid w:val="00DB6E2F"/>
    <w:rsid w:val="00DB7073"/>
    <w:rsid w:val="00DB7295"/>
    <w:rsid w:val="00DB7310"/>
    <w:rsid w:val="00DB7C06"/>
    <w:rsid w:val="00DC00E8"/>
    <w:rsid w:val="00DC018D"/>
    <w:rsid w:val="00DC03B5"/>
    <w:rsid w:val="00DC0AFA"/>
    <w:rsid w:val="00DC0B58"/>
    <w:rsid w:val="00DC0EEA"/>
    <w:rsid w:val="00DC15CB"/>
    <w:rsid w:val="00DC1817"/>
    <w:rsid w:val="00DC18C5"/>
    <w:rsid w:val="00DC1DE4"/>
    <w:rsid w:val="00DC1F13"/>
    <w:rsid w:val="00DC1F85"/>
    <w:rsid w:val="00DC2078"/>
    <w:rsid w:val="00DC2106"/>
    <w:rsid w:val="00DC2635"/>
    <w:rsid w:val="00DC27BB"/>
    <w:rsid w:val="00DC28E6"/>
    <w:rsid w:val="00DC2EB1"/>
    <w:rsid w:val="00DC302B"/>
    <w:rsid w:val="00DC34CD"/>
    <w:rsid w:val="00DC40F3"/>
    <w:rsid w:val="00DC4116"/>
    <w:rsid w:val="00DC4180"/>
    <w:rsid w:val="00DC4258"/>
    <w:rsid w:val="00DC478F"/>
    <w:rsid w:val="00DC4969"/>
    <w:rsid w:val="00DC4A28"/>
    <w:rsid w:val="00DC4CBF"/>
    <w:rsid w:val="00DC5158"/>
    <w:rsid w:val="00DC5C3B"/>
    <w:rsid w:val="00DC5D41"/>
    <w:rsid w:val="00DC6235"/>
    <w:rsid w:val="00DC6376"/>
    <w:rsid w:val="00DC677F"/>
    <w:rsid w:val="00DC6C10"/>
    <w:rsid w:val="00DC6C79"/>
    <w:rsid w:val="00DC6DE0"/>
    <w:rsid w:val="00DC75E1"/>
    <w:rsid w:val="00DC7D12"/>
    <w:rsid w:val="00DD01D4"/>
    <w:rsid w:val="00DD04B2"/>
    <w:rsid w:val="00DD0903"/>
    <w:rsid w:val="00DD0A2F"/>
    <w:rsid w:val="00DD0B05"/>
    <w:rsid w:val="00DD1198"/>
    <w:rsid w:val="00DD1294"/>
    <w:rsid w:val="00DD20AC"/>
    <w:rsid w:val="00DD2237"/>
    <w:rsid w:val="00DD29FC"/>
    <w:rsid w:val="00DD2A0A"/>
    <w:rsid w:val="00DD2BA1"/>
    <w:rsid w:val="00DD2E20"/>
    <w:rsid w:val="00DD393F"/>
    <w:rsid w:val="00DD3A32"/>
    <w:rsid w:val="00DD3DC2"/>
    <w:rsid w:val="00DD4713"/>
    <w:rsid w:val="00DD487C"/>
    <w:rsid w:val="00DD4A99"/>
    <w:rsid w:val="00DD4AC6"/>
    <w:rsid w:val="00DD4B5F"/>
    <w:rsid w:val="00DD5713"/>
    <w:rsid w:val="00DD57DC"/>
    <w:rsid w:val="00DD59B0"/>
    <w:rsid w:val="00DD5A80"/>
    <w:rsid w:val="00DD5C46"/>
    <w:rsid w:val="00DD5D1B"/>
    <w:rsid w:val="00DD5E7C"/>
    <w:rsid w:val="00DD608B"/>
    <w:rsid w:val="00DD613A"/>
    <w:rsid w:val="00DD660D"/>
    <w:rsid w:val="00DD70B5"/>
    <w:rsid w:val="00DD7874"/>
    <w:rsid w:val="00DD7AF7"/>
    <w:rsid w:val="00DD7E22"/>
    <w:rsid w:val="00DD7FEF"/>
    <w:rsid w:val="00DE094D"/>
    <w:rsid w:val="00DE1CD4"/>
    <w:rsid w:val="00DE23BA"/>
    <w:rsid w:val="00DE2AE8"/>
    <w:rsid w:val="00DE2D16"/>
    <w:rsid w:val="00DE330A"/>
    <w:rsid w:val="00DE379B"/>
    <w:rsid w:val="00DE448F"/>
    <w:rsid w:val="00DE4B67"/>
    <w:rsid w:val="00DE4FEB"/>
    <w:rsid w:val="00DE5110"/>
    <w:rsid w:val="00DE54C1"/>
    <w:rsid w:val="00DE557B"/>
    <w:rsid w:val="00DE582C"/>
    <w:rsid w:val="00DE5A33"/>
    <w:rsid w:val="00DE5B5D"/>
    <w:rsid w:val="00DE5C29"/>
    <w:rsid w:val="00DE6040"/>
    <w:rsid w:val="00DE6050"/>
    <w:rsid w:val="00DE6483"/>
    <w:rsid w:val="00DE6583"/>
    <w:rsid w:val="00DE67E0"/>
    <w:rsid w:val="00DE6A34"/>
    <w:rsid w:val="00DE6A6F"/>
    <w:rsid w:val="00DE71A4"/>
    <w:rsid w:val="00DE750E"/>
    <w:rsid w:val="00DE7E1E"/>
    <w:rsid w:val="00DF00CF"/>
    <w:rsid w:val="00DF054E"/>
    <w:rsid w:val="00DF086E"/>
    <w:rsid w:val="00DF0892"/>
    <w:rsid w:val="00DF08C4"/>
    <w:rsid w:val="00DF08E6"/>
    <w:rsid w:val="00DF0901"/>
    <w:rsid w:val="00DF0CBE"/>
    <w:rsid w:val="00DF1021"/>
    <w:rsid w:val="00DF102C"/>
    <w:rsid w:val="00DF1926"/>
    <w:rsid w:val="00DF1E1E"/>
    <w:rsid w:val="00DF24C8"/>
    <w:rsid w:val="00DF2643"/>
    <w:rsid w:val="00DF2B6F"/>
    <w:rsid w:val="00DF3617"/>
    <w:rsid w:val="00DF377C"/>
    <w:rsid w:val="00DF3FFF"/>
    <w:rsid w:val="00DF4322"/>
    <w:rsid w:val="00DF49AA"/>
    <w:rsid w:val="00DF507E"/>
    <w:rsid w:val="00DF52E1"/>
    <w:rsid w:val="00DF55FA"/>
    <w:rsid w:val="00DF58E7"/>
    <w:rsid w:val="00DF5DCF"/>
    <w:rsid w:val="00DF5FF4"/>
    <w:rsid w:val="00DF607F"/>
    <w:rsid w:val="00DF6355"/>
    <w:rsid w:val="00DF65D1"/>
    <w:rsid w:val="00DF683C"/>
    <w:rsid w:val="00DF7A64"/>
    <w:rsid w:val="00E00363"/>
    <w:rsid w:val="00E0065A"/>
    <w:rsid w:val="00E00B94"/>
    <w:rsid w:val="00E00D3B"/>
    <w:rsid w:val="00E00D59"/>
    <w:rsid w:val="00E00E20"/>
    <w:rsid w:val="00E01843"/>
    <w:rsid w:val="00E0189A"/>
    <w:rsid w:val="00E0206C"/>
    <w:rsid w:val="00E02711"/>
    <w:rsid w:val="00E0328B"/>
    <w:rsid w:val="00E03D88"/>
    <w:rsid w:val="00E04266"/>
    <w:rsid w:val="00E0439B"/>
    <w:rsid w:val="00E0444F"/>
    <w:rsid w:val="00E04539"/>
    <w:rsid w:val="00E047DE"/>
    <w:rsid w:val="00E047FF"/>
    <w:rsid w:val="00E04882"/>
    <w:rsid w:val="00E04C10"/>
    <w:rsid w:val="00E04E5B"/>
    <w:rsid w:val="00E04ED5"/>
    <w:rsid w:val="00E050A0"/>
    <w:rsid w:val="00E057B9"/>
    <w:rsid w:val="00E058D6"/>
    <w:rsid w:val="00E059B4"/>
    <w:rsid w:val="00E0643B"/>
    <w:rsid w:val="00E06A6B"/>
    <w:rsid w:val="00E07C8A"/>
    <w:rsid w:val="00E07CCB"/>
    <w:rsid w:val="00E1098D"/>
    <w:rsid w:val="00E10AFF"/>
    <w:rsid w:val="00E10CD2"/>
    <w:rsid w:val="00E1115F"/>
    <w:rsid w:val="00E11392"/>
    <w:rsid w:val="00E117FE"/>
    <w:rsid w:val="00E11876"/>
    <w:rsid w:val="00E12056"/>
    <w:rsid w:val="00E12E97"/>
    <w:rsid w:val="00E1348B"/>
    <w:rsid w:val="00E134D5"/>
    <w:rsid w:val="00E13595"/>
    <w:rsid w:val="00E13699"/>
    <w:rsid w:val="00E13768"/>
    <w:rsid w:val="00E13AB7"/>
    <w:rsid w:val="00E14606"/>
    <w:rsid w:val="00E14AFD"/>
    <w:rsid w:val="00E14C5B"/>
    <w:rsid w:val="00E15042"/>
    <w:rsid w:val="00E152E2"/>
    <w:rsid w:val="00E15565"/>
    <w:rsid w:val="00E155E9"/>
    <w:rsid w:val="00E15BB7"/>
    <w:rsid w:val="00E15CE2"/>
    <w:rsid w:val="00E15D56"/>
    <w:rsid w:val="00E16254"/>
    <w:rsid w:val="00E16779"/>
    <w:rsid w:val="00E16E8F"/>
    <w:rsid w:val="00E176B8"/>
    <w:rsid w:val="00E17FB6"/>
    <w:rsid w:val="00E2075D"/>
    <w:rsid w:val="00E2078D"/>
    <w:rsid w:val="00E20B10"/>
    <w:rsid w:val="00E20D78"/>
    <w:rsid w:val="00E21979"/>
    <w:rsid w:val="00E21BBB"/>
    <w:rsid w:val="00E221BD"/>
    <w:rsid w:val="00E22C3F"/>
    <w:rsid w:val="00E22D8B"/>
    <w:rsid w:val="00E22DDE"/>
    <w:rsid w:val="00E236CF"/>
    <w:rsid w:val="00E2391A"/>
    <w:rsid w:val="00E23CBB"/>
    <w:rsid w:val="00E2421E"/>
    <w:rsid w:val="00E242FB"/>
    <w:rsid w:val="00E247F7"/>
    <w:rsid w:val="00E249FC"/>
    <w:rsid w:val="00E24BC3"/>
    <w:rsid w:val="00E24F30"/>
    <w:rsid w:val="00E26098"/>
    <w:rsid w:val="00E26157"/>
    <w:rsid w:val="00E26DEB"/>
    <w:rsid w:val="00E26E28"/>
    <w:rsid w:val="00E27578"/>
    <w:rsid w:val="00E27613"/>
    <w:rsid w:val="00E27AED"/>
    <w:rsid w:val="00E27E20"/>
    <w:rsid w:val="00E30550"/>
    <w:rsid w:val="00E306BA"/>
    <w:rsid w:val="00E312D6"/>
    <w:rsid w:val="00E316FF"/>
    <w:rsid w:val="00E31E2A"/>
    <w:rsid w:val="00E320B7"/>
    <w:rsid w:val="00E3215A"/>
    <w:rsid w:val="00E32161"/>
    <w:rsid w:val="00E32515"/>
    <w:rsid w:val="00E32A9F"/>
    <w:rsid w:val="00E32AD0"/>
    <w:rsid w:val="00E32B2F"/>
    <w:rsid w:val="00E32C00"/>
    <w:rsid w:val="00E3396D"/>
    <w:rsid w:val="00E34178"/>
    <w:rsid w:val="00E3454C"/>
    <w:rsid w:val="00E345CC"/>
    <w:rsid w:val="00E347C0"/>
    <w:rsid w:val="00E34A03"/>
    <w:rsid w:val="00E34A1D"/>
    <w:rsid w:val="00E35065"/>
    <w:rsid w:val="00E3585B"/>
    <w:rsid w:val="00E35AC5"/>
    <w:rsid w:val="00E35D64"/>
    <w:rsid w:val="00E35E49"/>
    <w:rsid w:val="00E362DD"/>
    <w:rsid w:val="00E36494"/>
    <w:rsid w:val="00E36652"/>
    <w:rsid w:val="00E3679C"/>
    <w:rsid w:val="00E3684A"/>
    <w:rsid w:val="00E369EB"/>
    <w:rsid w:val="00E36A80"/>
    <w:rsid w:val="00E37424"/>
    <w:rsid w:val="00E3753C"/>
    <w:rsid w:val="00E37B59"/>
    <w:rsid w:val="00E4023A"/>
    <w:rsid w:val="00E404E8"/>
    <w:rsid w:val="00E4054B"/>
    <w:rsid w:val="00E40DFA"/>
    <w:rsid w:val="00E41071"/>
    <w:rsid w:val="00E41887"/>
    <w:rsid w:val="00E42233"/>
    <w:rsid w:val="00E42346"/>
    <w:rsid w:val="00E42459"/>
    <w:rsid w:val="00E42465"/>
    <w:rsid w:val="00E42680"/>
    <w:rsid w:val="00E429F2"/>
    <w:rsid w:val="00E42AAB"/>
    <w:rsid w:val="00E42C6C"/>
    <w:rsid w:val="00E431AE"/>
    <w:rsid w:val="00E434F2"/>
    <w:rsid w:val="00E4366C"/>
    <w:rsid w:val="00E43A23"/>
    <w:rsid w:val="00E43C17"/>
    <w:rsid w:val="00E44073"/>
    <w:rsid w:val="00E446F8"/>
    <w:rsid w:val="00E452EB"/>
    <w:rsid w:val="00E45C2B"/>
    <w:rsid w:val="00E463D6"/>
    <w:rsid w:val="00E46B74"/>
    <w:rsid w:val="00E46EDA"/>
    <w:rsid w:val="00E47F98"/>
    <w:rsid w:val="00E503D7"/>
    <w:rsid w:val="00E505E9"/>
    <w:rsid w:val="00E51F03"/>
    <w:rsid w:val="00E52091"/>
    <w:rsid w:val="00E525D3"/>
    <w:rsid w:val="00E52683"/>
    <w:rsid w:val="00E52713"/>
    <w:rsid w:val="00E52812"/>
    <w:rsid w:val="00E5284F"/>
    <w:rsid w:val="00E5332A"/>
    <w:rsid w:val="00E53438"/>
    <w:rsid w:val="00E53477"/>
    <w:rsid w:val="00E53488"/>
    <w:rsid w:val="00E534CE"/>
    <w:rsid w:val="00E534ED"/>
    <w:rsid w:val="00E535FF"/>
    <w:rsid w:val="00E537A6"/>
    <w:rsid w:val="00E53F42"/>
    <w:rsid w:val="00E53FBF"/>
    <w:rsid w:val="00E54240"/>
    <w:rsid w:val="00E5454E"/>
    <w:rsid w:val="00E547E4"/>
    <w:rsid w:val="00E54D54"/>
    <w:rsid w:val="00E55C85"/>
    <w:rsid w:val="00E55D43"/>
    <w:rsid w:val="00E55EC3"/>
    <w:rsid w:val="00E569A2"/>
    <w:rsid w:val="00E56A23"/>
    <w:rsid w:val="00E56A5D"/>
    <w:rsid w:val="00E5706F"/>
    <w:rsid w:val="00E57164"/>
    <w:rsid w:val="00E57863"/>
    <w:rsid w:val="00E57A44"/>
    <w:rsid w:val="00E57D6D"/>
    <w:rsid w:val="00E57F69"/>
    <w:rsid w:val="00E601B6"/>
    <w:rsid w:val="00E602D1"/>
    <w:rsid w:val="00E60673"/>
    <w:rsid w:val="00E60800"/>
    <w:rsid w:val="00E609CE"/>
    <w:rsid w:val="00E60A48"/>
    <w:rsid w:val="00E61143"/>
    <w:rsid w:val="00E612A5"/>
    <w:rsid w:val="00E626E3"/>
    <w:rsid w:val="00E62EA0"/>
    <w:rsid w:val="00E631A3"/>
    <w:rsid w:val="00E6384E"/>
    <w:rsid w:val="00E63917"/>
    <w:rsid w:val="00E63C7D"/>
    <w:rsid w:val="00E63F9F"/>
    <w:rsid w:val="00E64048"/>
    <w:rsid w:val="00E647A6"/>
    <w:rsid w:val="00E64A89"/>
    <w:rsid w:val="00E64D6E"/>
    <w:rsid w:val="00E64E41"/>
    <w:rsid w:val="00E650BE"/>
    <w:rsid w:val="00E65307"/>
    <w:rsid w:val="00E65CEC"/>
    <w:rsid w:val="00E65D4E"/>
    <w:rsid w:val="00E65D9E"/>
    <w:rsid w:val="00E660E5"/>
    <w:rsid w:val="00E665C2"/>
    <w:rsid w:val="00E6689B"/>
    <w:rsid w:val="00E6696E"/>
    <w:rsid w:val="00E66B1F"/>
    <w:rsid w:val="00E66D09"/>
    <w:rsid w:val="00E676FD"/>
    <w:rsid w:val="00E678EC"/>
    <w:rsid w:val="00E67D21"/>
    <w:rsid w:val="00E67E40"/>
    <w:rsid w:val="00E67FED"/>
    <w:rsid w:val="00E7006C"/>
    <w:rsid w:val="00E70352"/>
    <w:rsid w:val="00E7060C"/>
    <w:rsid w:val="00E70934"/>
    <w:rsid w:val="00E70BFE"/>
    <w:rsid w:val="00E70CD7"/>
    <w:rsid w:val="00E70E14"/>
    <w:rsid w:val="00E70E8F"/>
    <w:rsid w:val="00E71257"/>
    <w:rsid w:val="00E715C4"/>
    <w:rsid w:val="00E71656"/>
    <w:rsid w:val="00E7165A"/>
    <w:rsid w:val="00E716A7"/>
    <w:rsid w:val="00E719E8"/>
    <w:rsid w:val="00E71AEF"/>
    <w:rsid w:val="00E71B59"/>
    <w:rsid w:val="00E71E2F"/>
    <w:rsid w:val="00E71FAF"/>
    <w:rsid w:val="00E725FC"/>
    <w:rsid w:val="00E727A7"/>
    <w:rsid w:val="00E72B16"/>
    <w:rsid w:val="00E72B6C"/>
    <w:rsid w:val="00E73692"/>
    <w:rsid w:val="00E739C2"/>
    <w:rsid w:val="00E73A02"/>
    <w:rsid w:val="00E73B6D"/>
    <w:rsid w:val="00E73E3B"/>
    <w:rsid w:val="00E74314"/>
    <w:rsid w:val="00E7492C"/>
    <w:rsid w:val="00E74981"/>
    <w:rsid w:val="00E750D0"/>
    <w:rsid w:val="00E752A8"/>
    <w:rsid w:val="00E75565"/>
    <w:rsid w:val="00E7559B"/>
    <w:rsid w:val="00E75FAF"/>
    <w:rsid w:val="00E764C0"/>
    <w:rsid w:val="00E767C7"/>
    <w:rsid w:val="00E76E75"/>
    <w:rsid w:val="00E811E0"/>
    <w:rsid w:val="00E811EB"/>
    <w:rsid w:val="00E81243"/>
    <w:rsid w:val="00E818AB"/>
    <w:rsid w:val="00E81966"/>
    <w:rsid w:val="00E81980"/>
    <w:rsid w:val="00E81C7C"/>
    <w:rsid w:val="00E81EA5"/>
    <w:rsid w:val="00E822F7"/>
    <w:rsid w:val="00E8279A"/>
    <w:rsid w:val="00E82C15"/>
    <w:rsid w:val="00E82E8B"/>
    <w:rsid w:val="00E834EB"/>
    <w:rsid w:val="00E83D61"/>
    <w:rsid w:val="00E83F19"/>
    <w:rsid w:val="00E843F5"/>
    <w:rsid w:val="00E84911"/>
    <w:rsid w:val="00E84B50"/>
    <w:rsid w:val="00E84B6E"/>
    <w:rsid w:val="00E84C4A"/>
    <w:rsid w:val="00E850A7"/>
    <w:rsid w:val="00E85327"/>
    <w:rsid w:val="00E8541C"/>
    <w:rsid w:val="00E85637"/>
    <w:rsid w:val="00E85718"/>
    <w:rsid w:val="00E86D41"/>
    <w:rsid w:val="00E86F99"/>
    <w:rsid w:val="00E87555"/>
    <w:rsid w:val="00E87883"/>
    <w:rsid w:val="00E87E8E"/>
    <w:rsid w:val="00E9019E"/>
    <w:rsid w:val="00E902F4"/>
    <w:rsid w:val="00E90681"/>
    <w:rsid w:val="00E90AC7"/>
    <w:rsid w:val="00E90B22"/>
    <w:rsid w:val="00E91B21"/>
    <w:rsid w:val="00E91B86"/>
    <w:rsid w:val="00E91F53"/>
    <w:rsid w:val="00E91F7C"/>
    <w:rsid w:val="00E928D2"/>
    <w:rsid w:val="00E93251"/>
    <w:rsid w:val="00E9370B"/>
    <w:rsid w:val="00E937DE"/>
    <w:rsid w:val="00E93994"/>
    <w:rsid w:val="00E93C7D"/>
    <w:rsid w:val="00E93F2E"/>
    <w:rsid w:val="00E94353"/>
    <w:rsid w:val="00E945BC"/>
    <w:rsid w:val="00E9463C"/>
    <w:rsid w:val="00E949C5"/>
    <w:rsid w:val="00E954AC"/>
    <w:rsid w:val="00E95714"/>
    <w:rsid w:val="00E95968"/>
    <w:rsid w:val="00E95D87"/>
    <w:rsid w:val="00E95E88"/>
    <w:rsid w:val="00E95EF4"/>
    <w:rsid w:val="00E96388"/>
    <w:rsid w:val="00E96445"/>
    <w:rsid w:val="00E96582"/>
    <w:rsid w:val="00E966B2"/>
    <w:rsid w:val="00E966D7"/>
    <w:rsid w:val="00E97209"/>
    <w:rsid w:val="00E97C4D"/>
    <w:rsid w:val="00EA081D"/>
    <w:rsid w:val="00EA180E"/>
    <w:rsid w:val="00EA18E7"/>
    <w:rsid w:val="00EA1AFA"/>
    <w:rsid w:val="00EA1B09"/>
    <w:rsid w:val="00EA1BD2"/>
    <w:rsid w:val="00EA1E8F"/>
    <w:rsid w:val="00EA1F9C"/>
    <w:rsid w:val="00EA1FFB"/>
    <w:rsid w:val="00EA20D4"/>
    <w:rsid w:val="00EA232B"/>
    <w:rsid w:val="00EA23DD"/>
    <w:rsid w:val="00EA23E4"/>
    <w:rsid w:val="00EA2C73"/>
    <w:rsid w:val="00EA338D"/>
    <w:rsid w:val="00EA36C6"/>
    <w:rsid w:val="00EA3B87"/>
    <w:rsid w:val="00EA46B3"/>
    <w:rsid w:val="00EA4ACA"/>
    <w:rsid w:val="00EA4AEC"/>
    <w:rsid w:val="00EA58A8"/>
    <w:rsid w:val="00EA5B10"/>
    <w:rsid w:val="00EA5B62"/>
    <w:rsid w:val="00EA5BC6"/>
    <w:rsid w:val="00EA60FB"/>
    <w:rsid w:val="00EA69C4"/>
    <w:rsid w:val="00EA6B2B"/>
    <w:rsid w:val="00EA7500"/>
    <w:rsid w:val="00EA7997"/>
    <w:rsid w:val="00EB02BE"/>
    <w:rsid w:val="00EB0BFA"/>
    <w:rsid w:val="00EB0CC1"/>
    <w:rsid w:val="00EB103F"/>
    <w:rsid w:val="00EB1ED7"/>
    <w:rsid w:val="00EB2923"/>
    <w:rsid w:val="00EB2B56"/>
    <w:rsid w:val="00EB2CAB"/>
    <w:rsid w:val="00EB2DF6"/>
    <w:rsid w:val="00EB3386"/>
    <w:rsid w:val="00EB3563"/>
    <w:rsid w:val="00EB38D7"/>
    <w:rsid w:val="00EB3CC4"/>
    <w:rsid w:val="00EB3F8F"/>
    <w:rsid w:val="00EB42CD"/>
    <w:rsid w:val="00EB457E"/>
    <w:rsid w:val="00EB4718"/>
    <w:rsid w:val="00EB4CD7"/>
    <w:rsid w:val="00EB5345"/>
    <w:rsid w:val="00EB569F"/>
    <w:rsid w:val="00EB5954"/>
    <w:rsid w:val="00EB5B58"/>
    <w:rsid w:val="00EB5B9F"/>
    <w:rsid w:val="00EB5CB5"/>
    <w:rsid w:val="00EB62E9"/>
    <w:rsid w:val="00EB6354"/>
    <w:rsid w:val="00EB6C15"/>
    <w:rsid w:val="00EB6D46"/>
    <w:rsid w:val="00EB7155"/>
    <w:rsid w:val="00EB7724"/>
    <w:rsid w:val="00EB7AF7"/>
    <w:rsid w:val="00EB7BEF"/>
    <w:rsid w:val="00EB7F0F"/>
    <w:rsid w:val="00EC0836"/>
    <w:rsid w:val="00EC0A95"/>
    <w:rsid w:val="00EC1286"/>
    <w:rsid w:val="00EC130B"/>
    <w:rsid w:val="00EC1567"/>
    <w:rsid w:val="00EC16AF"/>
    <w:rsid w:val="00EC18ED"/>
    <w:rsid w:val="00EC1C57"/>
    <w:rsid w:val="00EC2A5D"/>
    <w:rsid w:val="00EC2DC3"/>
    <w:rsid w:val="00EC2E19"/>
    <w:rsid w:val="00EC30F9"/>
    <w:rsid w:val="00EC32A0"/>
    <w:rsid w:val="00EC3339"/>
    <w:rsid w:val="00EC3610"/>
    <w:rsid w:val="00EC45B4"/>
    <w:rsid w:val="00EC4940"/>
    <w:rsid w:val="00EC4ED3"/>
    <w:rsid w:val="00EC547C"/>
    <w:rsid w:val="00EC551E"/>
    <w:rsid w:val="00EC56DC"/>
    <w:rsid w:val="00EC5823"/>
    <w:rsid w:val="00EC5B21"/>
    <w:rsid w:val="00EC5E78"/>
    <w:rsid w:val="00EC5EBA"/>
    <w:rsid w:val="00EC64B3"/>
    <w:rsid w:val="00EC696E"/>
    <w:rsid w:val="00EC6AF8"/>
    <w:rsid w:val="00EC6EA4"/>
    <w:rsid w:val="00EC6F55"/>
    <w:rsid w:val="00EC714C"/>
    <w:rsid w:val="00EC7CA4"/>
    <w:rsid w:val="00ED0DCC"/>
    <w:rsid w:val="00ED0EAE"/>
    <w:rsid w:val="00ED0FB1"/>
    <w:rsid w:val="00ED1B19"/>
    <w:rsid w:val="00ED2079"/>
    <w:rsid w:val="00ED21E0"/>
    <w:rsid w:val="00ED2215"/>
    <w:rsid w:val="00ED2351"/>
    <w:rsid w:val="00ED295B"/>
    <w:rsid w:val="00ED2B3D"/>
    <w:rsid w:val="00ED2B81"/>
    <w:rsid w:val="00ED2EDB"/>
    <w:rsid w:val="00ED2EE8"/>
    <w:rsid w:val="00ED2FAA"/>
    <w:rsid w:val="00ED2FCE"/>
    <w:rsid w:val="00ED30EB"/>
    <w:rsid w:val="00ED374B"/>
    <w:rsid w:val="00ED3FAF"/>
    <w:rsid w:val="00ED4690"/>
    <w:rsid w:val="00ED472E"/>
    <w:rsid w:val="00ED4AF2"/>
    <w:rsid w:val="00ED4D93"/>
    <w:rsid w:val="00ED528E"/>
    <w:rsid w:val="00ED5356"/>
    <w:rsid w:val="00ED5725"/>
    <w:rsid w:val="00ED575A"/>
    <w:rsid w:val="00ED5A47"/>
    <w:rsid w:val="00ED5DFC"/>
    <w:rsid w:val="00ED60AB"/>
    <w:rsid w:val="00ED655A"/>
    <w:rsid w:val="00ED69B6"/>
    <w:rsid w:val="00ED7031"/>
    <w:rsid w:val="00ED7563"/>
    <w:rsid w:val="00ED7699"/>
    <w:rsid w:val="00ED77A5"/>
    <w:rsid w:val="00EE0549"/>
    <w:rsid w:val="00EE0697"/>
    <w:rsid w:val="00EE094F"/>
    <w:rsid w:val="00EE0A63"/>
    <w:rsid w:val="00EE0ADE"/>
    <w:rsid w:val="00EE0B95"/>
    <w:rsid w:val="00EE0D3D"/>
    <w:rsid w:val="00EE1B7C"/>
    <w:rsid w:val="00EE1D6F"/>
    <w:rsid w:val="00EE1DC9"/>
    <w:rsid w:val="00EE1ED0"/>
    <w:rsid w:val="00EE1FE7"/>
    <w:rsid w:val="00EE20CD"/>
    <w:rsid w:val="00EE20D8"/>
    <w:rsid w:val="00EE245F"/>
    <w:rsid w:val="00EE2A52"/>
    <w:rsid w:val="00EE3060"/>
    <w:rsid w:val="00EE35FB"/>
    <w:rsid w:val="00EE41F4"/>
    <w:rsid w:val="00EE4315"/>
    <w:rsid w:val="00EE4327"/>
    <w:rsid w:val="00EE4650"/>
    <w:rsid w:val="00EE468F"/>
    <w:rsid w:val="00EE493B"/>
    <w:rsid w:val="00EE5079"/>
    <w:rsid w:val="00EE590D"/>
    <w:rsid w:val="00EE65CA"/>
    <w:rsid w:val="00EE67D9"/>
    <w:rsid w:val="00EE76AD"/>
    <w:rsid w:val="00EE7EBA"/>
    <w:rsid w:val="00EF01F0"/>
    <w:rsid w:val="00EF0218"/>
    <w:rsid w:val="00EF08E9"/>
    <w:rsid w:val="00EF0DFF"/>
    <w:rsid w:val="00EF144E"/>
    <w:rsid w:val="00EF16B9"/>
    <w:rsid w:val="00EF177C"/>
    <w:rsid w:val="00EF1DE8"/>
    <w:rsid w:val="00EF203F"/>
    <w:rsid w:val="00EF2405"/>
    <w:rsid w:val="00EF2424"/>
    <w:rsid w:val="00EF2563"/>
    <w:rsid w:val="00EF2D8B"/>
    <w:rsid w:val="00EF314E"/>
    <w:rsid w:val="00EF35A9"/>
    <w:rsid w:val="00EF36DF"/>
    <w:rsid w:val="00EF3A0A"/>
    <w:rsid w:val="00EF3CAD"/>
    <w:rsid w:val="00EF3D18"/>
    <w:rsid w:val="00EF45CF"/>
    <w:rsid w:val="00EF49CB"/>
    <w:rsid w:val="00EF4B56"/>
    <w:rsid w:val="00EF541B"/>
    <w:rsid w:val="00EF55E6"/>
    <w:rsid w:val="00EF65DA"/>
    <w:rsid w:val="00EF6803"/>
    <w:rsid w:val="00EF6925"/>
    <w:rsid w:val="00EF7164"/>
    <w:rsid w:val="00EF718E"/>
    <w:rsid w:val="00EF729E"/>
    <w:rsid w:val="00EF75CD"/>
    <w:rsid w:val="00EF770E"/>
    <w:rsid w:val="00EF7824"/>
    <w:rsid w:val="00EF7BA5"/>
    <w:rsid w:val="00F00610"/>
    <w:rsid w:val="00F00A3B"/>
    <w:rsid w:val="00F00AC9"/>
    <w:rsid w:val="00F00DEE"/>
    <w:rsid w:val="00F00F78"/>
    <w:rsid w:val="00F011D5"/>
    <w:rsid w:val="00F01372"/>
    <w:rsid w:val="00F01EA0"/>
    <w:rsid w:val="00F0208E"/>
    <w:rsid w:val="00F03213"/>
    <w:rsid w:val="00F036D5"/>
    <w:rsid w:val="00F03825"/>
    <w:rsid w:val="00F03856"/>
    <w:rsid w:val="00F0386B"/>
    <w:rsid w:val="00F03B76"/>
    <w:rsid w:val="00F03B88"/>
    <w:rsid w:val="00F0405E"/>
    <w:rsid w:val="00F0410B"/>
    <w:rsid w:val="00F04C86"/>
    <w:rsid w:val="00F04D6A"/>
    <w:rsid w:val="00F0570A"/>
    <w:rsid w:val="00F0583F"/>
    <w:rsid w:val="00F05B9A"/>
    <w:rsid w:val="00F05F97"/>
    <w:rsid w:val="00F0621B"/>
    <w:rsid w:val="00F064B9"/>
    <w:rsid w:val="00F06791"/>
    <w:rsid w:val="00F068C9"/>
    <w:rsid w:val="00F06A27"/>
    <w:rsid w:val="00F06B3F"/>
    <w:rsid w:val="00F06DEC"/>
    <w:rsid w:val="00F06E11"/>
    <w:rsid w:val="00F072C9"/>
    <w:rsid w:val="00F0738A"/>
    <w:rsid w:val="00F073A1"/>
    <w:rsid w:val="00F1068A"/>
    <w:rsid w:val="00F1096C"/>
    <w:rsid w:val="00F116ED"/>
    <w:rsid w:val="00F11765"/>
    <w:rsid w:val="00F11BF0"/>
    <w:rsid w:val="00F11C1B"/>
    <w:rsid w:val="00F11DF2"/>
    <w:rsid w:val="00F12E76"/>
    <w:rsid w:val="00F131E6"/>
    <w:rsid w:val="00F13C39"/>
    <w:rsid w:val="00F13DBB"/>
    <w:rsid w:val="00F13FD9"/>
    <w:rsid w:val="00F145F6"/>
    <w:rsid w:val="00F1486B"/>
    <w:rsid w:val="00F157DF"/>
    <w:rsid w:val="00F15AF7"/>
    <w:rsid w:val="00F16681"/>
    <w:rsid w:val="00F16739"/>
    <w:rsid w:val="00F16B84"/>
    <w:rsid w:val="00F16E4E"/>
    <w:rsid w:val="00F16E60"/>
    <w:rsid w:val="00F16F73"/>
    <w:rsid w:val="00F172F9"/>
    <w:rsid w:val="00F17325"/>
    <w:rsid w:val="00F17530"/>
    <w:rsid w:val="00F178BF"/>
    <w:rsid w:val="00F17FFB"/>
    <w:rsid w:val="00F200DE"/>
    <w:rsid w:val="00F203F8"/>
    <w:rsid w:val="00F20553"/>
    <w:rsid w:val="00F207EB"/>
    <w:rsid w:val="00F20864"/>
    <w:rsid w:val="00F20B6D"/>
    <w:rsid w:val="00F20C34"/>
    <w:rsid w:val="00F21F28"/>
    <w:rsid w:val="00F22219"/>
    <w:rsid w:val="00F223C3"/>
    <w:rsid w:val="00F2240C"/>
    <w:rsid w:val="00F22A06"/>
    <w:rsid w:val="00F22A17"/>
    <w:rsid w:val="00F2449B"/>
    <w:rsid w:val="00F24A72"/>
    <w:rsid w:val="00F24BFA"/>
    <w:rsid w:val="00F24DF6"/>
    <w:rsid w:val="00F24FAB"/>
    <w:rsid w:val="00F2574D"/>
    <w:rsid w:val="00F257A5"/>
    <w:rsid w:val="00F257B6"/>
    <w:rsid w:val="00F25C68"/>
    <w:rsid w:val="00F262D7"/>
    <w:rsid w:val="00F26429"/>
    <w:rsid w:val="00F266EA"/>
    <w:rsid w:val="00F26ED3"/>
    <w:rsid w:val="00F275FC"/>
    <w:rsid w:val="00F27C80"/>
    <w:rsid w:val="00F30460"/>
    <w:rsid w:val="00F304E6"/>
    <w:rsid w:val="00F307B7"/>
    <w:rsid w:val="00F31F50"/>
    <w:rsid w:val="00F3266D"/>
    <w:rsid w:val="00F328AD"/>
    <w:rsid w:val="00F32EE1"/>
    <w:rsid w:val="00F33026"/>
    <w:rsid w:val="00F33267"/>
    <w:rsid w:val="00F33826"/>
    <w:rsid w:val="00F33B75"/>
    <w:rsid w:val="00F340DD"/>
    <w:rsid w:val="00F344A7"/>
    <w:rsid w:val="00F34A24"/>
    <w:rsid w:val="00F352BD"/>
    <w:rsid w:val="00F36077"/>
    <w:rsid w:val="00F36090"/>
    <w:rsid w:val="00F360EE"/>
    <w:rsid w:val="00F36593"/>
    <w:rsid w:val="00F3674F"/>
    <w:rsid w:val="00F372C8"/>
    <w:rsid w:val="00F37A2D"/>
    <w:rsid w:val="00F37B3C"/>
    <w:rsid w:val="00F37CD9"/>
    <w:rsid w:val="00F402C8"/>
    <w:rsid w:val="00F40548"/>
    <w:rsid w:val="00F40857"/>
    <w:rsid w:val="00F40A58"/>
    <w:rsid w:val="00F40BE5"/>
    <w:rsid w:val="00F4117B"/>
    <w:rsid w:val="00F4269D"/>
    <w:rsid w:val="00F42ABB"/>
    <w:rsid w:val="00F42AD1"/>
    <w:rsid w:val="00F42C61"/>
    <w:rsid w:val="00F42FF7"/>
    <w:rsid w:val="00F43D60"/>
    <w:rsid w:val="00F4400D"/>
    <w:rsid w:val="00F4420E"/>
    <w:rsid w:val="00F44825"/>
    <w:rsid w:val="00F44C4F"/>
    <w:rsid w:val="00F44EB2"/>
    <w:rsid w:val="00F45A5D"/>
    <w:rsid w:val="00F45CFA"/>
    <w:rsid w:val="00F45E4D"/>
    <w:rsid w:val="00F47085"/>
    <w:rsid w:val="00F4718A"/>
    <w:rsid w:val="00F472E1"/>
    <w:rsid w:val="00F47785"/>
    <w:rsid w:val="00F47DBC"/>
    <w:rsid w:val="00F5000F"/>
    <w:rsid w:val="00F5024D"/>
    <w:rsid w:val="00F5044E"/>
    <w:rsid w:val="00F50E71"/>
    <w:rsid w:val="00F51216"/>
    <w:rsid w:val="00F5127C"/>
    <w:rsid w:val="00F51820"/>
    <w:rsid w:val="00F521B5"/>
    <w:rsid w:val="00F52515"/>
    <w:rsid w:val="00F52541"/>
    <w:rsid w:val="00F53006"/>
    <w:rsid w:val="00F53329"/>
    <w:rsid w:val="00F53A6D"/>
    <w:rsid w:val="00F53B60"/>
    <w:rsid w:val="00F53D5F"/>
    <w:rsid w:val="00F53E8E"/>
    <w:rsid w:val="00F53F88"/>
    <w:rsid w:val="00F5416D"/>
    <w:rsid w:val="00F543B9"/>
    <w:rsid w:val="00F5468E"/>
    <w:rsid w:val="00F54C68"/>
    <w:rsid w:val="00F54D4F"/>
    <w:rsid w:val="00F54DE7"/>
    <w:rsid w:val="00F55325"/>
    <w:rsid w:val="00F5547A"/>
    <w:rsid w:val="00F55DCA"/>
    <w:rsid w:val="00F55F1C"/>
    <w:rsid w:val="00F56293"/>
    <w:rsid w:val="00F569DA"/>
    <w:rsid w:val="00F56E39"/>
    <w:rsid w:val="00F57628"/>
    <w:rsid w:val="00F57B8E"/>
    <w:rsid w:val="00F6006C"/>
    <w:rsid w:val="00F6061E"/>
    <w:rsid w:val="00F608D7"/>
    <w:rsid w:val="00F60920"/>
    <w:rsid w:val="00F60AD6"/>
    <w:rsid w:val="00F611F5"/>
    <w:rsid w:val="00F61219"/>
    <w:rsid w:val="00F61482"/>
    <w:rsid w:val="00F616A0"/>
    <w:rsid w:val="00F61C3F"/>
    <w:rsid w:val="00F62AA4"/>
    <w:rsid w:val="00F62B7A"/>
    <w:rsid w:val="00F62FE9"/>
    <w:rsid w:val="00F6397D"/>
    <w:rsid w:val="00F63F34"/>
    <w:rsid w:val="00F64290"/>
    <w:rsid w:val="00F643F5"/>
    <w:rsid w:val="00F6463E"/>
    <w:rsid w:val="00F64767"/>
    <w:rsid w:val="00F6487B"/>
    <w:rsid w:val="00F64AA7"/>
    <w:rsid w:val="00F64BE3"/>
    <w:rsid w:val="00F64ECF"/>
    <w:rsid w:val="00F651F0"/>
    <w:rsid w:val="00F6583A"/>
    <w:rsid w:val="00F658DB"/>
    <w:rsid w:val="00F65E1E"/>
    <w:rsid w:val="00F6611C"/>
    <w:rsid w:val="00F66623"/>
    <w:rsid w:val="00F66B6D"/>
    <w:rsid w:val="00F66BA9"/>
    <w:rsid w:val="00F66CF2"/>
    <w:rsid w:val="00F66DE0"/>
    <w:rsid w:val="00F66F37"/>
    <w:rsid w:val="00F6714F"/>
    <w:rsid w:val="00F67566"/>
    <w:rsid w:val="00F675AE"/>
    <w:rsid w:val="00F677EB"/>
    <w:rsid w:val="00F67B10"/>
    <w:rsid w:val="00F67D07"/>
    <w:rsid w:val="00F7061B"/>
    <w:rsid w:val="00F70CEB"/>
    <w:rsid w:val="00F71417"/>
    <w:rsid w:val="00F71A47"/>
    <w:rsid w:val="00F71DFC"/>
    <w:rsid w:val="00F722D1"/>
    <w:rsid w:val="00F7293E"/>
    <w:rsid w:val="00F72BA1"/>
    <w:rsid w:val="00F72DE5"/>
    <w:rsid w:val="00F730AB"/>
    <w:rsid w:val="00F73228"/>
    <w:rsid w:val="00F7357C"/>
    <w:rsid w:val="00F73964"/>
    <w:rsid w:val="00F73BEA"/>
    <w:rsid w:val="00F73BFE"/>
    <w:rsid w:val="00F73C9D"/>
    <w:rsid w:val="00F73D5C"/>
    <w:rsid w:val="00F7426D"/>
    <w:rsid w:val="00F74856"/>
    <w:rsid w:val="00F74F4B"/>
    <w:rsid w:val="00F74FCE"/>
    <w:rsid w:val="00F75091"/>
    <w:rsid w:val="00F75200"/>
    <w:rsid w:val="00F756D2"/>
    <w:rsid w:val="00F757B6"/>
    <w:rsid w:val="00F759C2"/>
    <w:rsid w:val="00F75A9E"/>
    <w:rsid w:val="00F75E95"/>
    <w:rsid w:val="00F76650"/>
    <w:rsid w:val="00F76F2C"/>
    <w:rsid w:val="00F76F79"/>
    <w:rsid w:val="00F771AC"/>
    <w:rsid w:val="00F771DD"/>
    <w:rsid w:val="00F773FF"/>
    <w:rsid w:val="00F77407"/>
    <w:rsid w:val="00F7759C"/>
    <w:rsid w:val="00F77B83"/>
    <w:rsid w:val="00F77D99"/>
    <w:rsid w:val="00F8001E"/>
    <w:rsid w:val="00F805C9"/>
    <w:rsid w:val="00F806C2"/>
    <w:rsid w:val="00F80770"/>
    <w:rsid w:val="00F80DA3"/>
    <w:rsid w:val="00F814EE"/>
    <w:rsid w:val="00F815C9"/>
    <w:rsid w:val="00F81750"/>
    <w:rsid w:val="00F81AF7"/>
    <w:rsid w:val="00F81E48"/>
    <w:rsid w:val="00F81FDD"/>
    <w:rsid w:val="00F82906"/>
    <w:rsid w:val="00F82D6E"/>
    <w:rsid w:val="00F82E90"/>
    <w:rsid w:val="00F830F2"/>
    <w:rsid w:val="00F832C0"/>
    <w:rsid w:val="00F83BB0"/>
    <w:rsid w:val="00F83E51"/>
    <w:rsid w:val="00F83F51"/>
    <w:rsid w:val="00F84627"/>
    <w:rsid w:val="00F847F7"/>
    <w:rsid w:val="00F84BB0"/>
    <w:rsid w:val="00F85558"/>
    <w:rsid w:val="00F85D25"/>
    <w:rsid w:val="00F85E16"/>
    <w:rsid w:val="00F86216"/>
    <w:rsid w:val="00F86339"/>
    <w:rsid w:val="00F865D3"/>
    <w:rsid w:val="00F8674A"/>
    <w:rsid w:val="00F86C5F"/>
    <w:rsid w:val="00F87EA2"/>
    <w:rsid w:val="00F907CE"/>
    <w:rsid w:val="00F90B13"/>
    <w:rsid w:val="00F91111"/>
    <w:rsid w:val="00F917C6"/>
    <w:rsid w:val="00F9187B"/>
    <w:rsid w:val="00F91CCC"/>
    <w:rsid w:val="00F91F0D"/>
    <w:rsid w:val="00F92075"/>
    <w:rsid w:val="00F9211E"/>
    <w:rsid w:val="00F92265"/>
    <w:rsid w:val="00F92385"/>
    <w:rsid w:val="00F9275E"/>
    <w:rsid w:val="00F92E01"/>
    <w:rsid w:val="00F92E3B"/>
    <w:rsid w:val="00F92F17"/>
    <w:rsid w:val="00F94596"/>
    <w:rsid w:val="00F949AA"/>
    <w:rsid w:val="00F94C83"/>
    <w:rsid w:val="00F94E71"/>
    <w:rsid w:val="00F950F8"/>
    <w:rsid w:val="00F95753"/>
    <w:rsid w:val="00F95F75"/>
    <w:rsid w:val="00F964B5"/>
    <w:rsid w:val="00F9672B"/>
    <w:rsid w:val="00F971BF"/>
    <w:rsid w:val="00F97461"/>
    <w:rsid w:val="00F976CF"/>
    <w:rsid w:val="00F97CE5"/>
    <w:rsid w:val="00F97E42"/>
    <w:rsid w:val="00F97FF2"/>
    <w:rsid w:val="00FA055D"/>
    <w:rsid w:val="00FA0E0D"/>
    <w:rsid w:val="00FA124E"/>
    <w:rsid w:val="00FA1313"/>
    <w:rsid w:val="00FA1548"/>
    <w:rsid w:val="00FA1A4C"/>
    <w:rsid w:val="00FA1B4F"/>
    <w:rsid w:val="00FA1CFF"/>
    <w:rsid w:val="00FA2667"/>
    <w:rsid w:val="00FA294C"/>
    <w:rsid w:val="00FA3395"/>
    <w:rsid w:val="00FA35D7"/>
    <w:rsid w:val="00FA3883"/>
    <w:rsid w:val="00FA3C39"/>
    <w:rsid w:val="00FA3CB1"/>
    <w:rsid w:val="00FA3D22"/>
    <w:rsid w:val="00FA4428"/>
    <w:rsid w:val="00FA4871"/>
    <w:rsid w:val="00FA4887"/>
    <w:rsid w:val="00FA4E52"/>
    <w:rsid w:val="00FA4ED1"/>
    <w:rsid w:val="00FA4FC2"/>
    <w:rsid w:val="00FA510F"/>
    <w:rsid w:val="00FA64BF"/>
    <w:rsid w:val="00FA6599"/>
    <w:rsid w:val="00FA6641"/>
    <w:rsid w:val="00FA675E"/>
    <w:rsid w:val="00FA6783"/>
    <w:rsid w:val="00FA6A7A"/>
    <w:rsid w:val="00FA7030"/>
    <w:rsid w:val="00FA7033"/>
    <w:rsid w:val="00FA77FC"/>
    <w:rsid w:val="00FB00DC"/>
    <w:rsid w:val="00FB016F"/>
    <w:rsid w:val="00FB0755"/>
    <w:rsid w:val="00FB0A79"/>
    <w:rsid w:val="00FB0BA0"/>
    <w:rsid w:val="00FB0DB7"/>
    <w:rsid w:val="00FB0FF3"/>
    <w:rsid w:val="00FB1163"/>
    <w:rsid w:val="00FB1216"/>
    <w:rsid w:val="00FB1EF2"/>
    <w:rsid w:val="00FB1FE9"/>
    <w:rsid w:val="00FB20B4"/>
    <w:rsid w:val="00FB2B9C"/>
    <w:rsid w:val="00FB2C8A"/>
    <w:rsid w:val="00FB2DA1"/>
    <w:rsid w:val="00FB3313"/>
    <w:rsid w:val="00FB33B5"/>
    <w:rsid w:val="00FB3946"/>
    <w:rsid w:val="00FB3E92"/>
    <w:rsid w:val="00FB494A"/>
    <w:rsid w:val="00FB49AE"/>
    <w:rsid w:val="00FB4A49"/>
    <w:rsid w:val="00FB4EC0"/>
    <w:rsid w:val="00FB503D"/>
    <w:rsid w:val="00FB54A3"/>
    <w:rsid w:val="00FB5544"/>
    <w:rsid w:val="00FB56E7"/>
    <w:rsid w:val="00FB5818"/>
    <w:rsid w:val="00FB593E"/>
    <w:rsid w:val="00FB5A69"/>
    <w:rsid w:val="00FB5AC1"/>
    <w:rsid w:val="00FB621D"/>
    <w:rsid w:val="00FB657B"/>
    <w:rsid w:val="00FB6793"/>
    <w:rsid w:val="00FB67FC"/>
    <w:rsid w:val="00FB6893"/>
    <w:rsid w:val="00FB6A4F"/>
    <w:rsid w:val="00FB7348"/>
    <w:rsid w:val="00FB7EC1"/>
    <w:rsid w:val="00FC05CB"/>
    <w:rsid w:val="00FC0716"/>
    <w:rsid w:val="00FC087F"/>
    <w:rsid w:val="00FC0B48"/>
    <w:rsid w:val="00FC0D80"/>
    <w:rsid w:val="00FC1280"/>
    <w:rsid w:val="00FC19A1"/>
    <w:rsid w:val="00FC1B15"/>
    <w:rsid w:val="00FC1EA5"/>
    <w:rsid w:val="00FC2879"/>
    <w:rsid w:val="00FC300C"/>
    <w:rsid w:val="00FC303E"/>
    <w:rsid w:val="00FC3264"/>
    <w:rsid w:val="00FC398A"/>
    <w:rsid w:val="00FC3ECE"/>
    <w:rsid w:val="00FC42E5"/>
    <w:rsid w:val="00FC47F9"/>
    <w:rsid w:val="00FC4D86"/>
    <w:rsid w:val="00FC4E8F"/>
    <w:rsid w:val="00FC5506"/>
    <w:rsid w:val="00FC586A"/>
    <w:rsid w:val="00FC5A07"/>
    <w:rsid w:val="00FC5DD9"/>
    <w:rsid w:val="00FC5EA8"/>
    <w:rsid w:val="00FC5F3A"/>
    <w:rsid w:val="00FC6023"/>
    <w:rsid w:val="00FC6098"/>
    <w:rsid w:val="00FC6E83"/>
    <w:rsid w:val="00FC6F7D"/>
    <w:rsid w:val="00FC71E8"/>
    <w:rsid w:val="00FC7546"/>
    <w:rsid w:val="00FC7AF0"/>
    <w:rsid w:val="00FC7E9B"/>
    <w:rsid w:val="00FD0411"/>
    <w:rsid w:val="00FD04D0"/>
    <w:rsid w:val="00FD0ED5"/>
    <w:rsid w:val="00FD174A"/>
    <w:rsid w:val="00FD1770"/>
    <w:rsid w:val="00FD1D89"/>
    <w:rsid w:val="00FD245F"/>
    <w:rsid w:val="00FD264B"/>
    <w:rsid w:val="00FD2B52"/>
    <w:rsid w:val="00FD3381"/>
    <w:rsid w:val="00FD35F2"/>
    <w:rsid w:val="00FD3922"/>
    <w:rsid w:val="00FD3923"/>
    <w:rsid w:val="00FD3C3B"/>
    <w:rsid w:val="00FD3FF2"/>
    <w:rsid w:val="00FD4016"/>
    <w:rsid w:val="00FD46FB"/>
    <w:rsid w:val="00FD52E2"/>
    <w:rsid w:val="00FD5770"/>
    <w:rsid w:val="00FD57C2"/>
    <w:rsid w:val="00FD57C3"/>
    <w:rsid w:val="00FD5B1C"/>
    <w:rsid w:val="00FD6303"/>
    <w:rsid w:val="00FD69B3"/>
    <w:rsid w:val="00FD6A20"/>
    <w:rsid w:val="00FD6E4B"/>
    <w:rsid w:val="00FD6E8E"/>
    <w:rsid w:val="00FD708D"/>
    <w:rsid w:val="00FD70AA"/>
    <w:rsid w:val="00FD729E"/>
    <w:rsid w:val="00FD7369"/>
    <w:rsid w:val="00FD7669"/>
    <w:rsid w:val="00FD78C4"/>
    <w:rsid w:val="00FE0180"/>
    <w:rsid w:val="00FE062C"/>
    <w:rsid w:val="00FE102D"/>
    <w:rsid w:val="00FE1044"/>
    <w:rsid w:val="00FE10E6"/>
    <w:rsid w:val="00FE1798"/>
    <w:rsid w:val="00FE1C62"/>
    <w:rsid w:val="00FE1E29"/>
    <w:rsid w:val="00FE202E"/>
    <w:rsid w:val="00FE208A"/>
    <w:rsid w:val="00FE2143"/>
    <w:rsid w:val="00FE221D"/>
    <w:rsid w:val="00FE2233"/>
    <w:rsid w:val="00FE22C8"/>
    <w:rsid w:val="00FE2351"/>
    <w:rsid w:val="00FE23CD"/>
    <w:rsid w:val="00FE2755"/>
    <w:rsid w:val="00FE2D9E"/>
    <w:rsid w:val="00FE2DFF"/>
    <w:rsid w:val="00FE33DF"/>
    <w:rsid w:val="00FE34C3"/>
    <w:rsid w:val="00FE366A"/>
    <w:rsid w:val="00FE4474"/>
    <w:rsid w:val="00FE4504"/>
    <w:rsid w:val="00FE48A5"/>
    <w:rsid w:val="00FE5292"/>
    <w:rsid w:val="00FE5580"/>
    <w:rsid w:val="00FE6350"/>
    <w:rsid w:val="00FE638A"/>
    <w:rsid w:val="00FE6815"/>
    <w:rsid w:val="00FE6B92"/>
    <w:rsid w:val="00FE78D4"/>
    <w:rsid w:val="00FE7AE7"/>
    <w:rsid w:val="00FF0037"/>
    <w:rsid w:val="00FF04CE"/>
    <w:rsid w:val="00FF094F"/>
    <w:rsid w:val="00FF10EC"/>
    <w:rsid w:val="00FF110C"/>
    <w:rsid w:val="00FF1596"/>
    <w:rsid w:val="00FF17AC"/>
    <w:rsid w:val="00FF1CEE"/>
    <w:rsid w:val="00FF2119"/>
    <w:rsid w:val="00FF2377"/>
    <w:rsid w:val="00FF24F9"/>
    <w:rsid w:val="00FF2581"/>
    <w:rsid w:val="00FF27B5"/>
    <w:rsid w:val="00FF2D11"/>
    <w:rsid w:val="00FF34BB"/>
    <w:rsid w:val="00FF403F"/>
    <w:rsid w:val="00FF484A"/>
    <w:rsid w:val="00FF4B21"/>
    <w:rsid w:val="00FF530E"/>
    <w:rsid w:val="00FF557C"/>
    <w:rsid w:val="00FF621E"/>
    <w:rsid w:val="00FF688B"/>
    <w:rsid w:val="00FF6AE0"/>
    <w:rsid w:val="00FF6C41"/>
    <w:rsid w:val="00FF6D2C"/>
    <w:rsid w:val="00FF6FF6"/>
    <w:rsid w:val="00FF7276"/>
    <w:rsid w:val="00FF788A"/>
    <w:rsid w:val="00FF7943"/>
    <w:rsid w:val="00FF7F39"/>
    <w:rsid w:val="01196EC2"/>
    <w:rsid w:val="011F711D"/>
    <w:rsid w:val="012E112D"/>
    <w:rsid w:val="013067F3"/>
    <w:rsid w:val="01381B32"/>
    <w:rsid w:val="014640FF"/>
    <w:rsid w:val="01531F7E"/>
    <w:rsid w:val="0153ED49"/>
    <w:rsid w:val="01627577"/>
    <w:rsid w:val="0165A94C"/>
    <w:rsid w:val="017965F8"/>
    <w:rsid w:val="017C863C"/>
    <w:rsid w:val="017E27A7"/>
    <w:rsid w:val="01814AD3"/>
    <w:rsid w:val="018A4E64"/>
    <w:rsid w:val="019726A0"/>
    <w:rsid w:val="01A9A1E3"/>
    <w:rsid w:val="01B3176E"/>
    <w:rsid w:val="01C2E889"/>
    <w:rsid w:val="01CA012E"/>
    <w:rsid w:val="01D4CCE6"/>
    <w:rsid w:val="01E82CB9"/>
    <w:rsid w:val="01F1E016"/>
    <w:rsid w:val="01F9489C"/>
    <w:rsid w:val="01FF1E0C"/>
    <w:rsid w:val="020BFEA8"/>
    <w:rsid w:val="021274A1"/>
    <w:rsid w:val="02133328"/>
    <w:rsid w:val="02169B46"/>
    <w:rsid w:val="021F248A"/>
    <w:rsid w:val="022D4570"/>
    <w:rsid w:val="0238A510"/>
    <w:rsid w:val="0238EA7B"/>
    <w:rsid w:val="023D93CE"/>
    <w:rsid w:val="02524A30"/>
    <w:rsid w:val="02534759"/>
    <w:rsid w:val="02538089"/>
    <w:rsid w:val="025675A9"/>
    <w:rsid w:val="025FA652"/>
    <w:rsid w:val="02681DDF"/>
    <w:rsid w:val="0268DAF7"/>
    <w:rsid w:val="02706AB3"/>
    <w:rsid w:val="0295D459"/>
    <w:rsid w:val="02A8FC7A"/>
    <w:rsid w:val="02AFE0D9"/>
    <w:rsid w:val="02B43588"/>
    <w:rsid w:val="02C6C660"/>
    <w:rsid w:val="02D63DE0"/>
    <w:rsid w:val="02DAC1ED"/>
    <w:rsid w:val="02E06BA5"/>
    <w:rsid w:val="02F84944"/>
    <w:rsid w:val="0303D970"/>
    <w:rsid w:val="0313FD30"/>
    <w:rsid w:val="0316E6C4"/>
    <w:rsid w:val="031A2B07"/>
    <w:rsid w:val="0320FB28"/>
    <w:rsid w:val="03270D40"/>
    <w:rsid w:val="032CC33A"/>
    <w:rsid w:val="0353CC6F"/>
    <w:rsid w:val="035FB485"/>
    <w:rsid w:val="0364F467"/>
    <w:rsid w:val="0369ABB9"/>
    <w:rsid w:val="0373F940"/>
    <w:rsid w:val="03772EA8"/>
    <w:rsid w:val="037A8A92"/>
    <w:rsid w:val="0396CE5C"/>
    <w:rsid w:val="03A8CF45"/>
    <w:rsid w:val="03ABCC15"/>
    <w:rsid w:val="03B7BA0B"/>
    <w:rsid w:val="03C318DA"/>
    <w:rsid w:val="03DBA074"/>
    <w:rsid w:val="03F663CC"/>
    <w:rsid w:val="03FC6382"/>
    <w:rsid w:val="03FE1272"/>
    <w:rsid w:val="0422CADD"/>
    <w:rsid w:val="04234037"/>
    <w:rsid w:val="0423DAEE"/>
    <w:rsid w:val="04273CFF"/>
    <w:rsid w:val="042926D6"/>
    <w:rsid w:val="04299710"/>
    <w:rsid w:val="042D7DDB"/>
    <w:rsid w:val="0435259B"/>
    <w:rsid w:val="0448892F"/>
    <w:rsid w:val="044C3593"/>
    <w:rsid w:val="04582372"/>
    <w:rsid w:val="04709C68"/>
    <w:rsid w:val="047275AA"/>
    <w:rsid w:val="047453E6"/>
    <w:rsid w:val="04745778"/>
    <w:rsid w:val="0480199D"/>
    <w:rsid w:val="048621CA"/>
    <w:rsid w:val="048BBECF"/>
    <w:rsid w:val="048C9453"/>
    <w:rsid w:val="04917415"/>
    <w:rsid w:val="049343EC"/>
    <w:rsid w:val="04937327"/>
    <w:rsid w:val="0498E88C"/>
    <w:rsid w:val="04A0C118"/>
    <w:rsid w:val="04B92391"/>
    <w:rsid w:val="04BDD9F1"/>
    <w:rsid w:val="04C050FD"/>
    <w:rsid w:val="04C4464A"/>
    <w:rsid w:val="04C58714"/>
    <w:rsid w:val="04C91F6F"/>
    <w:rsid w:val="04CBBAC9"/>
    <w:rsid w:val="04D7A363"/>
    <w:rsid w:val="04EDA0D1"/>
    <w:rsid w:val="04EF5F67"/>
    <w:rsid w:val="04F22CBB"/>
    <w:rsid w:val="050135A7"/>
    <w:rsid w:val="050FA6F5"/>
    <w:rsid w:val="0513C3AF"/>
    <w:rsid w:val="051E3930"/>
    <w:rsid w:val="0530A4B9"/>
    <w:rsid w:val="0541B97F"/>
    <w:rsid w:val="05451A51"/>
    <w:rsid w:val="0551855A"/>
    <w:rsid w:val="05538B9A"/>
    <w:rsid w:val="055CF6D6"/>
    <w:rsid w:val="05888FDE"/>
    <w:rsid w:val="0589893C"/>
    <w:rsid w:val="058BCB76"/>
    <w:rsid w:val="058BFF74"/>
    <w:rsid w:val="059C227C"/>
    <w:rsid w:val="05A0229B"/>
    <w:rsid w:val="05A35E28"/>
    <w:rsid w:val="05B2171A"/>
    <w:rsid w:val="05B3C972"/>
    <w:rsid w:val="05C79E59"/>
    <w:rsid w:val="05C8E3C4"/>
    <w:rsid w:val="05CF3A05"/>
    <w:rsid w:val="05D49796"/>
    <w:rsid w:val="05DC0208"/>
    <w:rsid w:val="05E4EF3D"/>
    <w:rsid w:val="05EE3C8E"/>
    <w:rsid w:val="05F6852F"/>
    <w:rsid w:val="05F7BEC3"/>
    <w:rsid w:val="05FC1234"/>
    <w:rsid w:val="060212AE"/>
    <w:rsid w:val="060DA440"/>
    <w:rsid w:val="060DDAE9"/>
    <w:rsid w:val="06151727"/>
    <w:rsid w:val="0617DE3F"/>
    <w:rsid w:val="061C78B0"/>
    <w:rsid w:val="061D74CF"/>
    <w:rsid w:val="061ECB9F"/>
    <w:rsid w:val="06300FA6"/>
    <w:rsid w:val="06309433"/>
    <w:rsid w:val="0635703E"/>
    <w:rsid w:val="064515F2"/>
    <w:rsid w:val="0648DBD4"/>
    <w:rsid w:val="064F21B8"/>
    <w:rsid w:val="065614AD"/>
    <w:rsid w:val="0661E8F2"/>
    <w:rsid w:val="0664EF05"/>
    <w:rsid w:val="066C6D46"/>
    <w:rsid w:val="0677E796"/>
    <w:rsid w:val="067FD771"/>
    <w:rsid w:val="0691F4D9"/>
    <w:rsid w:val="06A0B625"/>
    <w:rsid w:val="06A29F52"/>
    <w:rsid w:val="06B22C41"/>
    <w:rsid w:val="06B8C4C2"/>
    <w:rsid w:val="06CF7E5A"/>
    <w:rsid w:val="06DD8DB8"/>
    <w:rsid w:val="06F6A917"/>
    <w:rsid w:val="0700C5B6"/>
    <w:rsid w:val="0701B5CF"/>
    <w:rsid w:val="070709FD"/>
    <w:rsid w:val="0708295D"/>
    <w:rsid w:val="0709C748"/>
    <w:rsid w:val="0720030B"/>
    <w:rsid w:val="072F2001"/>
    <w:rsid w:val="074D1CAC"/>
    <w:rsid w:val="075770F3"/>
    <w:rsid w:val="075F0130"/>
    <w:rsid w:val="075F361C"/>
    <w:rsid w:val="07645CA5"/>
    <w:rsid w:val="076B6B6F"/>
    <w:rsid w:val="076BAC48"/>
    <w:rsid w:val="0770E2C4"/>
    <w:rsid w:val="0784161D"/>
    <w:rsid w:val="07860F6C"/>
    <w:rsid w:val="0792D373"/>
    <w:rsid w:val="0798F310"/>
    <w:rsid w:val="079A7BF3"/>
    <w:rsid w:val="07B5D601"/>
    <w:rsid w:val="07B861E0"/>
    <w:rsid w:val="07BA26DD"/>
    <w:rsid w:val="07BA535D"/>
    <w:rsid w:val="07C400A4"/>
    <w:rsid w:val="07D8664E"/>
    <w:rsid w:val="07DC1D20"/>
    <w:rsid w:val="07E13058"/>
    <w:rsid w:val="07E94B06"/>
    <w:rsid w:val="07F34200"/>
    <w:rsid w:val="07F3A326"/>
    <w:rsid w:val="07F81337"/>
    <w:rsid w:val="07FB45A0"/>
    <w:rsid w:val="080D6133"/>
    <w:rsid w:val="080FA4AB"/>
    <w:rsid w:val="080FAAE9"/>
    <w:rsid w:val="0815CE86"/>
    <w:rsid w:val="081C8E80"/>
    <w:rsid w:val="081D9CAD"/>
    <w:rsid w:val="081ED365"/>
    <w:rsid w:val="08224E5D"/>
    <w:rsid w:val="082B675A"/>
    <w:rsid w:val="08353A04"/>
    <w:rsid w:val="08618978"/>
    <w:rsid w:val="086AD86C"/>
    <w:rsid w:val="086E2227"/>
    <w:rsid w:val="0873B1CD"/>
    <w:rsid w:val="087CAF08"/>
    <w:rsid w:val="089BDCB5"/>
    <w:rsid w:val="08A84963"/>
    <w:rsid w:val="08A9C085"/>
    <w:rsid w:val="08BB3C28"/>
    <w:rsid w:val="08C7C31C"/>
    <w:rsid w:val="08CADC19"/>
    <w:rsid w:val="08CF192A"/>
    <w:rsid w:val="08D4DD43"/>
    <w:rsid w:val="08DADFDF"/>
    <w:rsid w:val="08DE7A2E"/>
    <w:rsid w:val="08E4595D"/>
    <w:rsid w:val="0913204B"/>
    <w:rsid w:val="09149BFE"/>
    <w:rsid w:val="091CB849"/>
    <w:rsid w:val="093DDD52"/>
    <w:rsid w:val="0943A01B"/>
    <w:rsid w:val="0967E33E"/>
    <w:rsid w:val="096B85D8"/>
    <w:rsid w:val="09702730"/>
    <w:rsid w:val="0976387B"/>
    <w:rsid w:val="09772244"/>
    <w:rsid w:val="097FEB0F"/>
    <w:rsid w:val="098F1BE8"/>
    <w:rsid w:val="09921045"/>
    <w:rsid w:val="09973A2C"/>
    <w:rsid w:val="09AC189F"/>
    <w:rsid w:val="09C9B34D"/>
    <w:rsid w:val="09D818A8"/>
    <w:rsid w:val="09E661C6"/>
    <w:rsid w:val="0A009207"/>
    <w:rsid w:val="0A024366"/>
    <w:rsid w:val="0A046D8D"/>
    <w:rsid w:val="0A0B9C4A"/>
    <w:rsid w:val="0A0E01FC"/>
    <w:rsid w:val="0A0E4C46"/>
    <w:rsid w:val="0A19626F"/>
    <w:rsid w:val="0A22CE42"/>
    <w:rsid w:val="0A2DBEC3"/>
    <w:rsid w:val="0A349568"/>
    <w:rsid w:val="0A3BF5D1"/>
    <w:rsid w:val="0A515497"/>
    <w:rsid w:val="0A6559E5"/>
    <w:rsid w:val="0A6F338D"/>
    <w:rsid w:val="0A88240E"/>
    <w:rsid w:val="0A91BD51"/>
    <w:rsid w:val="0A95686A"/>
    <w:rsid w:val="0A982725"/>
    <w:rsid w:val="0A9FF42A"/>
    <w:rsid w:val="0AA9B8C6"/>
    <w:rsid w:val="0AABA963"/>
    <w:rsid w:val="0AE7BFDF"/>
    <w:rsid w:val="0AED196E"/>
    <w:rsid w:val="0AFBD193"/>
    <w:rsid w:val="0B022ECB"/>
    <w:rsid w:val="0B05A96B"/>
    <w:rsid w:val="0B088811"/>
    <w:rsid w:val="0B0B7DCD"/>
    <w:rsid w:val="0B0DCA59"/>
    <w:rsid w:val="0B0E5EC2"/>
    <w:rsid w:val="0B1BFC22"/>
    <w:rsid w:val="0B2C044C"/>
    <w:rsid w:val="0B34F1D5"/>
    <w:rsid w:val="0B373511"/>
    <w:rsid w:val="0B41C434"/>
    <w:rsid w:val="0B43E040"/>
    <w:rsid w:val="0B5EFE0E"/>
    <w:rsid w:val="0B7584FD"/>
    <w:rsid w:val="0B80B371"/>
    <w:rsid w:val="0B839498"/>
    <w:rsid w:val="0B88E996"/>
    <w:rsid w:val="0BA54934"/>
    <w:rsid w:val="0BA90042"/>
    <w:rsid w:val="0BB649A2"/>
    <w:rsid w:val="0BBF9728"/>
    <w:rsid w:val="0BE37E48"/>
    <w:rsid w:val="0BE47614"/>
    <w:rsid w:val="0BEBE4BC"/>
    <w:rsid w:val="0C0C4543"/>
    <w:rsid w:val="0C18368A"/>
    <w:rsid w:val="0C1D54FA"/>
    <w:rsid w:val="0C1DF9AA"/>
    <w:rsid w:val="0C201EB7"/>
    <w:rsid w:val="0C248F00"/>
    <w:rsid w:val="0C252C08"/>
    <w:rsid w:val="0C27A69B"/>
    <w:rsid w:val="0C2F6BC1"/>
    <w:rsid w:val="0C37CC17"/>
    <w:rsid w:val="0C3B3298"/>
    <w:rsid w:val="0C61484B"/>
    <w:rsid w:val="0C61C214"/>
    <w:rsid w:val="0C6A927F"/>
    <w:rsid w:val="0C7017D1"/>
    <w:rsid w:val="0C7F4B0E"/>
    <w:rsid w:val="0C84C88A"/>
    <w:rsid w:val="0C88AC9B"/>
    <w:rsid w:val="0C999074"/>
    <w:rsid w:val="0CA43A1A"/>
    <w:rsid w:val="0CAA7099"/>
    <w:rsid w:val="0CAA8BFE"/>
    <w:rsid w:val="0CAC7E45"/>
    <w:rsid w:val="0CBE1EFC"/>
    <w:rsid w:val="0CC2B173"/>
    <w:rsid w:val="0CCC07CF"/>
    <w:rsid w:val="0CDAEFFB"/>
    <w:rsid w:val="0CDBEFFF"/>
    <w:rsid w:val="0CF001C5"/>
    <w:rsid w:val="0CFE116E"/>
    <w:rsid w:val="0D0315EB"/>
    <w:rsid w:val="0D0F5217"/>
    <w:rsid w:val="0D1659E5"/>
    <w:rsid w:val="0D3B8257"/>
    <w:rsid w:val="0D3BAF3D"/>
    <w:rsid w:val="0D463169"/>
    <w:rsid w:val="0D46AECE"/>
    <w:rsid w:val="0D495A82"/>
    <w:rsid w:val="0D4E3EB8"/>
    <w:rsid w:val="0D5F70D8"/>
    <w:rsid w:val="0D606E5D"/>
    <w:rsid w:val="0D664A32"/>
    <w:rsid w:val="0D67ACE1"/>
    <w:rsid w:val="0D73B8D1"/>
    <w:rsid w:val="0D74B605"/>
    <w:rsid w:val="0D75E6DA"/>
    <w:rsid w:val="0D855B49"/>
    <w:rsid w:val="0D8FEDB5"/>
    <w:rsid w:val="0DA32A18"/>
    <w:rsid w:val="0DB5E41D"/>
    <w:rsid w:val="0DD0B143"/>
    <w:rsid w:val="0DD7437D"/>
    <w:rsid w:val="0DD8D61B"/>
    <w:rsid w:val="0DE6798A"/>
    <w:rsid w:val="0DF2D5DC"/>
    <w:rsid w:val="0E070500"/>
    <w:rsid w:val="0E124590"/>
    <w:rsid w:val="0E150AA3"/>
    <w:rsid w:val="0E19B814"/>
    <w:rsid w:val="0E1E35C8"/>
    <w:rsid w:val="0E2CEFC6"/>
    <w:rsid w:val="0E38B7F7"/>
    <w:rsid w:val="0E3A3EA1"/>
    <w:rsid w:val="0E3A9A5F"/>
    <w:rsid w:val="0E3BF43F"/>
    <w:rsid w:val="0E511AF2"/>
    <w:rsid w:val="0E525557"/>
    <w:rsid w:val="0E5AB8C1"/>
    <w:rsid w:val="0E62A758"/>
    <w:rsid w:val="0E8E89F5"/>
    <w:rsid w:val="0E9B56D2"/>
    <w:rsid w:val="0EA7A9A3"/>
    <w:rsid w:val="0EC3AF69"/>
    <w:rsid w:val="0EDCECCF"/>
    <w:rsid w:val="0EE80825"/>
    <w:rsid w:val="0EF3225B"/>
    <w:rsid w:val="0EF84E0B"/>
    <w:rsid w:val="0EFCD969"/>
    <w:rsid w:val="0EFDAB8B"/>
    <w:rsid w:val="0F2FAF8D"/>
    <w:rsid w:val="0F3D2328"/>
    <w:rsid w:val="0F469541"/>
    <w:rsid w:val="0F4CB9BA"/>
    <w:rsid w:val="0F65BDF2"/>
    <w:rsid w:val="0F78F286"/>
    <w:rsid w:val="0F7B92CB"/>
    <w:rsid w:val="0F7E3136"/>
    <w:rsid w:val="0F8708A6"/>
    <w:rsid w:val="0F87E58B"/>
    <w:rsid w:val="0F89B142"/>
    <w:rsid w:val="0FA26B0B"/>
    <w:rsid w:val="0FA7652D"/>
    <w:rsid w:val="0FA8A68A"/>
    <w:rsid w:val="0FCE3146"/>
    <w:rsid w:val="0FDF6E44"/>
    <w:rsid w:val="0FFA3484"/>
    <w:rsid w:val="1004CA48"/>
    <w:rsid w:val="10190752"/>
    <w:rsid w:val="101FB21A"/>
    <w:rsid w:val="10249656"/>
    <w:rsid w:val="102F5713"/>
    <w:rsid w:val="10543D01"/>
    <w:rsid w:val="10572BFD"/>
    <w:rsid w:val="10614632"/>
    <w:rsid w:val="10652359"/>
    <w:rsid w:val="106E5BFB"/>
    <w:rsid w:val="107810AF"/>
    <w:rsid w:val="1087614A"/>
    <w:rsid w:val="1093C679"/>
    <w:rsid w:val="109737F1"/>
    <w:rsid w:val="10BD4776"/>
    <w:rsid w:val="10C7A195"/>
    <w:rsid w:val="10D1D3FC"/>
    <w:rsid w:val="10DD6994"/>
    <w:rsid w:val="10E0E48D"/>
    <w:rsid w:val="10EB573B"/>
    <w:rsid w:val="10ED66F2"/>
    <w:rsid w:val="10EFD134"/>
    <w:rsid w:val="10F4BECA"/>
    <w:rsid w:val="1107BA22"/>
    <w:rsid w:val="1119E0D4"/>
    <w:rsid w:val="111B6358"/>
    <w:rsid w:val="112427C1"/>
    <w:rsid w:val="112B3D69"/>
    <w:rsid w:val="113A98F1"/>
    <w:rsid w:val="113C3BB4"/>
    <w:rsid w:val="1140D8F6"/>
    <w:rsid w:val="114F62E5"/>
    <w:rsid w:val="1155873E"/>
    <w:rsid w:val="115F4FE2"/>
    <w:rsid w:val="1169209F"/>
    <w:rsid w:val="117DE7C6"/>
    <w:rsid w:val="118BBDE9"/>
    <w:rsid w:val="118ED196"/>
    <w:rsid w:val="11A2DE4B"/>
    <w:rsid w:val="11A8FE97"/>
    <w:rsid w:val="11ACE531"/>
    <w:rsid w:val="11AFC2DF"/>
    <w:rsid w:val="11BC216E"/>
    <w:rsid w:val="11BEFD40"/>
    <w:rsid w:val="11C7F82F"/>
    <w:rsid w:val="11C93987"/>
    <w:rsid w:val="11D04DA3"/>
    <w:rsid w:val="11DBF618"/>
    <w:rsid w:val="11DD1E65"/>
    <w:rsid w:val="11FFE3B2"/>
    <w:rsid w:val="120858D6"/>
    <w:rsid w:val="120AEE5F"/>
    <w:rsid w:val="121016D7"/>
    <w:rsid w:val="121358F6"/>
    <w:rsid w:val="12189042"/>
    <w:rsid w:val="122C58D0"/>
    <w:rsid w:val="123E8EB4"/>
    <w:rsid w:val="124327CE"/>
    <w:rsid w:val="1243B622"/>
    <w:rsid w:val="124D907A"/>
    <w:rsid w:val="125310D7"/>
    <w:rsid w:val="127DEBAF"/>
    <w:rsid w:val="12A477BF"/>
    <w:rsid w:val="12C08AEF"/>
    <w:rsid w:val="12C125C0"/>
    <w:rsid w:val="12CBB2B6"/>
    <w:rsid w:val="12CED992"/>
    <w:rsid w:val="12D4BD17"/>
    <w:rsid w:val="12DB253E"/>
    <w:rsid w:val="12F2DE5E"/>
    <w:rsid w:val="12F3599B"/>
    <w:rsid w:val="12F4877C"/>
    <w:rsid w:val="12F759B8"/>
    <w:rsid w:val="12F92AB8"/>
    <w:rsid w:val="130753BC"/>
    <w:rsid w:val="1315C558"/>
    <w:rsid w:val="1316644B"/>
    <w:rsid w:val="131EA296"/>
    <w:rsid w:val="13379FF7"/>
    <w:rsid w:val="1344D225"/>
    <w:rsid w:val="134A479F"/>
    <w:rsid w:val="134ACD10"/>
    <w:rsid w:val="135AA308"/>
    <w:rsid w:val="135C7408"/>
    <w:rsid w:val="1363A1DD"/>
    <w:rsid w:val="13676026"/>
    <w:rsid w:val="1369455A"/>
    <w:rsid w:val="13710F59"/>
    <w:rsid w:val="137C5EF2"/>
    <w:rsid w:val="138847C1"/>
    <w:rsid w:val="138CFADA"/>
    <w:rsid w:val="138F2008"/>
    <w:rsid w:val="1399BADA"/>
    <w:rsid w:val="13A78801"/>
    <w:rsid w:val="13BBC149"/>
    <w:rsid w:val="13C83D3E"/>
    <w:rsid w:val="13C9183E"/>
    <w:rsid w:val="13CC88D5"/>
    <w:rsid w:val="13D88E58"/>
    <w:rsid w:val="13DC3C1B"/>
    <w:rsid w:val="13E33AB8"/>
    <w:rsid w:val="13EE8CE5"/>
    <w:rsid w:val="13F0F91B"/>
    <w:rsid w:val="142231C7"/>
    <w:rsid w:val="144A7D6B"/>
    <w:rsid w:val="14668E2D"/>
    <w:rsid w:val="1471AC25"/>
    <w:rsid w:val="147CAB97"/>
    <w:rsid w:val="1495C1D2"/>
    <w:rsid w:val="1496621E"/>
    <w:rsid w:val="14A1F4E6"/>
    <w:rsid w:val="14B13718"/>
    <w:rsid w:val="14B450F1"/>
    <w:rsid w:val="14B9D276"/>
    <w:rsid w:val="14C06504"/>
    <w:rsid w:val="14C4CC09"/>
    <w:rsid w:val="14D05ADB"/>
    <w:rsid w:val="14DC4F98"/>
    <w:rsid w:val="14E4BDC0"/>
    <w:rsid w:val="14F055E3"/>
    <w:rsid w:val="1501EE43"/>
    <w:rsid w:val="1521C9C5"/>
    <w:rsid w:val="153DA17E"/>
    <w:rsid w:val="154356E3"/>
    <w:rsid w:val="1543E0AF"/>
    <w:rsid w:val="154A175D"/>
    <w:rsid w:val="15523F6D"/>
    <w:rsid w:val="1561B1D9"/>
    <w:rsid w:val="1577F6C9"/>
    <w:rsid w:val="157B7E49"/>
    <w:rsid w:val="15868EA5"/>
    <w:rsid w:val="158C24A5"/>
    <w:rsid w:val="15AAAE68"/>
    <w:rsid w:val="15B4A317"/>
    <w:rsid w:val="15B7CD61"/>
    <w:rsid w:val="15D0D1EA"/>
    <w:rsid w:val="15D19D35"/>
    <w:rsid w:val="15D6A82D"/>
    <w:rsid w:val="15E98FFF"/>
    <w:rsid w:val="15EA6F2C"/>
    <w:rsid w:val="15F3C5A9"/>
    <w:rsid w:val="160070E0"/>
    <w:rsid w:val="160A64AC"/>
    <w:rsid w:val="161334BE"/>
    <w:rsid w:val="161DCFC0"/>
    <w:rsid w:val="161F1E1B"/>
    <w:rsid w:val="1627B33E"/>
    <w:rsid w:val="163AE8C0"/>
    <w:rsid w:val="1641F026"/>
    <w:rsid w:val="1644A8B7"/>
    <w:rsid w:val="164CE834"/>
    <w:rsid w:val="166410F6"/>
    <w:rsid w:val="166894B4"/>
    <w:rsid w:val="16721A8C"/>
    <w:rsid w:val="1673AF94"/>
    <w:rsid w:val="1673BE98"/>
    <w:rsid w:val="168DF4AF"/>
    <w:rsid w:val="16924EDA"/>
    <w:rsid w:val="16972CD9"/>
    <w:rsid w:val="169C4FD5"/>
    <w:rsid w:val="16A30E2C"/>
    <w:rsid w:val="16A843D2"/>
    <w:rsid w:val="16A9E458"/>
    <w:rsid w:val="16B3D7B6"/>
    <w:rsid w:val="16C6C930"/>
    <w:rsid w:val="16D18370"/>
    <w:rsid w:val="16DD3581"/>
    <w:rsid w:val="16E04834"/>
    <w:rsid w:val="16EE90A7"/>
    <w:rsid w:val="16F97066"/>
    <w:rsid w:val="1703AD6D"/>
    <w:rsid w:val="1709E487"/>
    <w:rsid w:val="170FB120"/>
    <w:rsid w:val="1717E846"/>
    <w:rsid w:val="172C2BD3"/>
    <w:rsid w:val="173432E5"/>
    <w:rsid w:val="17347316"/>
    <w:rsid w:val="173FF506"/>
    <w:rsid w:val="1745E0BE"/>
    <w:rsid w:val="174CBEF5"/>
    <w:rsid w:val="17539BC7"/>
    <w:rsid w:val="1757CBA7"/>
    <w:rsid w:val="175A055A"/>
    <w:rsid w:val="175D8697"/>
    <w:rsid w:val="176ACD18"/>
    <w:rsid w:val="1773ABEC"/>
    <w:rsid w:val="17740C35"/>
    <w:rsid w:val="1782661E"/>
    <w:rsid w:val="1795F46B"/>
    <w:rsid w:val="17995609"/>
    <w:rsid w:val="17A2231A"/>
    <w:rsid w:val="17A3B73F"/>
    <w:rsid w:val="17B1D54F"/>
    <w:rsid w:val="17B33615"/>
    <w:rsid w:val="17B4653B"/>
    <w:rsid w:val="17B9738D"/>
    <w:rsid w:val="17BF66B1"/>
    <w:rsid w:val="17D78439"/>
    <w:rsid w:val="17FAB959"/>
    <w:rsid w:val="1806D825"/>
    <w:rsid w:val="1815C0AF"/>
    <w:rsid w:val="1839EA8E"/>
    <w:rsid w:val="183BCEBA"/>
    <w:rsid w:val="185F8916"/>
    <w:rsid w:val="18616684"/>
    <w:rsid w:val="1862A6B6"/>
    <w:rsid w:val="186AEBBE"/>
    <w:rsid w:val="186D2BFD"/>
    <w:rsid w:val="18708E68"/>
    <w:rsid w:val="18827C78"/>
    <w:rsid w:val="18875D01"/>
    <w:rsid w:val="18896B28"/>
    <w:rsid w:val="1894D686"/>
    <w:rsid w:val="18A05407"/>
    <w:rsid w:val="18A8FFCF"/>
    <w:rsid w:val="18C079EF"/>
    <w:rsid w:val="18C14D91"/>
    <w:rsid w:val="18CC114F"/>
    <w:rsid w:val="18DD446C"/>
    <w:rsid w:val="18EF68B4"/>
    <w:rsid w:val="18F6E37A"/>
    <w:rsid w:val="19030665"/>
    <w:rsid w:val="191CDB70"/>
    <w:rsid w:val="192067CD"/>
    <w:rsid w:val="1921E412"/>
    <w:rsid w:val="1932B99F"/>
    <w:rsid w:val="193B2DD1"/>
    <w:rsid w:val="193EFA8F"/>
    <w:rsid w:val="1944BB7B"/>
    <w:rsid w:val="19470F3D"/>
    <w:rsid w:val="19484A9D"/>
    <w:rsid w:val="1953CD6A"/>
    <w:rsid w:val="196172B7"/>
    <w:rsid w:val="19689F0D"/>
    <w:rsid w:val="197D2CB2"/>
    <w:rsid w:val="197EFACF"/>
    <w:rsid w:val="1981122A"/>
    <w:rsid w:val="19866877"/>
    <w:rsid w:val="1986C239"/>
    <w:rsid w:val="1986E3DC"/>
    <w:rsid w:val="1988DAB4"/>
    <w:rsid w:val="1995AD58"/>
    <w:rsid w:val="19A0AEDB"/>
    <w:rsid w:val="19AFB6F7"/>
    <w:rsid w:val="19B1EA64"/>
    <w:rsid w:val="19B2BD5C"/>
    <w:rsid w:val="19BC7D8B"/>
    <w:rsid w:val="19CB63C2"/>
    <w:rsid w:val="19CBF73A"/>
    <w:rsid w:val="19CE3457"/>
    <w:rsid w:val="19D1D25A"/>
    <w:rsid w:val="19D40E4A"/>
    <w:rsid w:val="19DEE8A1"/>
    <w:rsid w:val="19E2DDC6"/>
    <w:rsid w:val="19E7259C"/>
    <w:rsid w:val="1A020BF2"/>
    <w:rsid w:val="1A1B844A"/>
    <w:rsid w:val="1A2454AF"/>
    <w:rsid w:val="1A263D70"/>
    <w:rsid w:val="1A26CECF"/>
    <w:rsid w:val="1A2E16F8"/>
    <w:rsid w:val="1A3DB495"/>
    <w:rsid w:val="1A465934"/>
    <w:rsid w:val="1A68FD6B"/>
    <w:rsid w:val="1A693927"/>
    <w:rsid w:val="1A730444"/>
    <w:rsid w:val="1A7822EA"/>
    <w:rsid w:val="1A85BC87"/>
    <w:rsid w:val="1A8B520E"/>
    <w:rsid w:val="1A8E66B2"/>
    <w:rsid w:val="1A95007E"/>
    <w:rsid w:val="1AA321FA"/>
    <w:rsid w:val="1AAD0A9B"/>
    <w:rsid w:val="1AB6CA1E"/>
    <w:rsid w:val="1ABC2F6D"/>
    <w:rsid w:val="1ACAB0A1"/>
    <w:rsid w:val="1ACBEFFB"/>
    <w:rsid w:val="1ACC5688"/>
    <w:rsid w:val="1ACE8847"/>
    <w:rsid w:val="1AD8AB74"/>
    <w:rsid w:val="1AD9D969"/>
    <w:rsid w:val="1AE108A7"/>
    <w:rsid w:val="1AE11FC7"/>
    <w:rsid w:val="1AF175CA"/>
    <w:rsid w:val="1AFEF862"/>
    <w:rsid w:val="1B044735"/>
    <w:rsid w:val="1B0B58E5"/>
    <w:rsid w:val="1B128A4B"/>
    <w:rsid w:val="1B1A25AD"/>
    <w:rsid w:val="1B1EB651"/>
    <w:rsid w:val="1B30C7E6"/>
    <w:rsid w:val="1B51310F"/>
    <w:rsid w:val="1B691F95"/>
    <w:rsid w:val="1B7B54CD"/>
    <w:rsid w:val="1B8840C6"/>
    <w:rsid w:val="1B8ECC08"/>
    <w:rsid w:val="1B915C41"/>
    <w:rsid w:val="1B982444"/>
    <w:rsid w:val="1B9E9581"/>
    <w:rsid w:val="1BA0CFEA"/>
    <w:rsid w:val="1BA1DA7E"/>
    <w:rsid w:val="1BAC753F"/>
    <w:rsid w:val="1BC255D2"/>
    <w:rsid w:val="1BC341A7"/>
    <w:rsid w:val="1BD68803"/>
    <w:rsid w:val="1BD6BAD4"/>
    <w:rsid w:val="1BD7EBAA"/>
    <w:rsid w:val="1BDCA46D"/>
    <w:rsid w:val="1BDDC93A"/>
    <w:rsid w:val="1BE1AD93"/>
    <w:rsid w:val="1BE49492"/>
    <w:rsid w:val="1BEE0C4C"/>
    <w:rsid w:val="1BF40E19"/>
    <w:rsid w:val="1C06DADB"/>
    <w:rsid w:val="1C0C2CEF"/>
    <w:rsid w:val="1C14A25D"/>
    <w:rsid w:val="1C16C130"/>
    <w:rsid w:val="1C1780E1"/>
    <w:rsid w:val="1C1E4FEA"/>
    <w:rsid w:val="1C27D999"/>
    <w:rsid w:val="1C32D352"/>
    <w:rsid w:val="1C341772"/>
    <w:rsid w:val="1C395C64"/>
    <w:rsid w:val="1C47E2FA"/>
    <w:rsid w:val="1C49750A"/>
    <w:rsid w:val="1C4CA5E5"/>
    <w:rsid w:val="1C5EB579"/>
    <w:rsid w:val="1C63DDB2"/>
    <w:rsid w:val="1C70C117"/>
    <w:rsid w:val="1C767172"/>
    <w:rsid w:val="1C93116F"/>
    <w:rsid w:val="1CA1AB2D"/>
    <w:rsid w:val="1CA221E2"/>
    <w:rsid w:val="1CB076EA"/>
    <w:rsid w:val="1CBC764E"/>
    <w:rsid w:val="1CD34E44"/>
    <w:rsid w:val="1CE79E3B"/>
    <w:rsid w:val="1CFBC005"/>
    <w:rsid w:val="1D0ED567"/>
    <w:rsid w:val="1D16F99D"/>
    <w:rsid w:val="1D3A1AC9"/>
    <w:rsid w:val="1D458699"/>
    <w:rsid w:val="1D49744D"/>
    <w:rsid w:val="1D4BFBC1"/>
    <w:rsid w:val="1D6469F7"/>
    <w:rsid w:val="1D746C73"/>
    <w:rsid w:val="1D8070BC"/>
    <w:rsid w:val="1D875A77"/>
    <w:rsid w:val="1D8E17C8"/>
    <w:rsid w:val="1D95B6BA"/>
    <w:rsid w:val="1DA16DAE"/>
    <w:rsid w:val="1DADB3AE"/>
    <w:rsid w:val="1DAE4F00"/>
    <w:rsid w:val="1DB2E783"/>
    <w:rsid w:val="1DB673B0"/>
    <w:rsid w:val="1DC25B58"/>
    <w:rsid w:val="1DC2C730"/>
    <w:rsid w:val="1DD9DB54"/>
    <w:rsid w:val="1DF21D82"/>
    <w:rsid w:val="1DF6414F"/>
    <w:rsid w:val="1DFAB4E0"/>
    <w:rsid w:val="1DFDA510"/>
    <w:rsid w:val="1E01099D"/>
    <w:rsid w:val="1E049155"/>
    <w:rsid w:val="1E06FFEC"/>
    <w:rsid w:val="1E15E74A"/>
    <w:rsid w:val="1E2BF4BF"/>
    <w:rsid w:val="1E2C902E"/>
    <w:rsid w:val="1E316586"/>
    <w:rsid w:val="1E32AC69"/>
    <w:rsid w:val="1E3C018C"/>
    <w:rsid w:val="1E466781"/>
    <w:rsid w:val="1E498044"/>
    <w:rsid w:val="1E4F4835"/>
    <w:rsid w:val="1E536CBF"/>
    <w:rsid w:val="1E5B4885"/>
    <w:rsid w:val="1E8299BB"/>
    <w:rsid w:val="1E8460F2"/>
    <w:rsid w:val="1E996438"/>
    <w:rsid w:val="1E99C0C1"/>
    <w:rsid w:val="1EA10EAF"/>
    <w:rsid w:val="1EA15EE4"/>
    <w:rsid w:val="1EAE9378"/>
    <w:rsid w:val="1EB41E78"/>
    <w:rsid w:val="1EB69DA7"/>
    <w:rsid w:val="1EBB4369"/>
    <w:rsid w:val="1ECC0AF5"/>
    <w:rsid w:val="1ED9B31B"/>
    <w:rsid w:val="1EE01876"/>
    <w:rsid w:val="1F02A2D0"/>
    <w:rsid w:val="1F1117B6"/>
    <w:rsid w:val="1F1734CF"/>
    <w:rsid w:val="1F313E81"/>
    <w:rsid w:val="1F40F733"/>
    <w:rsid w:val="1F4CCF6E"/>
    <w:rsid w:val="1F5037B5"/>
    <w:rsid w:val="1F50BFD2"/>
    <w:rsid w:val="1F5802FB"/>
    <w:rsid w:val="1F602092"/>
    <w:rsid w:val="1F6E2085"/>
    <w:rsid w:val="1F70532E"/>
    <w:rsid w:val="1F752841"/>
    <w:rsid w:val="1F779246"/>
    <w:rsid w:val="1F853187"/>
    <w:rsid w:val="1F886849"/>
    <w:rsid w:val="1F9AEC78"/>
    <w:rsid w:val="1FAA8420"/>
    <w:rsid w:val="1FB31774"/>
    <w:rsid w:val="1FB4BAE1"/>
    <w:rsid w:val="1FBA1398"/>
    <w:rsid w:val="1FC03B81"/>
    <w:rsid w:val="1FC05663"/>
    <w:rsid w:val="1FC3D7A0"/>
    <w:rsid w:val="1FCD9626"/>
    <w:rsid w:val="1FCECFAE"/>
    <w:rsid w:val="1FD2C02A"/>
    <w:rsid w:val="1FD7F66F"/>
    <w:rsid w:val="1FDEEC38"/>
    <w:rsid w:val="1FDF5E3B"/>
    <w:rsid w:val="1FECDA0E"/>
    <w:rsid w:val="1FFEC2EA"/>
    <w:rsid w:val="1FFF8A3A"/>
    <w:rsid w:val="20044768"/>
    <w:rsid w:val="200855B7"/>
    <w:rsid w:val="201D7990"/>
    <w:rsid w:val="201F3EFD"/>
    <w:rsid w:val="2030ED78"/>
    <w:rsid w:val="20365A70"/>
    <w:rsid w:val="2038855A"/>
    <w:rsid w:val="205050D4"/>
    <w:rsid w:val="20533557"/>
    <w:rsid w:val="20583EAE"/>
    <w:rsid w:val="206DB709"/>
    <w:rsid w:val="207489AD"/>
    <w:rsid w:val="207AF7D3"/>
    <w:rsid w:val="207C5DAC"/>
    <w:rsid w:val="2086AB05"/>
    <w:rsid w:val="20885BD7"/>
    <w:rsid w:val="2094CE37"/>
    <w:rsid w:val="2098B00B"/>
    <w:rsid w:val="209EBF11"/>
    <w:rsid w:val="20AC42DC"/>
    <w:rsid w:val="20C10666"/>
    <w:rsid w:val="20C5FDB3"/>
    <w:rsid w:val="20CA41C3"/>
    <w:rsid w:val="20CC0F19"/>
    <w:rsid w:val="20D30234"/>
    <w:rsid w:val="20DCEC2F"/>
    <w:rsid w:val="20E336C1"/>
    <w:rsid w:val="20F01264"/>
    <w:rsid w:val="20F76683"/>
    <w:rsid w:val="211305BE"/>
    <w:rsid w:val="2129769D"/>
    <w:rsid w:val="212B2DDF"/>
    <w:rsid w:val="212D342C"/>
    <w:rsid w:val="2135D5A5"/>
    <w:rsid w:val="214A1A09"/>
    <w:rsid w:val="215B512E"/>
    <w:rsid w:val="215F8EC5"/>
    <w:rsid w:val="21766A09"/>
    <w:rsid w:val="218B8A79"/>
    <w:rsid w:val="218EFDA8"/>
    <w:rsid w:val="2191835A"/>
    <w:rsid w:val="2197B70C"/>
    <w:rsid w:val="21A37000"/>
    <w:rsid w:val="21ADED3C"/>
    <w:rsid w:val="21B705A6"/>
    <w:rsid w:val="21D877AE"/>
    <w:rsid w:val="21E9F4D4"/>
    <w:rsid w:val="21EAFA88"/>
    <w:rsid w:val="21EEB8DC"/>
    <w:rsid w:val="21FF30C3"/>
    <w:rsid w:val="221EBFB5"/>
    <w:rsid w:val="222DBE68"/>
    <w:rsid w:val="223529F3"/>
    <w:rsid w:val="224136D6"/>
    <w:rsid w:val="224CDF2F"/>
    <w:rsid w:val="2254BA3E"/>
    <w:rsid w:val="2258B4E2"/>
    <w:rsid w:val="2262F8F8"/>
    <w:rsid w:val="2273F2FC"/>
    <w:rsid w:val="228B4140"/>
    <w:rsid w:val="22A94AE2"/>
    <w:rsid w:val="22AD8B49"/>
    <w:rsid w:val="22AEB786"/>
    <w:rsid w:val="22B4F96F"/>
    <w:rsid w:val="22BDE645"/>
    <w:rsid w:val="22C8DD91"/>
    <w:rsid w:val="22CC54C2"/>
    <w:rsid w:val="22D5FDDD"/>
    <w:rsid w:val="22D9BE59"/>
    <w:rsid w:val="22DC15A8"/>
    <w:rsid w:val="22DDF810"/>
    <w:rsid w:val="22DE9353"/>
    <w:rsid w:val="22FB5B03"/>
    <w:rsid w:val="2302E144"/>
    <w:rsid w:val="23037B6C"/>
    <w:rsid w:val="23089770"/>
    <w:rsid w:val="230BE9EB"/>
    <w:rsid w:val="230C5864"/>
    <w:rsid w:val="23117F4A"/>
    <w:rsid w:val="23156E74"/>
    <w:rsid w:val="2319A8E3"/>
    <w:rsid w:val="231DBAF6"/>
    <w:rsid w:val="231FAE57"/>
    <w:rsid w:val="232685DE"/>
    <w:rsid w:val="232FB2C4"/>
    <w:rsid w:val="23309CB6"/>
    <w:rsid w:val="233216A2"/>
    <w:rsid w:val="23446A42"/>
    <w:rsid w:val="23550852"/>
    <w:rsid w:val="23587CF4"/>
    <w:rsid w:val="2359D77A"/>
    <w:rsid w:val="235F8E68"/>
    <w:rsid w:val="235F9693"/>
    <w:rsid w:val="2373191F"/>
    <w:rsid w:val="2389E037"/>
    <w:rsid w:val="238A3047"/>
    <w:rsid w:val="23901241"/>
    <w:rsid w:val="239440B1"/>
    <w:rsid w:val="2395E834"/>
    <w:rsid w:val="23A8BDD7"/>
    <w:rsid w:val="23AB3D74"/>
    <w:rsid w:val="23C0D2F9"/>
    <w:rsid w:val="23C30721"/>
    <w:rsid w:val="23C992E6"/>
    <w:rsid w:val="23DC8BE0"/>
    <w:rsid w:val="23E16515"/>
    <w:rsid w:val="23E98471"/>
    <w:rsid w:val="23EF5743"/>
    <w:rsid w:val="23F10299"/>
    <w:rsid w:val="23F7981A"/>
    <w:rsid w:val="24021533"/>
    <w:rsid w:val="242E1C3B"/>
    <w:rsid w:val="2449C345"/>
    <w:rsid w:val="2449C9B4"/>
    <w:rsid w:val="245F30D0"/>
    <w:rsid w:val="245FD381"/>
    <w:rsid w:val="2468FA8F"/>
    <w:rsid w:val="247296F4"/>
    <w:rsid w:val="248056BB"/>
    <w:rsid w:val="24824498"/>
    <w:rsid w:val="2482C2EA"/>
    <w:rsid w:val="248CE45A"/>
    <w:rsid w:val="2494C2B6"/>
    <w:rsid w:val="2499A6A3"/>
    <w:rsid w:val="249C93A6"/>
    <w:rsid w:val="24A9EE1D"/>
    <w:rsid w:val="24C237DC"/>
    <w:rsid w:val="24C33DD4"/>
    <w:rsid w:val="24C6A425"/>
    <w:rsid w:val="24D85B09"/>
    <w:rsid w:val="24E7267B"/>
    <w:rsid w:val="24F7DB1F"/>
    <w:rsid w:val="250FB7C2"/>
    <w:rsid w:val="2512FBBA"/>
    <w:rsid w:val="25157C72"/>
    <w:rsid w:val="251863B9"/>
    <w:rsid w:val="251DEF6F"/>
    <w:rsid w:val="252B4F30"/>
    <w:rsid w:val="25318163"/>
    <w:rsid w:val="2536D51D"/>
    <w:rsid w:val="254F8BE8"/>
    <w:rsid w:val="255D6ADF"/>
    <w:rsid w:val="25691CA7"/>
    <w:rsid w:val="2569E0A3"/>
    <w:rsid w:val="256FA8AF"/>
    <w:rsid w:val="257E22F1"/>
    <w:rsid w:val="258D5503"/>
    <w:rsid w:val="2593687B"/>
    <w:rsid w:val="259A21F9"/>
    <w:rsid w:val="25B216C3"/>
    <w:rsid w:val="25BABF37"/>
    <w:rsid w:val="25D5056B"/>
    <w:rsid w:val="25D7E365"/>
    <w:rsid w:val="25E8A8F7"/>
    <w:rsid w:val="25EBD170"/>
    <w:rsid w:val="25F58659"/>
    <w:rsid w:val="25FDB17B"/>
    <w:rsid w:val="2603FE32"/>
    <w:rsid w:val="260E3ABF"/>
    <w:rsid w:val="26189BB5"/>
    <w:rsid w:val="261CDB87"/>
    <w:rsid w:val="2621BBBF"/>
    <w:rsid w:val="263C2207"/>
    <w:rsid w:val="263C8B39"/>
    <w:rsid w:val="26400B72"/>
    <w:rsid w:val="2642E061"/>
    <w:rsid w:val="26468A65"/>
    <w:rsid w:val="264827E5"/>
    <w:rsid w:val="264CE358"/>
    <w:rsid w:val="26591DC2"/>
    <w:rsid w:val="26623777"/>
    <w:rsid w:val="266C858C"/>
    <w:rsid w:val="26704530"/>
    <w:rsid w:val="267C3B56"/>
    <w:rsid w:val="2681D09B"/>
    <w:rsid w:val="26B2B878"/>
    <w:rsid w:val="26B5286E"/>
    <w:rsid w:val="26BB45BB"/>
    <w:rsid w:val="26D40044"/>
    <w:rsid w:val="26D7B763"/>
    <w:rsid w:val="26DE4EBB"/>
    <w:rsid w:val="26E315D2"/>
    <w:rsid w:val="26EBCAEC"/>
    <w:rsid w:val="26F1FCB6"/>
    <w:rsid w:val="26F8844A"/>
    <w:rsid w:val="2701059A"/>
    <w:rsid w:val="271219C3"/>
    <w:rsid w:val="27130A89"/>
    <w:rsid w:val="2713BFA7"/>
    <w:rsid w:val="271F80BB"/>
    <w:rsid w:val="27259CC4"/>
    <w:rsid w:val="273B8718"/>
    <w:rsid w:val="273F8F1A"/>
    <w:rsid w:val="2750F33E"/>
    <w:rsid w:val="2762D1BA"/>
    <w:rsid w:val="27708ABA"/>
    <w:rsid w:val="2770B7AA"/>
    <w:rsid w:val="27711C3C"/>
    <w:rsid w:val="277D40AE"/>
    <w:rsid w:val="279D2EBF"/>
    <w:rsid w:val="27A124B7"/>
    <w:rsid w:val="27A3BD03"/>
    <w:rsid w:val="27A733A8"/>
    <w:rsid w:val="27AC693F"/>
    <w:rsid w:val="27BA982B"/>
    <w:rsid w:val="27BBF31F"/>
    <w:rsid w:val="27C03D1A"/>
    <w:rsid w:val="27CD776E"/>
    <w:rsid w:val="27F55FA1"/>
    <w:rsid w:val="27F665EE"/>
    <w:rsid w:val="27FAA2E7"/>
    <w:rsid w:val="28046DEE"/>
    <w:rsid w:val="2809E878"/>
    <w:rsid w:val="2829BAE4"/>
    <w:rsid w:val="283327E5"/>
    <w:rsid w:val="2836F5AD"/>
    <w:rsid w:val="284011F2"/>
    <w:rsid w:val="284AE699"/>
    <w:rsid w:val="2857A2F7"/>
    <w:rsid w:val="28605B05"/>
    <w:rsid w:val="2863C60D"/>
    <w:rsid w:val="2864F208"/>
    <w:rsid w:val="286CFBFF"/>
    <w:rsid w:val="287232DF"/>
    <w:rsid w:val="28897662"/>
    <w:rsid w:val="2889D358"/>
    <w:rsid w:val="288E8BB9"/>
    <w:rsid w:val="2891DA25"/>
    <w:rsid w:val="28A925EF"/>
    <w:rsid w:val="28AF3747"/>
    <w:rsid w:val="28BC90ED"/>
    <w:rsid w:val="28BFC667"/>
    <w:rsid w:val="28DCD3EF"/>
    <w:rsid w:val="28E3995C"/>
    <w:rsid w:val="28FB60BE"/>
    <w:rsid w:val="291C3F1F"/>
    <w:rsid w:val="2923D248"/>
    <w:rsid w:val="2940AC6D"/>
    <w:rsid w:val="294246D2"/>
    <w:rsid w:val="294C6E2C"/>
    <w:rsid w:val="29624378"/>
    <w:rsid w:val="296E49B1"/>
    <w:rsid w:val="29719EAF"/>
    <w:rsid w:val="297CFC6F"/>
    <w:rsid w:val="2987952F"/>
    <w:rsid w:val="2987A1C7"/>
    <w:rsid w:val="2993B043"/>
    <w:rsid w:val="299F49D6"/>
    <w:rsid w:val="29A3474C"/>
    <w:rsid w:val="29AA650B"/>
    <w:rsid w:val="29C17156"/>
    <w:rsid w:val="29C78304"/>
    <w:rsid w:val="29CE3607"/>
    <w:rsid w:val="29ED0E61"/>
    <w:rsid w:val="2A1E563C"/>
    <w:rsid w:val="2A20BB5C"/>
    <w:rsid w:val="2A2666F5"/>
    <w:rsid w:val="2A2D8224"/>
    <w:rsid w:val="2A2F5A56"/>
    <w:rsid w:val="2A392560"/>
    <w:rsid w:val="2A395AC3"/>
    <w:rsid w:val="2A39D5FD"/>
    <w:rsid w:val="2A452425"/>
    <w:rsid w:val="2A468E42"/>
    <w:rsid w:val="2A470CBF"/>
    <w:rsid w:val="2A4E24EE"/>
    <w:rsid w:val="2A5BE0B6"/>
    <w:rsid w:val="2A6095B3"/>
    <w:rsid w:val="2A6EF206"/>
    <w:rsid w:val="2A776EEC"/>
    <w:rsid w:val="2A7F13DE"/>
    <w:rsid w:val="2A83144A"/>
    <w:rsid w:val="2A8CA572"/>
    <w:rsid w:val="2A97C73E"/>
    <w:rsid w:val="2AA7588A"/>
    <w:rsid w:val="2AB036E4"/>
    <w:rsid w:val="2AC1C629"/>
    <w:rsid w:val="2AC30A62"/>
    <w:rsid w:val="2AC4D0B1"/>
    <w:rsid w:val="2AD50710"/>
    <w:rsid w:val="2ADD2F87"/>
    <w:rsid w:val="2AE2DD71"/>
    <w:rsid w:val="2AEF2541"/>
    <w:rsid w:val="2AFD44E2"/>
    <w:rsid w:val="2B04F302"/>
    <w:rsid w:val="2B05CB91"/>
    <w:rsid w:val="2B06FA81"/>
    <w:rsid w:val="2B13AD64"/>
    <w:rsid w:val="2B1469C7"/>
    <w:rsid w:val="2B16FBD0"/>
    <w:rsid w:val="2B1CB6F1"/>
    <w:rsid w:val="2B2FBDFC"/>
    <w:rsid w:val="2B3B46D6"/>
    <w:rsid w:val="2B3D03B2"/>
    <w:rsid w:val="2B4A23E2"/>
    <w:rsid w:val="2B4F3C31"/>
    <w:rsid w:val="2B513FCB"/>
    <w:rsid w:val="2B541ECE"/>
    <w:rsid w:val="2B547C34"/>
    <w:rsid w:val="2B56FE08"/>
    <w:rsid w:val="2B90B171"/>
    <w:rsid w:val="2B90C7B5"/>
    <w:rsid w:val="2B950747"/>
    <w:rsid w:val="2B97E8BE"/>
    <w:rsid w:val="2B997BAE"/>
    <w:rsid w:val="2B99DECB"/>
    <w:rsid w:val="2B9FF827"/>
    <w:rsid w:val="2BA29275"/>
    <w:rsid w:val="2BA7A749"/>
    <w:rsid w:val="2BAD68DC"/>
    <w:rsid w:val="2BB2CB7D"/>
    <w:rsid w:val="2BB3BA9D"/>
    <w:rsid w:val="2BC57525"/>
    <w:rsid w:val="2BC65F4C"/>
    <w:rsid w:val="2BC665C7"/>
    <w:rsid w:val="2BCD9D72"/>
    <w:rsid w:val="2BE92DE7"/>
    <w:rsid w:val="2BF75F68"/>
    <w:rsid w:val="2C200339"/>
    <w:rsid w:val="2C20939C"/>
    <w:rsid w:val="2C26B344"/>
    <w:rsid w:val="2C3B193F"/>
    <w:rsid w:val="2C4EC42B"/>
    <w:rsid w:val="2C509895"/>
    <w:rsid w:val="2C51CDB5"/>
    <w:rsid w:val="2C544343"/>
    <w:rsid w:val="2C619EC6"/>
    <w:rsid w:val="2C7A5362"/>
    <w:rsid w:val="2C821A37"/>
    <w:rsid w:val="2C945AC5"/>
    <w:rsid w:val="2CA0D9FE"/>
    <w:rsid w:val="2CB4D3FC"/>
    <w:rsid w:val="2CC26AAE"/>
    <w:rsid w:val="2CC97F32"/>
    <w:rsid w:val="2CCFEFA2"/>
    <w:rsid w:val="2CF58CDD"/>
    <w:rsid w:val="2D114CA4"/>
    <w:rsid w:val="2D3CA8ED"/>
    <w:rsid w:val="2D3F1F6A"/>
    <w:rsid w:val="2D5E9EDD"/>
    <w:rsid w:val="2D62FD6A"/>
    <w:rsid w:val="2D62FFE4"/>
    <w:rsid w:val="2D65917C"/>
    <w:rsid w:val="2D65E2C0"/>
    <w:rsid w:val="2D77D0D4"/>
    <w:rsid w:val="2D9D6CFC"/>
    <w:rsid w:val="2D9DD433"/>
    <w:rsid w:val="2DA925CC"/>
    <w:rsid w:val="2DAC8573"/>
    <w:rsid w:val="2DB4DFE8"/>
    <w:rsid w:val="2DD0A096"/>
    <w:rsid w:val="2DD938F2"/>
    <w:rsid w:val="2DDF8F89"/>
    <w:rsid w:val="2DE2FB15"/>
    <w:rsid w:val="2DFB7009"/>
    <w:rsid w:val="2E132932"/>
    <w:rsid w:val="2E16752C"/>
    <w:rsid w:val="2E390284"/>
    <w:rsid w:val="2E484600"/>
    <w:rsid w:val="2E4C3F54"/>
    <w:rsid w:val="2E6E807C"/>
    <w:rsid w:val="2E737AB8"/>
    <w:rsid w:val="2E988A56"/>
    <w:rsid w:val="2E9CC2C5"/>
    <w:rsid w:val="2EA4E357"/>
    <w:rsid w:val="2EBF0606"/>
    <w:rsid w:val="2ECABEC8"/>
    <w:rsid w:val="2EE551EB"/>
    <w:rsid w:val="2EFB4ED4"/>
    <w:rsid w:val="2F0A58E2"/>
    <w:rsid w:val="2F10E309"/>
    <w:rsid w:val="2F39E61A"/>
    <w:rsid w:val="2F4A9D06"/>
    <w:rsid w:val="2F556854"/>
    <w:rsid w:val="2F565876"/>
    <w:rsid w:val="2F617582"/>
    <w:rsid w:val="2F65219E"/>
    <w:rsid w:val="2F68E31C"/>
    <w:rsid w:val="2F78E9FA"/>
    <w:rsid w:val="2F82632C"/>
    <w:rsid w:val="2F829697"/>
    <w:rsid w:val="2F88047C"/>
    <w:rsid w:val="2F999E7D"/>
    <w:rsid w:val="2F9E64F9"/>
    <w:rsid w:val="2FA39522"/>
    <w:rsid w:val="2FAC7203"/>
    <w:rsid w:val="2FAF7FDA"/>
    <w:rsid w:val="2FB8973D"/>
    <w:rsid w:val="2FBD718C"/>
    <w:rsid w:val="2FBFD968"/>
    <w:rsid w:val="2FC2E72C"/>
    <w:rsid w:val="2FD6F0E2"/>
    <w:rsid w:val="3015329F"/>
    <w:rsid w:val="301DED21"/>
    <w:rsid w:val="30272B4A"/>
    <w:rsid w:val="302E05CB"/>
    <w:rsid w:val="30320BC5"/>
    <w:rsid w:val="30339F5C"/>
    <w:rsid w:val="30365EE6"/>
    <w:rsid w:val="303862B7"/>
    <w:rsid w:val="303F3B7E"/>
    <w:rsid w:val="304AF875"/>
    <w:rsid w:val="304D8372"/>
    <w:rsid w:val="3064E567"/>
    <w:rsid w:val="3069C459"/>
    <w:rsid w:val="306A57E4"/>
    <w:rsid w:val="306CBD34"/>
    <w:rsid w:val="30768BA7"/>
    <w:rsid w:val="3078B11D"/>
    <w:rsid w:val="309C66A0"/>
    <w:rsid w:val="30A22CCC"/>
    <w:rsid w:val="30A9E1B4"/>
    <w:rsid w:val="30AB56B1"/>
    <w:rsid w:val="30BB5F91"/>
    <w:rsid w:val="30C11A22"/>
    <w:rsid w:val="30C6CDF1"/>
    <w:rsid w:val="30C7CA10"/>
    <w:rsid w:val="30D67F03"/>
    <w:rsid w:val="30E205CB"/>
    <w:rsid w:val="30E61115"/>
    <w:rsid w:val="30F09B7E"/>
    <w:rsid w:val="30F73B3E"/>
    <w:rsid w:val="30FF45A5"/>
    <w:rsid w:val="310D2725"/>
    <w:rsid w:val="310E8C4D"/>
    <w:rsid w:val="3112E49D"/>
    <w:rsid w:val="31134FA8"/>
    <w:rsid w:val="311FE641"/>
    <w:rsid w:val="3149ADC2"/>
    <w:rsid w:val="3163408B"/>
    <w:rsid w:val="316818BC"/>
    <w:rsid w:val="316B6B94"/>
    <w:rsid w:val="3176BCBB"/>
    <w:rsid w:val="3178A2F4"/>
    <w:rsid w:val="3183100E"/>
    <w:rsid w:val="319AFBF2"/>
    <w:rsid w:val="319D3AA2"/>
    <w:rsid w:val="31A2C015"/>
    <w:rsid w:val="31C52350"/>
    <w:rsid w:val="31C69E61"/>
    <w:rsid w:val="31D56DE2"/>
    <w:rsid w:val="31DF14FB"/>
    <w:rsid w:val="32026605"/>
    <w:rsid w:val="32031BEC"/>
    <w:rsid w:val="3204BC6F"/>
    <w:rsid w:val="32145557"/>
    <w:rsid w:val="3218199E"/>
    <w:rsid w:val="321C6D27"/>
    <w:rsid w:val="3226E8C2"/>
    <w:rsid w:val="322A64DE"/>
    <w:rsid w:val="3233E0E3"/>
    <w:rsid w:val="323BEE8A"/>
    <w:rsid w:val="323E0A2F"/>
    <w:rsid w:val="32437710"/>
    <w:rsid w:val="324F2C8B"/>
    <w:rsid w:val="3250A616"/>
    <w:rsid w:val="3264D578"/>
    <w:rsid w:val="3275C5AD"/>
    <w:rsid w:val="32832E34"/>
    <w:rsid w:val="3284FEF4"/>
    <w:rsid w:val="3285C1A3"/>
    <w:rsid w:val="328A49E0"/>
    <w:rsid w:val="32903D1E"/>
    <w:rsid w:val="32922D09"/>
    <w:rsid w:val="32A03976"/>
    <w:rsid w:val="32BA345C"/>
    <w:rsid w:val="32BA8616"/>
    <w:rsid w:val="32BB75F9"/>
    <w:rsid w:val="32EFFBC3"/>
    <w:rsid w:val="33010246"/>
    <w:rsid w:val="33065B92"/>
    <w:rsid w:val="33163D48"/>
    <w:rsid w:val="331A82D7"/>
    <w:rsid w:val="331DB618"/>
    <w:rsid w:val="3326FDB9"/>
    <w:rsid w:val="33284965"/>
    <w:rsid w:val="3330934F"/>
    <w:rsid w:val="3330F222"/>
    <w:rsid w:val="3331AF43"/>
    <w:rsid w:val="33345AD6"/>
    <w:rsid w:val="3338738B"/>
    <w:rsid w:val="333F09E8"/>
    <w:rsid w:val="334562DC"/>
    <w:rsid w:val="3356E190"/>
    <w:rsid w:val="3367EB40"/>
    <w:rsid w:val="33726159"/>
    <w:rsid w:val="3378BE55"/>
    <w:rsid w:val="3388638F"/>
    <w:rsid w:val="3398D51D"/>
    <w:rsid w:val="339929AB"/>
    <w:rsid w:val="33A2E018"/>
    <w:rsid w:val="33A530C3"/>
    <w:rsid w:val="33A9632C"/>
    <w:rsid w:val="33AAB5F4"/>
    <w:rsid w:val="33C8915E"/>
    <w:rsid w:val="33D1D180"/>
    <w:rsid w:val="33D65767"/>
    <w:rsid w:val="33DFB12D"/>
    <w:rsid w:val="33EAA426"/>
    <w:rsid w:val="33EABFD1"/>
    <w:rsid w:val="33F36592"/>
    <w:rsid w:val="33FC89F2"/>
    <w:rsid w:val="33FEB6B4"/>
    <w:rsid w:val="34073A34"/>
    <w:rsid w:val="341ABD43"/>
    <w:rsid w:val="3421C2E8"/>
    <w:rsid w:val="342AC718"/>
    <w:rsid w:val="342FF571"/>
    <w:rsid w:val="34311881"/>
    <w:rsid w:val="343AB32E"/>
    <w:rsid w:val="343BE856"/>
    <w:rsid w:val="343E783D"/>
    <w:rsid w:val="344BE70D"/>
    <w:rsid w:val="344F0D53"/>
    <w:rsid w:val="34551B4B"/>
    <w:rsid w:val="34557FF2"/>
    <w:rsid w:val="34571389"/>
    <w:rsid w:val="3468C3DE"/>
    <w:rsid w:val="346BB095"/>
    <w:rsid w:val="3470A08D"/>
    <w:rsid w:val="34725851"/>
    <w:rsid w:val="34857F3D"/>
    <w:rsid w:val="3488B5C0"/>
    <w:rsid w:val="34981C4F"/>
    <w:rsid w:val="3499C144"/>
    <w:rsid w:val="3499DF69"/>
    <w:rsid w:val="34A11B3E"/>
    <w:rsid w:val="34A68AFA"/>
    <w:rsid w:val="34B97767"/>
    <w:rsid w:val="34BE4E50"/>
    <w:rsid w:val="34CB17B5"/>
    <w:rsid w:val="34CC2B0B"/>
    <w:rsid w:val="34D38C7A"/>
    <w:rsid w:val="34D5C0EB"/>
    <w:rsid w:val="34E21834"/>
    <w:rsid w:val="34F1D6D6"/>
    <w:rsid w:val="35015478"/>
    <w:rsid w:val="350A4E45"/>
    <w:rsid w:val="350B9CDB"/>
    <w:rsid w:val="3521612F"/>
    <w:rsid w:val="3531E91C"/>
    <w:rsid w:val="3532CE3C"/>
    <w:rsid w:val="3532D120"/>
    <w:rsid w:val="35388E41"/>
    <w:rsid w:val="35512E1B"/>
    <w:rsid w:val="35596207"/>
    <w:rsid w:val="3570DF77"/>
    <w:rsid w:val="357C7898"/>
    <w:rsid w:val="357E8686"/>
    <w:rsid w:val="3593CBE9"/>
    <w:rsid w:val="359C150F"/>
    <w:rsid w:val="359D16CB"/>
    <w:rsid w:val="359F1004"/>
    <w:rsid w:val="35A596A1"/>
    <w:rsid w:val="35AE63B0"/>
    <w:rsid w:val="35B31990"/>
    <w:rsid w:val="35B6D296"/>
    <w:rsid w:val="35BC846B"/>
    <w:rsid w:val="35C38023"/>
    <w:rsid w:val="35C70E74"/>
    <w:rsid w:val="35CF2E22"/>
    <w:rsid w:val="35CFC099"/>
    <w:rsid w:val="35D31D9E"/>
    <w:rsid w:val="35E07AFC"/>
    <w:rsid w:val="35E86A4A"/>
    <w:rsid w:val="35EDF9BE"/>
    <w:rsid w:val="36103E37"/>
    <w:rsid w:val="3612D3D3"/>
    <w:rsid w:val="3615DCC4"/>
    <w:rsid w:val="361A3916"/>
    <w:rsid w:val="36272014"/>
    <w:rsid w:val="363D7B92"/>
    <w:rsid w:val="36424C82"/>
    <w:rsid w:val="3652D33B"/>
    <w:rsid w:val="365D35D4"/>
    <w:rsid w:val="366188CD"/>
    <w:rsid w:val="3665118B"/>
    <w:rsid w:val="366A7914"/>
    <w:rsid w:val="366E8B4E"/>
    <w:rsid w:val="3674D27C"/>
    <w:rsid w:val="36B470A9"/>
    <w:rsid w:val="36CEE030"/>
    <w:rsid w:val="36D710B0"/>
    <w:rsid w:val="36D9ACAC"/>
    <w:rsid w:val="36DD8B62"/>
    <w:rsid w:val="36E96964"/>
    <w:rsid w:val="36ED05C0"/>
    <w:rsid w:val="37040E32"/>
    <w:rsid w:val="371825D9"/>
    <w:rsid w:val="37197F70"/>
    <w:rsid w:val="371B56A2"/>
    <w:rsid w:val="371DBBF9"/>
    <w:rsid w:val="372E6567"/>
    <w:rsid w:val="37414EA9"/>
    <w:rsid w:val="3758335E"/>
    <w:rsid w:val="3767E9F1"/>
    <w:rsid w:val="37712A72"/>
    <w:rsid w:val="3779BD26"/>
    <w:rsid w:val="378B4E33"/>
    <w:rsid w:val="37939800"/>
    <w:rsid w:val="379DAD2E"/>
    <w:rsid w:val="37B6B21F"/>
    <w:rsid w:val="37C2772F"/>
    <w:rsid w:val="37D314BD"/>
    <w:rsid w:val="37DB0C8D"/>
    <w:rsid w:val="37DDE460"/>
    <w:rsid w:val="37DF8514"/>
    <w:rsid w:val="37E3F507"/>
    <w:rsid w:val="37E4EBDE"/>
    <w:rsid w:val="37E60044"/>
    <w:rsid w:val="37F5217A"/>
    <w:rsid w:val="37F7F1E8"/>
    <w:rsid w:val="3800694E"/>
    <w:rsid w:val="3803C62E"/>
    <w:rsid w:val="38184720"/>
    <w:rsid w:val="3825334E"/>
    <w:rsid w:val="38261E5A"/>
    <w:rsid w:val="3829C609"/>
    <w:rsid w:val="383464D4"/>
    <w:rsid w:val="383BB9E7"/>
    <w:rsid w:val="383DA370"/>
    <w:rsid w:val="3845EBCC"/>
    <w:rsid w:val="3859A121"/>
    <w:rsid w:val="385E503A"/>
    <w:rsid w:val="38716E3D"/>
    <w:rsid w:val="38861954"/>
    <w:rsid w:val="388D30E8"/>
    <w:rsid w:val="3894129F"/>
    <w:rsid w:val="38990EEA"/>
    <w:rsid w:val="389B9A83"/>
    <w:rsid w:val="38A5705E"/>
    <w:rsid w:val="38AD9928"/>
    <w:rsid w:val="38BBE9EF"/>
    <w:rsid w:val="38C3995C"/>
    <w:rsid w:val="38C522FA"/>
    <w:rsid w:val="38CA2FB9"/>
    <w:rsid w:val="38DF5FE8"/>
    <w:rsid w:val="38E9ECC5"/>
    <w:rsid w:val="38F472F0"/>
    <w:rsid w:val="38F9310C"/>
    <w:rsid w:val="38FC9F92"/>
    <w:rsid w:val="390EE915"/>
    <w:rsid w:val="39147F60"/>
    <w:rsid w:val="39186A5C"/>
    <w:rsid w:val="39228871"/>
    <w:rsid w:val="3924A12B"/>
    <w:rsid w:val="3926E957"/>
    <w:rsid w:val="3927EA5E"/>
    <w:rsid w:val="3934F952"/>
    <w:rsid w:val="393DCDC5"/>
    <w:rsid w:val="3943F694"/>
    <w:rsid w:val="39450D8D"/>
    <w:rsid w:val="394BE7B9"/>
    <w:rsid w:val="394D55E8"/>
    <w:rsid w:val="39574A08"/>
    <w:rsid w:val="395AA53F"/>
    <w:rsid w:val="39605C23"/>
    <w:rsid w:val="397044E9"/>
    <w:rsid w:val="3977525A"/>
    <w:rsid w:val="397CC0DE"/>
    <w:rsid w:val="397EF642"/>
    <w:rsid w:val="39822FDA"/>
    <w:rsid w:val="398240F0"/>
    <w:rsid w:val="3988F5A1"/>
    <w:rsid w:val="398A3257"/>
    <w:rsid w:val="3995240A"/>
    <w:rsid w:val="399684D0"/>
    <w:rsid w:val="39A07F9D"/>
    <w:rsid w:val="39ADF0DA"/>
    <w:rsid w:val="39B2E10F"/>
    <w:rsid w:val="39B63CBB"/>
    <w:rsid w:val="39C7A89C"/>
    <w:rsid w:val="39D18FE5"/>
    <w:rsid w:val="39E6ABD3"/>
    <w:rsid w:val="39E8948F"/>
    <w:rsid w:val="39EE7060"/>
    <w:rsid w:val="39FB38BA"/>
    <w:rsid w:val="3A06999F"/>
    <w:rsid w:val="3A12EDB6"/>
    <w:rsid w:val="3A227584"/>
    <w:rsid w:val="3A25254D"/>
    <w:rsid w:val="3A2FE300"/>
    <w:rsid w:val="3A3A6459"/>
    <w:rsid w:val="3A431390"/>
    <w:rsid w:val="3A529A63"/>
    <w:rsid w:val="3A603406"/>
    <w:rsid w:val="3A66A68F"/>
    <w:rsid w:val="3A6AC4A6"/>
    <w:rsid w:val="3A7D681D"/>
    <w:rsid w:val="3A877090"/>
    <w:rsid w:val="3A8E004B"/>
    <w:rsid w:val="3A9294D8"/>
    <w:rsid w:val="3AB1B59F"/>
    <w:rsid w:val="3AB28DEA"/>
    <w:rsid w:val="3AB7EB19"/>
    <w:rsid w:val="3ABB0D2F"/>
    <w:rsid w:val="3ABD8882"/>
    <w:rsid w:val="3AC175B1"/>
    <w:rsid w:val="3ACB8523"/>
    <w:rsid w:val="3ACEEA3F"/>
    <w:rsid w:val="3AD21D43"/>
    <w:rsid w:val="3AD66CEA"/>
    <w:rsid w:val="3AE49ED8"/>
    <w:rsid w:val="3AE6C16A"/>
    <w:rsid w:val="3AEC12D7"/>
    <w:rsid w:val="3AECF57E"/>
    <w:rsid w:val="3B110275"/>
    <w:rsid w:val="3B1BEF5B"/>
    <w:rsid w:val="3B2082E2"/>
    <w:rsid w:val="3B2597B6"/>
    <w:rsid w:val="3B2ABC08"/>
    <w:rsid w:val="3B2AEF29"/>
    <w:rsid w:val="3B30E8FE"/>
    <w:rsid w:val="3B342C8E"/>
    <w:rsid w:val="3B4495F8"/>
    <w:rsid w:val="3B489A44"/>
    <w:rsid w:val="3B576925"/>
    <w:rsid w:val="3B5AF1FD"/>
    <w:rsid w:val="3B6A60BA"/>
    <w:rsid w:val="3B6F7863"/>
    <w:rsid w:val="3B75CDD5"/>
    <w:rsid w:val="3B77D6CD"/>
    <w:rsid w:val="3B791D20"/>
    <w:rsid w:val="3B7A2CF0"/>
    <w:rsid w:val="3B8D1C80"/>
    <w:rsid w:val="3B98AF5D"/>
    <w:rsid w:val="3B98D047"/>
    <w:rsid w:val="3BAB3A3C"/>
    <w:rsid w:val="3BAC59F9"/>
    <w:rsid w:val="3BB43CB1"/>
    <w:rsid w:val="3BBED1FF"/>
    <w:rsid w:val="3BCEFD14"/>
    <w:rsid w:val="3BEB9C06"/>
    <w:rsid w:val="3BF3495E"/>
    <w:rsid w:val="3BF9717A"/>
    <w:rsid w:val="3C0304E4"/>
    <w:rsid w:val="3C09B9E4"/>
    <w:rsid w:val="3C1477AB"/>
    <w:rsid w:val="3C16C9F8"/>
    <w:rsid w:val="3C1B2195"/>
    <w:rsid w:val="3C1EC216"/>
    <w:rsid w:val="3C334684"/>
    <w:rsid w:val="3C402082"/>
    <w:rsid w:val="3C4174DC"/>
    <w:rsid w:val="3C469594"/>
    <w:rsid w:val="3C555DAA"/>
    <w:rsid w:val="3C55969B"/>
    <w:rsid w:val="3C55FF6B"/>
    <w:rsid w:val="3C6BF5BE"/>
    <w:rsid w:val="3C6C5852"/>
    <w:rsid w:val="3C786A0C"/>
    <w:rsid w:val="3C802310"/>
    <w:rsid w:val="3C87AA0E"/>
    <w:rsid w:val="3C8849FC"/>
    <w:rsid w:val="3C8D4C86"/>
    <w:rsid w:val="3CA2730A"/>
    <w:rsid w:val="3CABD8A1"/>
    <w:rsid w:val="3CAFCA6A"/>
    <w:rsid w:val="3CBF1FBB"/>
    <w:rsid w:val="3CCE9063"/>
    <w:rsid w:val="3CEA81B7"/>
    <w:rsid w:val="3D0534AD"/>
    <w:rsid w:val="3D0EBBCB"/>
    <w:rsid w:val="3D11CC29"/>
    <w:rsid w:val="3D1A0CED"/>
    <w:rsid w:val="3D2141DF"/>
    <w:rsid w:val="3D3007C9"/>
    <w:rsid w:val="3D338154"/>
    <w:rsid w:val="3D375AAE"/>
    <w:rsid w:val="3D3E9A3A"/>
    <w:rsid w:val="3D60CEE5"/>
    <w:rsid w:val="3D643FEE"/>
    <w:rsid w:val="3D72051B"/>
    <w:rsid w:val="3D7CEC8E"/>
    <w:rsid w:val="3DA7F6DA"/>
    <w:rsid w:val="3DB364A2"/>
    <w:rsid w:val="3DC262D0"/>
    <w:rsid w:val="3DC5F068"/>
    <w:rsid w:val="3DC7BC0F"/>
    <w:rsid w:val="3DD2697C"/>
    <w:rsid w:val="3DD76EE1"/>
    <w:rsid w:val="3DE1AB8A"/>
    <w:rsid w:val="3DE1BD38"/>
    <w:rsid w:val="3DE4F72A"/>
    <w:rsid w:val="3DE65994"/>
    <w:rsid w:val="3DE92D3C"/>
    <w:rsid w:val="3DEBDCFE"/>
    <w:rsid w:val="3DF7CA94"/>
    <w:rsid w:val="3DF9D711"/>
    <w:rsid w:val="3DFE4D33"/>
    <w:rsid w:val="3E01715A"/>
    <w:rsid w:val="3E0BBFC0"/>
    <w:rsid w:val="3E10C54E"/>
    <w:rsid w:val="3E1A93D6"/>
    <w:rsid w:val="3E207E8D"/>
    <w:rsid w:val="3E20ED29"/>
    <w:rsid w:val="3E226A6B"/>
    <w:rsid w:val="3E25039E"/>
    <w:rsid w:val="3E2EF4EF"/>
    <w:rsid w:val="3E3466DC"/>
    <w:rsid w:val="3E34FEB4"/>
    <w:rsid w:val="3E3821C6"/>
    <w:rsid w:val="3E3A37EC"/>
    <w:rsid w:val="3E610226"/>
    <w:rsid w:val="3E64C184"/>
    <w:rsid w:val="3E72A4FC"/>
    <w:rsid w:val="3E7572B7"/>
    <w:rsid w:val="3E862359"/>
    <w:rsid w:val="3E8DDCBB"/>
    <w:rsid w:val="3E9BDB59"/>
    <w:rsid w:val="3E9C2F87"/>
    <w:rsid w:val="3EA2C85E"/>
    <w:rsid w:val="3EA4204B"/>
    <w:rsid w:val="3EA4E65B"/>
    <w:rsid w:val="3EBE2B18"/>
    <w:rsid w:val="3EC3E388"/>
    <w:rsid w:val="3EC6307A"/>
    <w:rsid w:val="3EC92D09"/>
    <w:rsid w:val="3ED1514F"/>
    <w:rsid w:val="3EE84BE4"/>
    <w:rsid w:val="3EED58F9"/>
    <w:rsid w:val="3EEE9396"/>
    <w:rsid w:val="3EF01949"/>
    <w:rsid w:val="3EFB4231"/>
    <w:rsid w:val="3F005ACA"/>
    <w:rsid w:val="3F012702"/>
    <w:rsid w:val="3F07C85D"/>
    <w:rsid w:val="3F0AA4FC"/>
    <w:rsid w:val="3F32DC5F"/>
    <w:rsid w:val="3F398FA8"/>
    <w:rsid w:val="3F4089E2"/>
    <w:rsid w:val="3F4BD601"/>
    <w:rsid w:val="3F536E7B"/>
    <w:rsid w:val="3F541A46"/>
    <w:rsid w:val="3F549D6B"/>
    <w:rsid w:val="3F7F1E6F"/>
    <w:rsid w:val="3F7F4957"/>
    <w:rsid w:val="3F90D86E"/>
    <w:rsid w:val="3F9D4456"/>
    <w:rsid w:val="3F9EFCBA"/>
    <w:rsid w:val="3FA04623"/>
    <w:rsid w:val="3FA16022"/>
    <w:rsid w:val="3FA43958"/>
    <w:rsid w:val="3FA6D4A0"/>
    <w:rsid w:val="3FAAF344"/>
    <w:rsid w:val="3FB3A26C"/>
    <w:rsid w:val="3FBD7FD7"/>
    <w:rsid w:val="3FBD8BAD"/>
    <w:rsid w:val="3FCA0C6C"/>
    <w:rsid w:val="3FCDB71B"/>
    <w:rsid w:val="3FD32A90"/>
    <w:rsid w:val="3FD82155"/>
    <w:rsid w:val="3FE26499"/>
    <w:rsid w:val="3FF9DDBA"/>
    <w:rsid w:val="4000F29F"/>
    <w:rsid w:val="40037407"/>
    <w:rsid w:val="400E7195"/>
    <w:rsid w:val="4010C722"/>
    <w:rsid w:val="4010FDB0"/>
    <w:rsid w:val="40133C29"/>
    <w:rsid w:val="4019EFD6"/>
    <w:rsid w:val="40228458"/>
    <w:rsid w:val="40268497"/>
    <w:rsid w:val="402CD19B"/>
    <w:rsid w:val="4045B152"/>
    <w:rsid w:val="4046AB1D"/>
    <w:rsid w:val="404D43E0"/>
    <w:rsid w:val="4056AA55"/>
    <w:rsid w:val="405AA556"/>
    <w:rsid w:val="406C40A4"/>
    <w:rsid w:val="4080C844"/>
    <w:rsid w:val="4087CB41"/>
    <w:rsid w:val="408B153D"/>
    <w:rsid w:val="40967B37"/>
    <w:rsid w:val="409AECA4"/>
    <w:rsid w:val="40AD9B3F"/>
    <w:rsid w:val="40B6952E"/>
    <w:rsid w:val="40C439E2"/>
    <w:rsid w:val="40C4563E"/>
    <w:rsid w:val="40CA3160"/>
    <w:rsid w:val="40CA7BBE"/>
    <w:rsid w:val="40DFA1F2"/>
    <w:rsid w:val="40E49940"/>
    <w:rsid w:val="40EBAC6C"/>
    <w:rsid w:val="40F58E1E"/>
    <w:rsid w:val="40F7D870"/>
    <w:rsid w:val="40F8C442"/>
    <w:rsid w:val="41017E8C"/>
    <w:rsid w:val="410B46E3"/>
    <w:rsid w:val="410D1CE6"/>
    <w:rsid w:val="412BF492"/>
    <w:rsid w:val="4132BEDA"/>
    <w:rsid w:val="41342105"/>
    <w:rsid w:val="41406B50"/>
    <w:rsid w:val="41431EFF"/>
    <w:rsid w:val="41472BAC"/>
    <w:rsid w:val="414B3C00"/>
    <w:rsid w:val="4161E8AA"/>
    <w:rsid w:val="41681184"/>
    <w:rsid w:val="418663E5"/>
    <w:rsid w:val="4199B0F6"/>
    <w:rsid w:val="41AC3585"/>
    <w:rsid w:val="41B3A66D"/>
    <w:rsid w:val="41B45C0A"/>
    <w:rsid w:val="41CD1601"/>
    <w:rsid w:val="41D08C75"/>
    <w:rsid w:val="41DBEF7E"/>
    <w:rsid w:val="41E01AA9"/>
    <w:rsid w:val="41E08B3F"/>
    <w:rsid w:val="41E7D71E"/>
    <w:rsid w:val="41E96757"/>
    <w:rsid w:val="41ECE82B"/>
    <w:rsid w:val="41ED985B"/>
    <w:rsid w:val="41EF8D19"/>
    <w:rsid w:val="41F884AC"/>
    <w:rsid w:val="421B2CF7"/>
    <w:rsid w:val="4225D725"/>
    <w:rsid w:val="4239656B"/>
    <w:rsid w:val="424280E6"/>
    <w:rsid w:val="42504FAB"/>
    <w:rsid w:val="426B85D1"/>
    <w:rsid w:val="427BCCA4"/>
    <w:rsid w:val="427C8AA1"/>
    <w:rsid w:val="428E96F5"/>
    <w:rsid w:val="4293C41B"/>
    <w:rsid w:val="42AC3BE3"/>
    <w:rsid w:val="42B11AFB"/>
    <w:rsid w:val="42B40618"/>
    <w:rsid w:val="42BA39F9"/>
    <w:rsid w:val="42C01FC2"/>
    <w:rsid w:val="42C51139"/>
    <w:rsid w:val="42E0441E"/>
    <w:rsid w:val="42E565CF"/>
    <w:rsid w:val="4304D03D"/>
    <w:rsid w:val="432B6F53"/>
    <w:rsid w:val="4343C00A"/>
    <w:rsid w:val="4351DBB1"/>
    <w:rsid w:val="4359212B"/>
    <w:rsid w:val="4369DF2E"/>
    <w:rsid w:val="436EC763"/>
    <w:rsid w:val="4386F18C"/>
    <w:rsid w:val="43890FBE"/>
    <w:rsid w:val="43B388E9"/>
    <w:rsid w:val="43B7395D"/>
    <w:rsid w:val="43B73CA3"/>
    <w:rsid w:val="43C711D9"/>
    <w:rsid w:val="43CA283F"/>
    <w:rsid w:val="43E3CF70"/>
    <w:rsid w:val="43E54D06"/>
    <w:rsid w:val="43F2B339"/>
    <w:rsid w:val="43FF3EF1"/>
    <w:rsid w:val="4416637D"/>
    <w:rsid w:val="4418D0DF"/>
    <w:rsid w:val="44267CF9"/>
    <w:rsid w:val="442BA6ED"/>
    <w:rsid w:val="442E0056"/>
    <w:rsid w:val="444F0C30"/>
    <w:rsid w:val="445EC082"/>
    <w:rsid w:val="446F5E45"/>
    <w:rsid w:val="4471FBEA"/>
    <w:rsid w:val="44722F81"/>
    <w:rsid w:val="44787640"/>
    <w:rsid w:val="4489A97A"/>
    <w:rsid w:val="448B03F2"/>
    <w:rsid w:val="44AA8B51"/>
    <w:rsid w:val="44ADC08E"/>
    <w:rsid w:val="44AED443"/>
    <w:rsid w:val="44B2C5BA"/>
    <w:rsid w:val="44B4CDA7"/>
    <w:rsid w:val="44B9E0AE"/>
    <w:rsid w:val="44CE34D1"/>
    <w:rsid w:val="44D31059"/>
    <w:rsid w:val="44D833FE"/>
    <w:rsid w:val="44EE2E9E"/>
    <w:rsid w:val="44EEC59D"/>
    <w:rsid w:val="44FBC9CB"/>
    <w:rsid w:val="450150D8"/>
    <w:rsid w:val="4503BA5B"/>
    <w:rsid w:val="4506B542"/>
    <w:rsid w:val="45357F83"/>
    <w:rsid w:val="454CD579"/>
    <w:rsid w:val="455309BE"/>
    <w:rsid w:val="45537381"/>
    <w:rsid w:val="455FBD68"/>
    <w:rsid w:val="45676CA2"/>
    <w:rsid w:val="458101CA"/>
    <w:rsid w:val="458992F5"/>
    <w:rsid w:val="458DA4F1"/>
    <w:rsid w:val="45997584"/>
    <w:rsid w:val="4599E3CC"/>
    <w:rsid w:val="459E9834"/>
    <w:rsid w:val="45B70A58"/>
    <w:rsid w:val="45B919B2"/>
    <w:rsid w:val="45BD2059"/>
    <w:rsid w:val="45BF474B"/>
    <w:rsid w:val="45CB1260"/>
    <w:rsid w:val="45DC1CEE"/>
    <w:rsid w:val="45DE3B1F"/>
    <w:rsid w:val="45DFC007"/>
    <w:rsid w:val="45E2DE14"/>
    <w:rsid w:val="45E5F374"/>
    <w:rsid w:val="45EE2A0F"/>
    <w:rsid w:val="45FD1F1A"/>
    <w:rsid w:val="460820E5"/>
    <w:rsid w:val="460FE938"/>
    <w:rsid w:val="4618AEF4"/>
    <w:rsid w:val="461D7C43"/>
    <w:rsid w:val="461FEC4F"/>
    <w:rsid w:val="46334D20"/>
    <w:rsid w:val="4633910B"/>
    <w:rsid w:val="46390890"/>
    <w:rsid w:val="4641D929"/>
    <w:rsid w:val="46438252"/>
    <w:rsid w:val="464D0284"/>
    <w:rsid w:val="464E3000"/>
    <w:rsid w:val="46564765"/>
    <w:rsid w:val="465D6884"/>
    <w:rsid w:val="46622D16"/>
    <w:rsid w:val="466E461C"/>
    <w:rsid w:val="4670CDA0"/>
    <w:rsid w:val="46826B59"/>
    <w:rsid w:val="46843494"/>
    <w:rsid w:val="468C8609"/>
    <w:rsid w:val="4690CA1F"/>
    <w:rsid w:val="4698D6DF"/>
    <w:rsid w:val="46AE43C0"/>
    <w:rsid w:val="46B5F38B"/>
    <w:rsid w:val="46B72629"/>
    <w:rsid w:val="46C8C080"/>
    <w:rsid w:val="46CB6AB9"/>
    <w:rsid w:val="46CC96BC"/>
    <w:rsid w:val="46D2295D"/>
    <w:rsid w:val="46D557B3"/>
    <w:rsid w:val="46D85F43"/>
    <w:rsid w:val="46DE2855"/>
    <w:rsid w:val="471449EB"/>
    <w:rsid w:val="471753CA"/>
    <w:rsid w:val="47178589"/>
    <w:rsid w:val="471ECF11"/>
    <w:rsid w:val="472BDF93"/>
    <w:rsid w:val="473AA1A3"/>
    <w:rsid w:val="47639534"/>
    <w:rsid w:val="47685E86"/>
    <w:rsid w:val="476DCAE2"/>
    <w:rsid w:val="47748A38"/>
    <w:rsid w:val="4775F8D5"/>
    <w:rsid w:val="478164EC"/>
    <w:rsid w:val="479380FC"/>
    <w:rsid w:val="479A9B51"/>
    <w:rsid w:val="47AA2D9D"/>
    <w:rsid w:val="47C9C6A9"/>
    <w:rsid w:val="47E2C7D1"/>
    <w:rsid w:val="47F2D610"/>
    <w:rsid w:val="47F67CCF"/>
    <w:rsid w:val="480322C8"/>
    <w:rsid w:val="48049357"/>
    <w:rsid w:val="4812CC5A"/>
    <w:rsid w:val="4812F0DF"/>
    <w:rsid w:val="4813403D"/>
    <w:rsid w:val="48137BF7"/>
    <w:rsid w:val="48154647"/>
    <w:rsid w:val="48199D0F"/>
    <w:rsid w:val="4820FC92"/>
    <w:rsid w:val="4826BC12"/>
    <w:rsid w:val="48276DEB"/>
    <w:rsid w:val="48323B9D"/>
    <w:rsid w:val="4839FCBE"/>
    <w:rsid w:val="4849A16C"/>
    <w:rsid w:val="484A330B"/>
    <w:rsid w:val="484B8F2E"/>
    <w:rsid w:val="48542566"/>
    <w:rsid w:val="4872B9AC"/>
    <w:rsid w:val="487FBC9D"/>
    <w:rsid w:val="4884284A"/>
    <w:rsid w:val="48884E29"/>
    <w:rsid w:val="48907BAC"/>
    <w:rsid w:val="48960B52"/>
    <w:rsid w:val="48ACC0D9"/>
    <w:rsid w:val="48E3CA28"/>
    <w:rsid w:val="48E4E6AC"/>
    <w:rsid w:val="48EB75CC"/>
    <w:rsid w:val="48EEDAD0"/>
    <w:rsid w:val="49029F38"/>
    <w:rsid w:val="4906068A"/>
    <w:rsid w:val="491BC846"/>
    <w:rsid w:val="492314CB"/>
    <w:rsid w:val="4929251F"/>
    <w:rsid w:val="4932AEFF"/>
    <w:rsid w:val="493EB038"/>
    <w:rsid w:val="4947F69D"/>
    <w:rsid w:val="494F309E"/>
    <w:rsid w:val="4958D3B9"/>
    <w:rsid w:val="495999E5"/>
    <w:rsid w:val="496741A1"/>
    <w:rsid w:val="4975F16E"/>
    <w:rsid w:val="497BD239"/>
    <w:rsid w:val="4983DB36"/>
    <w:rsid w:val="4985801E"/>
    <w:rsid w:val="498A0A8C"/>
    <w:rsid w:val="498E12E6"/>
    <w:rsid w:val="4990521C"/>
    <w:rsid w:val="49A6BEE5"/>
    <w:rsid w:val="49B62467"/>
    <w:rsid w:val="49BBC0C1"/>
    <w:rsid w:val="49C431CD"/>
    <w:rsid w:val="49CEA376"/>
    <w:rsid w:val="49D18CBB"/>
    <w:rsid w:val="49D518A7"/>
    <w:rsid w:val="49DDEA8E"/>
    <w:rsid w:val="49EB387D"/>
    <w:rsid w:val="49ED44B4"/>
    <w:rsid w:val="49F16220"/>
    <w:rsid w:val="49FAEFEC"/>
    <w:rsid w:val="49FE41B6"/>
    <w:rsid w:val="4A148AB5"/>
    <w:rsid w:val="4A359923"/>
    <w:rsid w:val="4A3D781E"/>
    <w:rsid w:val="4A428B68"/>
    <w:rsid w:val="4A452EF3"/>
    <w:rsid w:val="4A4ACFBC"/>
    <w:rsid w:val="4A5A9466"/>
    <w:rsid w:val="4A611E8F"/>
    <w:rsid w:val="4A64EFF4"/>
    <w:rsid w:val="4A679BFB"/>
    <w:rsid w:val="4A691E88"/>
    <w:rsid w:val="4A70F3A1"/>
    <w:rsid w:val="4A740C4C"/>
    <w:rsid w:val="4A89057B"/>
    <w:rsid w:val="4A8BCD8F"/>
    <w:rsid w:val="4A91FDFC"/>
    <w:rsid w:val="4A9AE17D"/>
    <w:rsid w:val="4A9E7291"/>
    <w:rsid w:val="4AAA1F37"/>
    <w:rsid w:val="4AAB5A18"/>
    <w:rsid w:val="4AB297EB"/>
    <w:rsid w:val="4ADC851E"/>
    <w:rsid w:val="4ADF4FBB"/>
    <w:rsid w:val="4AF6ABFA"/>
    <w:rsid w:val="4AF7F9A0"/>
    <w:rsid w:val="4AFB13FA"/>
    <w:rsid w:val="4B0631C5"/>
    <w:rsid w:val="4B080C7A"/>
    <w:rsid w:val="4B13B791"/>
    <w:rsid w:val="4B193EFD"/>
    <w:rsid w:val="4B1C5735"/>
    <w:rsid w:val="4B32C807"/>
    <w:rsid w:val="4B4294AB"/>
    <w:rsid w:val="4B443E5A"/>
    <w:rsid w:val="4B476EFD"/>
    <w:rsid w:val="4B5F38E0"/>
    <w:rsid w:val="4B847132"/>
    <w:rsid w:val="4B86B154"/>
    <w:rsid w:val="4B8D2F01"/>
    <w:rsid w:val="4B98F557"/>
    <w:rsid w:val="4BA41760"/>
    <w:rsid w:val="4BA4A8EB"/>
    <w:rsid w:val="4BAC67C5"/>
    <w:rsid w:val="4BAF75F7"/>
    <w:rsid w:val="4BB34A2F"/>
    <w:rsid w:val="4BB4DCA1"/>
    <w:rsid w:val="4BEE10FE"/>
    <w:rsid w:val="4BF4D067"/>
    <w:rsid w:val="4BFD352F"/>
    <w:rsid w:val="4C059A7D"/>
    <w:rsid w:val="4C12621A"/>
    <w:rsid w:val="4C1A4F58"/>
    <w:rsid w:val="4C1F88DB"/>
    <w:rsid w:val="4C3B8622"/>
    <w:rsid w:val="4C42F989"/>
    <w:rsid w:val="4C4BD79B"/>
    <w:rsid w:val="4C4CE54C"/>
    <w:rsid w:val="4C5558B8"/>
    <w:rsid w:val="4C59C406"/>
    <w:rsid w:val="4C5B4753"/>
    <w:rsid w:val="4C6288EA"/>
    <w:rsid w:val="4C8EE197"/>
    <w:rsid w:val="4C914A15"/>
    <w:rsid w:val="4CB50F86"/>
    <w:rsid w:val="4CB841C3"/>
    <w:rsid w:val="4CBCC6D4"/>
    <w:rsid w:val="4CBE5842"/>
    <w:rsid w:val="4CDCEBE4"/>
    <w:rsid w:val="4CDE550F"/>
    <w:rsid w:val="4CEC8A74"/>
    <w:rsid w:val="4CFC0D40"/>
    <w:rsid w:val="4D198D78"/>
    <w:rsid w:val="4D19C23E"/>
    <w:rsid w:val="4D1B7FA0"/>
    <w:rsid w:val="4D21937F"/>
    <w:rsid w:val="4D23C08E"/>
    <w:rsid w:val="4D26474D"/>
    <w:rsid w:val="4D28ECE9"/>
    <w:rsid w:val="4D2D591C"/>
    <w:rsid w:val="4D318460"/>
    <w:rsid w:val="4D32807F"/>
    <w:rsid w:val="4D3676F0"/>
    <w:rsid w:val="4D404831"/>
    <w:rsid w:val="4D48B44E"/>
    <w:rsid w:val="4D490CEE"/>
    <w:rsid w:val="4D4DE573"/>
    <w:rsid w:val="4D524F53"/>
    <w:rsid w:val="4D53DBD0"/>
    <w:rsid w:val="4D5B4573"/>
    <w:rsid w:val="4D62DB9D"/>
    <w:rsid w:val="4D694035"/>
    <w:rsid w:val="4D6AB7E6"/>
    <w:rsid w:val="4D762550"/>
    <w:rsid w:val="4D7D21EA"/>
    <w:rsid w:val="4D83FA38"/>
    <w:rsid w:val="4D8AA44D"/>
    <w:rsid w:val="4D95CC54"/>
    <w:rsid w:val="4D9BC0A1"/>
    <w:rsid w:val="4D9FAD1C"/>
    <w:rsid w:val="4DB9E444"/>
    <w:rsid w:val="4DC16DF6"/>
    <w:rsid w:val="4DC575C8"/>
    <w:rsid w:val="4DC888CD"/>
    <w:rsid w:val="4DD627C5"/>
    <w:rsid w:val="4DDEEAB3"/>
    <w:rsid w:val="4DEEB233"/>
    <w:rsid w:val="4DF0B56C"/>
    <w:rsid w:val="4DF789DB"/>
    <w:rsid w:val="4DF885F8"/>
    <w:rsid w:val="4E01D2F3"/>
    <w:rsid w:val="4E11CDC7"/>
    <w:rsid w:val="4E1EA7B9"/>
    <w:rsid w:val="4E22B728"/>
    <w:rsid w:val="4E241F5C"/>
    <w:rsid w:val="4E26BFE6"/>
    <w:rsid w:val="4E3B9769"/>
    <w:rsid w:val="4E404FCF"/>
    <w:rsid w:val="4E5C424E"/>
    <w:rsid w:val="4E618012"/>
    <w:rsid w:val="4E677E40"/>
    <w:rsid w:val="4E69C148"/>
    <w:rsid w:val="4E756A00"/>
    <w:rsid w:val="4E7FF39B"/>
    <w:rsid w:val="4E817EA9"/>
    <w:rsid w:val="4E8AAC02"/>
    <w:rsid w:val="4E91E682"/>
    <w:rsid w:val="4E921EDD"/>
    <w:rsid w:val="4E9A0260"/>
    <w:rsid w:val="4EAB3461"/>
    <w:rsid w:val="4EAD7BF6"/>
    <w:rsid w:val="4EB9032D"/>
    <w:rsid w:val="4EBC6239"/>
    <w:rsid w:val="4EC940E3"/>
    <w:rsid w:val="4ED25686"/>
    <w:rsid w:val="4EE17BBB"/>
    <w:rsid w:val="4EF047C6"/>
    <w:rsid w:val="4EF13EC5"/>
    <w:rsid w:val="4EF79DD4"/>
    <w:rsid w:val="4EF7FE5E"/>
    <w:rsid w:val="4EFA9E80"/>
    <w:rsid w:val="4EFD94F1"/>
    <w:rsid w:val="4F007C2F"/>
    <w:rsid w:val="4F122B2B"/>
    <w:rsid w:val="4F126DF7"/>
    <w:rsid w:val="4F214B6E"/>
    <w:rsid w:val="4F2D0665"/>
    <w:rsid w:val="4F34ADFA"/>
    <w:rsid w:val="4F468395"/>
    <w:rsid w:val="4F48355C"/>
    <w:rsid w:val="4F4B9691"/>
    <w:rsid w:val="4F51C691"/>
    <w:rsid w:val="4F52DF72"/>
    <w:rsid w:val="4F53E841"/>
    <w:rsid w:val="4F65A0CE"/>
    <w:rsid w:val="4F6B5395"/>
    <w:rsid w:val="4F72FEFB"/>
    <w:rsid w:val="4F7709A5"/>
    <w:rsid w:val="4F7C0055"/>
    <w:rsid w:val="4F83D9F3"/>
    <w:rsid w:val="4F86A6DF"/>
    <w:rsid w:val="4F94A0FF"/>
    <w:rsid w:val="4FB469AD"/>
    <w:rsid w:val="4FBF715C"/>
    <w:rsid w:val="4FCC8924"/>
    <w:rsid w:val="4FD48A4E"/>
    <w:rsid w:val="4FDAD826"/>
    <w:rsid w:val="4FE5518E"/>
    <w:rsid w:val="4FEAC7D7"/>
    <w:rsid w:val="50022B44"/>
    <w:rsid w:val="50070831"/>
    <w:rsid w:val="500DD305"/>
    <w:rsid w:val="50174239"/>
    <w:rsid w:val="5017B463"/>
    <w:rsid w:val="501D56BB"/>
    <w:rsid w:val="5020289C"/>
    <w:rsid w:val="502C3B03"/>
    <w:rsid w:val="502CD7A6"/>
    <w:rsid w:val="50310FBF"/>
    <w:rsid w:val="50371551"/>
    <w:rsid w:val="5041FBAC"/>
    <w:rsid w:val="50506ACC"/>
    <w:rsid w:val="5052D0C2"/>
    <w:rsid w:val="505D559D"/>
    <w:rsid w:val="506884A8"/>
    <w:rsid w:val="50696FA8"/>
    <w:rsid w:val="50740E70"/>
    <w:rsid w:val="5074F0CD"/>
    <w:rsid w:val="507AE675"/>
    <w:rsid w:val="5080783C"/>
    <w:rsid w:val="5084F4EA"/>
    <w:rsid w:val="508E908D"/>
    <w:rsid w:val="508F9653"/>
    <w:rsid w:val="509016CF"/>
    <w:rsid w:val="50904707"/>
    <w:rsid w:val="50A43DC8"/>
    <w:rsid w:val="50C1F97E"/>
    <w:rsid w:val="50CCE06B"/>
    <w:rsid w:val="50E1260C"/>
    <w:rsid w:val="50E36C4A"/>
    <w:rsid w:val="50E678CD"/>
    <w:rsid w:val="50F50223"/>
    <w:rsid w:val="50FBB1B5"/>
    <w:rsid w:val="50FD2287"/>
    <w:rsid w:val="5112A50D"/>
    <w:rsid w:val="5114FBDD"/>
    <w:rsid w:val="51272C30"/>
    <w:rsid w:val="512BBEBA"/>
    <w:rsid w:val="512E96EA"/>
    <w:rsid w:val="513CC4DE"/>
    <w:rsid w:val="513CEFC2"/>
    <w:rsid w:val="51489267"/>
    <w:rsid w:val="5150305D"/>
    <w:rsid w:val="51694F84"/>
    <w:rsid w:val="517D4D66"/>
    <w:rsid w:val="517D51BE"/>
    <w:rsid w:val="5185DBB8"/>
    <w:rsid w:val="518D439A"/>
    <w:rsid w:val="518D4701"/>
    <w:rsid w:val="518D8A1C"/>
    <w:rsid w:val="51905978"/>
    <w:rsid w:val="51A01202"/>
    <w:rsid w:val="51A37DA5"/>
    <w:rsid w:val="51A722B3"/>
    <w:rsid w:val="51AA0192"/>
    <w:rsid w:val="51ABDDF1"/>
    <w:rsid w:val="51AF7BDF"/>
    <w:rsid w:val="51C2D4B3"/>
    <w:rsid w:val="51C65324"/>
    <w:rsid w:val="51CD1F1E"/>
    <w:rsid w:val="51D32DCF"/>
    <w:rsid w:val="51D79AC5"/>
    <w:rsid w:val="51E6BDE9"/>
    <w:rsid w:val="51F55A18"/>
    <w:rsid w:val="51F68669"/>
    <w:rsid w:val="51F6BD21"/>
    <w:rsid w:val="51F6F8BD"/>
    <w:rsid w:val="52052225"/>
    <w:rsid w:val="520C4E16"/>
    <w:rsid w:val="520E35C9"/>
    <w:rsid w:val="520ED239"/>
    <w:rsid w:val="52186B00"/>
    <w:rsid w:val="521A2456"/>
    <w:rsid w:val="521B5DDE"/>
    <w:rsid w:val="52221B79"/>
    <w:rsid w:val="522793AD"/>
    <w:rsid w:val="523130D3"/>
    <w:rsid w:val="5236B8E8"/>
    <w:rsid w:val="5239F840"/>
    <w:rsid w:val="525F9A57"/>
    <w:rsid w:val="5263EFA5"/>
    <w:rsid w:val="526F9AC7"/>
    <w:rsid w:val="5271526D"/>
    <w:rsid w:val="527804DD"/>
    <w:rsid w:val="527D1275"/>
    <w:rsid w:val="5287A5C5"/>
    <w:rsid w:val="5290348D"/>
    <w:rsid w:val="52909EE1"/>
    <w:rsid w:val="52B03BFB"/>
    <w:rsid w:val="52BA298C"/>
    <w:rsid w:val="52C38BE8"/>
    <w:rsid w:val="52C675D4"/>
    <w:rsid w:val="52D4429D"/>
    <w:rsid w:val="52DBACBA"/>
    <w:rsid w:val="52DD385D"/>
    <w:rsid w:val="52DFFECF"/>
    <w:rsid w:val="52E427A4"/>
    <w:rsid w:val="52EA8FC2"/>
    <w:rsid w:val="53193D57"/>
    <w:rsid w:val="5319816F"/>
    <w:rsid w:val="5319CF04"/>
    <w:rsid w:val="5324624F"/>
    <w:rsid w:val="532B05AC"/>
    <w:rsid w:val="532F4874"/>
    <w:rsid w:val="533A2F26"/>
    <w:rsid w:val="5346CEE4"/>
    <w:rsid w:val="534C8ADD"/>
    <w:rsid w:val="5353AF99"/>
    <w:rsid w:val="53651AF0"/>
    <w:rsid w:val="5387CD2B"/>
    <w:rsid w:val="538A6EBD"/>
    <w:rsid w:val="539CF371"/>
    <w:rsid w:val="539F3CFE"/>
    <w:rsid w:val="53A17DFE"/>
    <w:rsid w:val="53A4D6D9"/>
    <w:rsid w:val="53C41973"/>
    <w:rsid w:val="53C41CBE"/>
    <w:rsid w:val="53E51541"/>
    <w:rsid w:val="53E6AE5B"/>
    <w:rsid w:val="53FDA626"/>
    <w:rsid w:val="540A8789"/>
    <w:rsid w:val="540B08AD"/>
    <w:rsid w:val="54181CAC"/>
    <w:rsid w:val="54240DDC"/>
    <w:rsid w:val="542C1B03"/>
    <w:rsid w:val="542D97C0"/>
    <w:rsid w:val="542E1B3B"/>
    <w:rsid w:val="54412462"/>
    <w:rsid w:val="544AAC29"/>
    <w:rsid w:val="544B6E13"/>
    <w:rsid w:val="5452709F"/>
    <w:rsid w:val="54533B20"/>
    <w:rsid w:val="545891BF"/>
    <w:rsid w:val="545A2732"/>
    <w:rsid w:val="545EE19E"/>
    <w:rsid w:val="546A2379"/>
    <w:rsid w:val="5472AEA5"/>
    <w:rsid w:val="547BDD9B"/>
    <w:rsid w:val="549249FB"/>
    <w:rsid w:val="54933537"/>
    <w:rsid w:val="549B3A4A"/>
    <w:rsid w:val="549B7BC8"/>
    <w:rsid w:val="549F7CCA"/>
    <w:rsid w:val="54A026CC"/>
    <w:rsid w:val="54AA8B90"/>
    <w:rsid w:val="54D93375"/>
    <w:rsid w:val="54E28BB3"/>
    <w:rsid w:val="54E3F7CB"/>
    <w:rsid w:val="54E5924B"/>
    <w:rsid w:val="54E63433"/>
    <w:rsid w:val="54EB2C36"/>
    <w:rsid w:val="55010539"/>
    <w:rsid w:val="550421ED"/>
    <w:rsid w:val="5504A029"/>
    <w:rsid w:val="551C252C"/>
    <w:rsid w:val="55295A22"/>
    <w:rsid w:val="552AB9A4"/>
    <w:rsid w:val="552D02AC"/>
    <w:rsid w:val="5530F6CA"/>
    <w:rsid w:val="5532AD54"/>
    <w:rsid w:val="55469165"/>
    <w:rsid w:val="554A5264"/>
    <w:rsid w:val="55560928"/>
    <w:rsid w:val="55563520"/>
    <w:rsid w:val="5559383F"/>
    <w:rsid w:val="55693D54"/>
    <w:rsid w:val="556F5543"/>
    <w:rsid w:val="55709185"/>
    <w:rsid w:val="5577DCC6"/>
    <w:rsid w:val="5586F314"/>
    <w:rsid w:val="55A437F8"/>
    <w:rsid w:val="55A82C30"/>
    <w:rsid w:val="55AD21A0"/>
    <w:rsid w:val="55AFD6E3"/>
    <w:rsid w:val="55B9E924"/>
    <w:rsid w:val="55BB2307"/>
    <w:rsid w:val="55C5F00E"/>
    <w:rsid w:val="55CB24C7"/>
    <w:rsid w:val="55DAFED8"/>
    <w:rsid w:val="55DFF6F7"/>
    <w:rsid w:val="55F90CD0"/>
    <w:rsid w:val="56106721"/>
    <w:rsid w:val="56339D4E"/>
    <w:rsid w:val="5635C23C"/>
    <w:rsid w:val="564409A4"/>
    <w:rsid w:val="5644214A"/>
    <w:rsid w:val="56620217"/>
    <w:rsid w:val="566A9061"/>
    <w:rsid w:val="56798540"/>
    <w:rsid w:val="5679870C"/>
    <w:rsid w:val="567FC81B"/>
    <w:rsid w:val="569F6B14"/>
    <w:rsid w:val="56A228F0"/>
    <w:rsid w:val="56AB225F"/>
    <w:rsid w:val="56AEDE1B"/>
    <w:rsid w:val="56B2B313"/>
    <w:rsid w:val="56B5E6FF"/>
    <w:rsid w:val="56BC7C0E"/>
    <w:rsid w:val="56CC7296"/>
    <w:rsid w:val="56D64ED4"/>
    <w:rsid w:val="56D6A03E"/>
    <w:rsid w:val="56F8654E"/>
    <w:rsid w:val="57072E94"/>
    <w:rsid w:val="5708E7EA"/>
    <w:rsid w:val="5712B783"/>
    <w:rsid w:val="571FDDC0"/>
    <w:rsid w:val="573076C6"/>
    <w:rsid w:val="5732B095"/>
    <w:rsid w:val="574AF488"/>
    <w:rsid w:val="574D8F62"/>
    <w:rsid w:val="57520C4E"/>
    <w:rsid w:val="57528D7E"/>
    <w:rsid w:val="5759429C"/>
    <w:rsid w:val="5771F2AF"/>
    <w:rsid w:val="57720EB4"/>
    <w:rsid w:val="57755A5B"/>
    <w:rsid w:val="5777100C"/>
    <w:rsid w:val="5790E156"/>
    <w:rsid w:val="5797FFA5"/>
    <w:rsid w:val="579FF059"/>
    <w:rsid w:val="57A933B7"/>
    <w:rsid w:val="57A9E025"/>
    <w:rsid w:val="57BD1DC5"/>
    <w:rsid w:val="57C1512A"/>
    <w:rsid w:val="57C2819A"/>
    <w:rsid w:val="57D50BFE"/>
    <w:rsid w:val="57D9E19B"/>
    <w:rsid w:val="57EFB416"/>
    <w:rsid w:val="5803DC11"/>
    <w:rsid w:val="58078774"/>
    <w:rsid w:val="58279282"/>
    <w:rsid w:val="583BE5EC"/>
    <w:rsid w:val="583DC5D7"/>
    <w:rsid w:val="58482374"/>
    <w:rsid w:val="584C7D50"/>
    <w:rsid w:val="584D171B"/>
    <w:rsid w:val="584F36CC"/>
    <w:rsid w:val="5852C678"/>
    <w:rsid w:val="58569E44"/>
    <w:rsid w:val="585D2093"/>
    <w:rsid w:val="586A0FBD"/>
    <w:rsid w:val="586B05C6"/>
    <w:rsid w:val="586CCD87"/>
    <w:rsid w:val="587700F9"/>
    <w:rsid w:val="5886B4CB"/>
    <w:rsid w:val="588BA440"/>
    <w:rsid w:val="5892FC27"/>
    <w:rsid w:val="5897F1D2"/>
    <w:rsid w:val="58994CBC"/>
    <w:rsid w:val="58A7B09E"/>
    <w:rsid w:val="58B0C5E7"/>
    <w:rsid w:val="58D0C7D1"/>
    <w:rsid w:val="58D9370F"/>
    <w:rsid w:val="58DCB281"/>
    <w:rsid w:val="58DEA983"/>
    <w:rsid w:val="58E4B65F"/>
    <w:rsid w:val="58F1A047"/>
    <w:rsid w:val="59061F88"/>
    <w:rsid w:val="5910DE75"/>
    <w:rsid w:val="591197E8"/>
    <w:rsid w:val="5915932A"/>
    <w:rsid w:val="591F8430"/>
    <w:rsid w:val="592C37A1"/>
    <w:rsid w:val="592FB806"/>
    <w:rsid w:val="593A5788"/>
    <w:rsid w:val="594DF75C"/>
    <w:rsid w:val="5951CE60"/>
    <w:rsid w:val="595F4D7B"/>
    <w:rsid w:val="59622B0F"/>
    <w:rsid w:val="59932901"/>
    <w:rsid w:val="59B389CB"/>
    <w:rsid w:val="59C3039D"/>
    <w:rsid w:val="59D133DA"/>
    <w:rsid w:val="59D51DF0"/>
    <w:rsid w:val="59D80284"/>
    <w:rsid w:val="59D9AC49"/>
    <w:rsid w:val="59E18EFF"/>
    <w:rsid w:val="59E4E49D"/>
    <w:rsid w:val="59EF0E36"/>
    <w:rsid w:val="59EF53FA"/>
    <w:rsid w:val="5A0DD5C0"/>
    <w:rsid w:val="5A2839B1"/>
    <w:rsid w:val="5A2AF4A6"/>
    <w:rsid w:val="5A2E1D66"/>
    <w:rsid w:val="5A35257C"/>
    <w:rsid w:val="5A3BD84F"/>
    <w:rsid w:val="5A432E8D"/>
    <w:rsid w:val="5A4559D2"/>
    <w:rsid w:val="5A4B9EDF"/>
    <w:rsid w:val="5A4E4265"/>
    <w:rsid w:val="5A5AC9CE"/>
    <w:rsid w:val="5A6740EF"/>
    <w:rsid w:val="5A6CBA6B"/>
    <w:rsid w:val="5A82F1EA"/>
    <w:rsid w:val="5A87ABE6"/>
    <w:rsid w:val="5A882BF7"/>
    <w:rsid w:val="5A95A426"/>
    <w:rsid w:val="5A9B94FF"/>
    <w:rsid w:val="5AA2B8FE"/>
    <w:rsid w:val="5AA4BFF0"/>
    <w:rsid w:val="5AA7F904"/>
    <w:rsid w:val="5AAC2B98"/>
    <w:rsid w:val="5AB0FAFF"/>
    <w:rsid w:val="5ACC4C70"/>
    <w:rsid w:val="5AD94CDF"/>
    <w:rsid w:val="5ADE3004"/>
    <w:rsid w:val="5AE9F9E9"/>
    <w:rsid w:val="5AFC13AA"/>
    <w:rsid w:val="5AFD5958"/>
    <w:rsid w:val="5AFDA547"/>
    <w:rsid w:val="5AFDC65E"/>
    <w:rsid w:val="5AFF1FB0"/>
    <w:rsid w:val="5B0366E7"/>
    <w:rsid w:val="5B04065A"/>
    <w:rsid w:val="5B1040C8"/>
    <w:rsid w:val="5B142150"/>
    <w:rsid w:val="5B1562E2"/>
    <w:rsid w:val="5B179937"/>
    <w:rsid w:val="5B18F97F"/>
    <w:rsid w:val="5B215C6E"/>
    <w:rsid w:val="5B2D5B33"/>
    <w:rsid w:val="5B2FBC0E"/>
    <w:rsid w:val="5B337B37"/>
    <w:rsid w:val="5B379D41"/>
    <w:rsid w:val="5B3DD35D"/>
    <w:rsid w:val="5B4F64C4"/>
    <w:rsid w:val="5B5DD27C"/>
    <w:rsid w:val="5B62CAAA"/>
    <w:rsid w:val="5B737C7F"/>
    <w:rsid w:val="5B888527"/>
    <w:rsid w:val="5B93FA76"/>
    <w:rsid w:val="5B9914AC"/>
    <w:rsid w:val="5B9D9736"/>
    <w:rsid w:val="5BA15938"/>
    <w:rsid w:val="5BA2578A"/>
    <w:rsid w:val="5BA31C4B"/>
    <w:rsid w:val="5BAF1F64"/>
    <w:rsid w:val="5BB0A2A8"/>
    <w:rsid w:val="5BB24F39"/>
    <w:rsid w:val="5BBB7590"/>
    <w:rsid w:val="5BC0AC8D"/>
    <w:rsid w:val="5BC168BB"/>
    <w:rsid w:val="5BC91115"/>
    <w:rsid w:val="5BCF8510"/>
    <w:rsid w:val="5BF5B736"/>
    <w:rsid w:val="5BFDED52"/>
    <w:rsid w:val="5C022441"/>
    <w:rsid w:val="5C029531"/>
    <w:rsid w:val="5C0BA917"/>
    <w:rsid w:val="5C124034"/>
    <w:rsid w:val="5C1DA879"/>
    <w:rsid w:val="5C2B5700"/>
    <w:rsid w:val="5C303D6C"/>
    <w:rsid w:val="5C30C01F"/>
    <w:rsid w:val="5C32A0FE"/>
    <w:rsid w:val="5C473DF2"/>
    <w:rsid w:val="5C5C1F45"/>
    <w:rsid w:val="5C89DFF6"/>
    <w:rsid w:val="5C977DE5"/>
    <w:rsid w:val="5C9EDAE7"/>
    <w:rsid w:val="5C9FFED7"/>
    <w:rsid w:val="5CAC5ABC"/>
    <w:rsid w:val="5CADE8B7"/>
    <w:rsid w:val="5CAF8C82"/>
    <w:rsid w:val="5CAFA617"/>
    <w:rsid w:val="5CB77DEF"/>
    <w:rsid w:val="5CCEDBFD"/>
    <w:rsid w:val="5CD224B7"/>
    <w:rsid w:val="5CE17295"/>
    <w:rsid w:val="5CE5A9CC"/>
    <w:rsid w:val="5CE705DB"/>
    <w:rsid w:val="5CEE9C54"/>
    <w:rsid w:val="5CFFEE67"/>
    <w:rsid w:val="5CFFF45F"/>
    <w:rsid w:val="5D024E02"/>
    <w:rsid w:val="5D093F85"/>
    <w:rsid w:val="5D09C68A"/>
    <w:rsid w:val="5D2508AB"/>
    <w:rsid w:val="5D2CCF80"/>
    <w:rsid w:val="5D3500FA"/>
    <w:rsid w:val="5D362841"/>
    <w:rsid w:val="5D3B0722"/>
    <w:rsid w:val="5D45EBBD"/>
    <w:rsid w:val="5D4BBB30"/>
    <w:rsid w:val="5D585A46"/>
    <w:rsid w:val="5D586E14"/>
    <w:rsid w:val="5D5B1CAA"/>
    <w:rsid w:val="5D5E91E4"/>
    <w:rsid w:val="5D5EF2C1"/>
    <w:rsid w:val="5D5FED39"/>
    <w:rsid w:val="5D6CC63E"/>
    <w:rsid w:val="5D7FE71E"/>
    <w:rsid w:val="5D80AEC0"/>
    <w:rsid w:val="5D8F5ACB"/>
    <w:rsid w:val="5D8F7078"/>
    <w:rsid w:val="5D906ADC"/>
    <w:rsid w:val="5D9D481D"/>
    <w:rsid w:val="5DA764AA"/>
    <w:rsid w:val="5DAA4A52"/>
    <w:rsid w:val="5DC46ECE"/>
    <w:rsid w:val="5DDD9302"/>
    <w:rsid w:val="5DDF2E53"/>
    <w:rsid w:val="5DED1009"/>
    <w:rsid w:val="5DEDB13B"/>
    <w:rsid w:val="5E045DAF"/>
    <w:rsid w:val="5E06CB96"/>
    <w:rsid w:val="5E1292CB"/>
    <w:rsid w:val="5E1C99F4"/>
    <w:rsid w:val="5E1D594D"/>
    <w:rsid w:val="5E32AA78"/>
    <w:rsid w:val="5E3C25B6"/>
    <w:rsid w:val="5E3D1D2E"/>
    <w:rsid w:val="5E48F46B"/>
    <w:rsid w:val="5E4F93BE"/>
    <w:rsid w:val="5E583AD6"/>
    <w:rsid w:val="5E60248A"/>
    <w:rsid w:val="5E6159EA"/>
    <w:rsid w:val="5E68814F"/>
    <w:rsid w:val="5E694005"/>
    <w:rsid w:val="5E6B1EAE"/>
    <w:rsid w:val="5E88D4F6"/>
    <w:rsid w:val="5E8E13CA"/>
    <w:rsid w:val="5E9A0056"/>
    <w:rsid w:val="5E9A8812"/>
    <w:rsid w:val="5E9EC871"/>
    <w:rsid w:val="5EB99EDF"/>
    <w:rsid w:val="5EBF6867"/>
    <w:rsid w:val="5ECC93ED"/>
    <w:rsid w:val="5ECCFE55"/>
    <w:rsid w:val="5ED02CD4"/>
    <w:rsid w:val="5ED3AC92"/>
    <w:rsid w:val="5EE5017E"/>
    <w:rsid w:val="5EE631DD"/>
    <w:rsid w:val="5EE87D10"/>
    <w:rsid w:val="5EE9006A"/>
    <w:rsid w:val="5EEAF8D1"/>
    <w:rsid w:val="5EF05D98"/>
    <w:rsid w:val="5EF52C9C"/>
    <w:rsid w:val="5EF9D4AC"/>
    <w:rsid w:val="5F0A9F7D"/>
    <w:rsid w:val="5F0C5083"/>
    <w:rsid w:val="5F10A300"/>
    <w:rsid w:val="5F11B62E"/>
    <w:rsid w:val="5F154079"/>
    <w:rsid w:val="5F2ED686"/>
    <w:rsid w:val="5F36F030"/>
    <w:rsid w:val="5F46E9F2"/>
    <w:rsid w:val="5F4B0990"/>
    <w:rsid w:val="5F63291B"/>
    <w:rsid w:val="5F7A1BD1"/>
    <w:rsid w:val="5F7F4ADB"/>
    <w:rsid w:val="5F826AA8"/>
    <w:rsid w:val="5F993AE5"/>
    <w:rsid w:val="5FA34FDE"/>
    <w:rsid w:val="5FAB24D3"/>
    <w:rsid w:val="5FAB8E74"/>
    <w:rsid w:val="5FB94562"/>
    <w:rsid w:val="5FCC294F"/>
    <w:rsid w:val="5FD030F1"/>
    <w:rsid w:val="5FD6DB9E"/>
    <w:rsid w:val="5FDCFF7F"/>
    <w:rsid w:val="5FE1230B"/>
    <w:rsid w:val="5FE574F4"/>
    <w:rsid w:val="5FE70C67"/>
    <w:rsid w:val="5FE9238A"/>
    <w:rsid w:val="5FF48FD5"/>
    <w:rsid w:val="5FFB200A"/>
    <w:rsid w:val="6000ED19"/>
    <w:rsid w:val="600B8765"/>
    <w:rsid w:val="600D3A43"/>
    <w:rsid w:val="601751F4"/>
    <w:rsid w:val="6019930B"/>
    <w:rsid w:val="602D9AA1"/>
    <w:rsid w:val="604D6AA7"/>
    <w:rsid w:val="60565079"/>
    <w:rsid w:val="6056A95E"/>
    <w:rsid w:val="606FA9B2"/>
    <w:rsid w:val="6089F2E6"/>
    <w:rsid w:val="60919BE7"/>
    <w:rsid w:val="6092C365"/>
    <w:rsid w:val="60936A2E"/>
    <w:rsid w:val="6093F672"/>
    <w:rsid w:val="609B5575"/>
    <w:rsid w:val="60A3152B"/>
    <w:rsid w:val="60AB00C7"/>
    <w:rsid w:val="60AE77F8"/>
    <w:rsid w:val="60B0F582"/>
    <w:rsid w:val="60B17A6D"/>
    <w:rsid w:val="60C03236"/>
    <w:rsid w:val="60C69F45"/>
    <w:rsid w:val="60CF9346"/>
    <w:rsid w:val="60D09329"/>
    <w:rsid w:val="60ECB932"/>
    <w:rsid w:val="6108402B"/>
    <w:rsid w:val="610BDF30"/>
    <w:rsid w:val="61251CBE"/>
    <w:rsid w:val="614B1E40"/>
    <w:rsid w:val="614C7171"/>
    <w:rsid w:val="6152459F"/>
    <w:rsid w:val="615DD233"/>
    <w:rsid w:val="615F00C6"/>
    <w:rsid w:val="6170AE85"/>
    <w:rsid w:val="6173BBC3"/>
    <w:rsid w:val="617A22FD"/>
    <w:rsid w:val="617C8A55"/>
    <w:rsid w:val="617E9D7B"/>
    <w:rsid w:val="618EEC0B"/>
    <w:rsid w:val="61925B1C"/>
    <w:rsid w:val="619A40AF"/>
    <w:rsid w:val="619DCB0F"/>
    <w:rsid w:val="61A4B309"/>
    <w:rsid w:val="61AF6339"/>
    <w:rsid w:val="61B1B528"/>
    <w:rsid w:val="61B21D1D"/>
    <w:rsid w:val="61D4C53C"/>
    <w:rsid w:val="61D807D1"/>
    <w:rsid w:val="61E2BC4F"/>
    <w:rsid w:val="61E8DC2F"/>
    <w:rsid w:val="61E930BA"/>
    <w:rsid w:val="61EC2B57"/>
    <w:rsid w:val="61ECCB33"/>
    <w:rsid w:val="61ED9D03"/>
    <w:rsid w:val="61F17986"/>
    <w:rsid w:val="6200BCE7"/>
    <w:rsid w:val="6211F6A2"/>
    <w:rsid w:val="623771F3"/>
    <w:rsid w:val="623C9561"/>
    <w:rsid w:val="623EC274"/>
    <w:rsid w:val="624AC362"/>
    <w:rsid w:val="625E65EE"/>
    <w:rsid w:val="62664F0F"/>
    <w:rsid w:val="626AC5E5"/>
    <w:rsid w:val="626D599C"/>
    <w:rsid w:val="6274B8FD"/>
    <w:rsid w:val="627ECC43"/>
    <w:rsid w:val="627FCEFA"/>
    <w:rsid w:val="62818786"/>
    <w:rsid w:val="6294BF26"/>
    <w:rsid w:val="62955893"/>
    <w:rsid w:val="62A795A8"/>
    <w:rsid w:val="62C6BE18"/>
    <w:rsid w:val="62CA715C"/>
    <w:rsid w:val="62DC4C8E"/>
    <w:rsid w:val="62DCBB98"/>
    <w:rsid w:val="62E94B01"/>
    <w:rsid w:val="62EC3B94"/>
    <w:rsid w:val="62ED100B"/>
    <w:rsid w:val="62F2DEB1"/>
    <w:rsid w:val="62F6C8B2"/>
    <w:rsid w:val="62FF991B"/>
    <w:rsid w:val="63044F6A"/>
    <w:rsid w:val="631082DB"/>
    <w:rsid w:val="6318CF60"/>
    <w:rsid w:val="633F931F"/>
    <w:rsid w:val="63429F4E"/>
    <w:rsid w:val="63507BB5"/>
    <w:rsid w:val="636C05DD"/>
    <w:rsid w:val="636EA6D8"/>
    <w:rsid w:val="63801E5A"/>
    <w:rsid w:val="6390B042"/>
    <w:rsid w:val="63955A7E"/>
    <w:rsid w:val="639743D7"/>
    <w:rsid w:val="63AB84D8"/>
    <w:rsid w:val="63B7DB84"/>
    <w:rsid w:val="63B9F6BB"/>
    <w:rsid w:val="63BDE832"/>
    <w:rsid w:val="63C92443"/>
    <w:rsid w:val="63D246B7"/>
    <w:rsid w:val="63DFD100"/>
    <w:rsid w:val="63F196B8"/>
    <w:rsid w:val="63F44FAB"/>
    <w:rsid w:val="63F4F6AB"/>
    <w:rsid w:val="63FC4BE9"/>
    <w:rsid w:val="640AAB62"/>
    <w:rsid w:val="640FCD62"/>
    <w:rsid w:val="641730C6"/>
    <w:rsid w:val="64204D67"/>
    <w:rsid w:val="64249101"/>
    <w:rsid w:val="642F332A"/>
    <w:rsid w:val="643104B1"/>
    <w:rsid w:val="643266BE"/>
    <w:rsid w:val="6433D9AB"/>
    <w:rsid w:val="643A6749"/>
    <w:rsid w:val="643AA85B"/>
    <w:rsid w:val="6440E2C8"/>
    <w:rsid w:val="6443186D"/>
    <w:rsid w:val="644489C1"/>
    <w:rsid w:val="64783A77"/>
    <w:rsid w:val="647EC849"/>
    <w:rsid w:val="6482125A"/>
    <w:rsid w:val="64A9B9FA"/>
    <w:rsid w:val="64AB6C24"/>
    <w:rsid w:val="64B51D49"/>
    <w:rsid w:val="64B9A5B2"/>
    <w:rsid w:val="64CDF598"/>
    <w:rsid w:val="64D223D0"/>
    <w:rsid w:val="64DA3E75"/>
    <w:rsid w:val="64DDAB8D"/>
    <w:rsid w:val="64F5BE42"/>
    <w:rsid w:val="64FA1FD1"/>
    <w:rsid w:val="64FB3C7C"/>
    <w:rsid w:val="64FF30AF"/>
    <w:rsid w:val="65035D71"/>
    <w:rsid w:val="650EB9CB"/>
    <w:rsid w:val="6517665A"/>
    <w:rsid w:val="651D8512"/>
    <w:rsid w:val="652C14F5"/>
    <w:rsid w:val="653001CC"/>
    <w:rsid w:val="653D5905"/>
    <w:rsid w:val="6544C99B"/>
    <w:rsid w:val="6547244A"/>
    <w:rsid w:val="654A3711"/>
    <w:rsid w:val="655AD360"/>
    <w:rsid w:val="655D1042"/>
    <w:rsid w:val="655F1568"/>
    <w:rsid w:val="6560C5BD"/>
    <w:rsid w:val="65639AF4"/>
    <w:rsid w:val="6568EDCE"/>
    <w:rsid w:val="656B5B36"/>
    <w:rsid w:val="65775156"/>
    <w:rsid w:val="65782F77"/>
    <w:rsid w:val="657BB6EF"/>
    <w:rsid w:val="65846631"/>
    <w:rsid w:val="65983D1C"/>
    <w:rsid w:val="659C78E0"/>
    <w:rsid w:val="65ACECC8"/>
    <w:rsid w:val="65AFF4F1"/>
    <w:rsid w:val="65B6A454"/>
    <w:rsid w:val="65C6D7A0"/>
    <w:rsid w:val="65C96945"/>
    <w:rsid w:val="65CAD7CC"/>
    <w:rsid w:val="65CF26E7"/>
    <w:rsid w:val="65D0A63F"/>
    <w:rsid w:val="65D67A0B"/>
    <w:rsid w:val="65DB0B21"/>
    <w:rsid w:val="65E30F91"/>
    <w:rsid w:val="65E45994"/>
    <w:rsid w:val="65EEDE57"/>
    <w:rsid w:val="65F11837"/>
    <w:rsid w:val="660A5597"/>
    <w:rsid w:val="660AEF11"/>
    <w:rsid w:val="6614CF2B"/>
    <w:rsid w:val="6616ED32"/>
    <w:rsid w:val="662A93FD"/>
    <w:rsid w:val="6640AE6C"/>
    <w:rsid w:val="6655D750"/>
    <w:rsid w:val="665C4A51"/>
    <w:rsid w:val="6661B48C"/>
    <w:rsid w:val="666C56C4"/>
    <w:rsid w:val="66724B94"/>
    <w:rsid w:val="667A11AA"/>
    <w:rsid w:val="667ACF97"/>
    <w:rsid w:val="6680DE2A"/>
    <w:rsid w:val="6684EA3E"/>
    <w:rsid w:val="6687FC13"/>
    <w:rsid w:val="668F552B"/>
    <w:rsid w:val="669D278A"/>
    <w:rsid w:val="66B297D8"/>
    <w:rsid w:val="66BAF707"/>
    <w:rsid w:val="66BCDF46"/>
    <w:rsid w:val="66CCE961"/>
    <w:rsid w:val="66D4AF76"/>
    <w:rsid w:val="66F757FB"/>
    <w:rsid w:val="66F99B1B"/>
    <w:rsid w:val="66FCD36F"/>
    <w:rsid w:val="66FF25BC"/>
    <w:rsid w:val="6703E477"/>
    <w:rsid w:val="6712BD7E"/>
    <w:rsid w:val="671771C2"/>
    <w:rsid w:val="671B7576"/>
    <w:rsid w:val="6725BB39"/>
    <w:rsid w:val="67355F7C"/>
    <w:rsid w:val="674A2288"/>
    <w:rsid w:val="674D86A2"/>
    <w:rsid w:val="67506D06"/>
    <w:rsid w:val="6752DB7D"/>
    <w:rsid w:val="6757A354"/>
    <w:rsid w:val="67586F82"/>
    <w:rsid w:val="675ADE4E"/>
    <w:rsid w:val="677C5C61"/>
    <w:rsid w:val="677DAA3B"/>
    <w:rsid w:val="6790709A"/>
    <w:rsid w:val="67938829"/>
    <w:rsid w:val="67947854"/>
    <w:rsid w:val="679A79CC"/>
    <w:rsid w:val="67C1DD10"/>
    <w:rsid w:val="67C6D478"/>
    <w:rsid w:val="67C73EB4"/>
    <w:rsid w:val="67D74B41"/>
    <w:rsid w:val="67DF51F7"/>
    <w:rsid w:val="67E24B89"/>
    <w:rsid w:val="67EFB3F2"/>
    <w:rsid w:val="67F1CA38"/>
    <w:rsid w:val="67F69481"/>
    <w:rsid w:val="67FA3DC2"/>
    <w:rsid w:val="67FFBC07"/>
    <w:rsid w:val="680C65A1"/>
    <w:rsid w:val="684A3757"/>
    <w:rsid w:val="684E306C"/>
    <w:rsid w:val="684F26F0"/>
    <w:rsid w:val="68629504"/>
    <w:rsid w:val="6867C9F8"/>
    <w:rsid w:val="686C6F7B"/>
    <w:rsid w:val="6886A133"/>
    <w:rsid w:val="688768F9"/>
    <w:rsid w:val="6888938C"/>
    <w:rsid w:val="6898005F"/>
    <w:rsid w:val="68ABBEE0"/>
    <w:rsid w:val="68B0809C"/>
    <w:rsid w:val="68B6FED6"/>
    <w:rsid w:val="68BC57EC"/>
    <w:rsid w:val="68C7565F"/>
    <w:rsid w:val="68CB34E3"/>
    <w:rsid w:val="68D6B7CF"/>
    <w:rsid w:val="68E6AB98"/>
    <w:rsid w:val="68E95703"/>
    <w:rsid w:val="68EC2ED3"/>
    <w:rsid w:val="68F059C6"/>
    <w:rsid w:val="68F66170"/>
    <w:rsid w:val="68FAEA0A"/>
    <w:rsid w:val="690087BE"/>
    <w:rsid w:val="69019C67"/>
    <w:rsid w:val="69077EB9"/>
    <w:rsid w:val="690A05AF"/>
    <w:rsid w:val="690BD481"/>
    <w:rsid w:val="690DE8CB"/>
    <w:rsid w:val="69173803"/>
    <w:rsid w:val="691C572D"/>
    <w:rsid w:val="6925F847"/>
    <w:rsid w:val="6927FA3F"/>
    <w:rsid w:val="69334389"/>
    <w:rsid w:val="6934B7E7"/>
    <w:rsid w:val="693716C0"/>
    <w:rsid w:val="69416A56"/>
    <w:rsid w:val="6941F8ED"/>
    <w:rsid w:val="69514B77"/>
    <w:rsid w:val="695C9FEC"/>
    <w:rsid w:val="696DCCD5"/>
    <w:rsid w:val="69708772"/>
    <w:rsid w:val="697E0E14"/>
    <w:rsid w:val="697FD799"/>
    <w:rsid w:val="6989801B"/>
    <w:rsid w:val="69A161BF"/>
    <w:rsid w:val="69A2B262"/>
    <w:rsid w:val="69AAA419"/>
    <w:rsid w:val="69B0D70E"/>
    <w:rsid w:val="69CD9379"/>
    <w:rsid w:val="69CF700C"/>
    <w:rsid w:val="69D3762E"/>
    <w:rsid w:val="69DFE046"/>
    <w:rsid w:val="69E5B15A"/>
    <w:rsid w:val="69E5F0C5"/>
    <w:rsid w:val="69F00AD5"/>
    <w:rsid w:val="6A03F572"/>
    <w:rsid w:val="6A0F4676"/>
    <w:rsid w:val="6A1ECA6F"/>
    <w:rsid w:val="6A32D755"/>
    <w:rsid w:val="6A3419B0"/>
    <w:rsid w:val="6A4A69E5"/>
    <w:rsid w:val="6A4AE0BB"/>
    <w:rsid w:val="6A4D6C24"/>
    <w:rsid w:val="6A64FF07"/>
    <w:rsid w:val="6A6832E6"/>
    <w:rsid w:val="6A739E11"/>
    <w:rsid w:val="6A7410F3"/>
    <w:rsid w:val="6A859BBB"/>
    <w:rsid w:val="6A85C8BA"/>
    <w:rsid w:val="6A9C2E7D"/>
    <w:rsid w:val="6AA06B00"/>
    <w:rsid w:val="6AA3E2BE"/>
    <w:rsid w:val="6AAEAC2B"/>
    <w:rsid w:val="6AAF02D0"/>
    <w:rsid w:val="6AB769DB"/>
    <w:rsid w:val="6AD0FDAC"/>
    <w:rsid w:val="6ADC1A9D"/>
    <w:rsid w:val="6ADDE5DB"/>
    <w:rsid w:val="6AE318F0"/>
    <w:rsid w:val="6AE4CB1F"/>
    <w:rsid w:val="6AEBAC6D"/>
    <w:rsid w:val="6AF223A7"/>
    <w:rsid w:val="6AFE8F29"/>
    <w:rsid w:val="6AFEF8A8"/>
    <w:rsid w:val="6B01D367"/>
    <w:rsid w:val="6B044980"/>
    <w:rsid w:val="6B06C410"/>
    <w:rsid w:val="6B091FFF"/>
    <w:rsid w:val="6B0CC5E4"/>
    <w:rsid w:val="6B1743FC"/>
    <w:rsid w:val="6B182BBC"/>
    <w:rsid w:val="6B23D7ED"/>
    <w:rsid w:val="6B28377D"/>
    <w:rsid w:val="6B2898BA"/>
    <w:rsid w:val="6B3057FF"/>
    <w:rsid w:val="6B3135F9"/>
    <w:rsid w:val="6B3FAE49"/>
    <w:rsid w:val="6B42A4D0"/>
    <w:rsid w:val="6B4B8C4B"/>
    <w:rsid w:val="6B4FBEC5"/>
    <w:rsid w:val="6B75531F"/>
    <w:rsid w:val="6B8088ED"/>
    <w:rsid w:val="6BAF2FAA"/>
    <w:rsid w:val="6BB3158E"/>
    <w:rsid w:val="6BC398E3"/>
    <w:rsid w:val="6BC84FFB"/>
    <w:rsid w:val="6BD6BE41"/>
    <w:rsid w:val="6BEBD314"/>
    <w:rsid w:val="6BFD3D54"/>
    <w:rsid w:val="6C08FF53"/>
    <w:rsid w:val="6C09FF8F"/>
    <w:rsid w:val="6C150A2F"/>
    <w:rsid w:val="6C2AFF42"/>
    <w:rsid w:val="6C32243D"/>
    <w:rsid w:val="6C35FBEC"/>
    <w:rsid w:val="6C49D712"/>
    <w:rsid w:val="6C4A0BF4"/>
    <w:rsid w:val="6C53FB97"/>
    <w:rsid w:val="6C647078"/>
    <w:rsid w:val="6C67A938"/>
    <w:rsid w:val="6C6BCE6E"/>
    <w:rsid w:val="6C73A688"/>
    <w:rsid w:val="6C7B119E"/>
    <w:rsid w:val="6C902EC7"/>
    <w:rsid w:val="6C93F2B1"/>
    <w:rsid w:val="6CA45F87"/>
    <w:rsid w:val="6CE30FFE"/>
    <w:rsid w:val="6CE4AC33"/>
    <w:rsid w:val="6CE826F5"/>
    <w:rsid w:val="6CFAC7CB"/>
    <w:rsid w:val="6CFB1E1B"/>
    <w:rsid w:val="6D01FA24"/>
    <w:rsid w:val="6D07EF25"/>
    <w:rsid w:val="6D0C91FB"/>
    <w:rsid w:val="6D0E5B49"/>
    <w:rsid w:val="6D11017E"/>
    <w:rsid w:val="6D205C78"/>
    <w:rsid w:val="6D35FBF6"/>
    <w:rsid w:val="6D3D4128"/>
    <w:rsid w:val="6D41A18F"/>
    <w:rsid w:val="6D42EE44"/>
    <w:rsid w:val="6D483436"/>
    <w:rsid w:val="6D4C6313"/>
    <w:rsid w:val="6D4D4F47"/>
    <w:rsid w:val="6D5163CC"/>
    <w:rsid w:val="6D597898"/>
    <w:rsid w:val="6D599313"/>
    <w:rsid w:val="6D64E981"/>
    <w:rsid w:val="6D66952D"/>
    <w:rsid w:val="6D66C20A"/>
    <w:rsid w:val="6D690A76"/>
    <w:rsid w:val="6D6FE525"/>
    <w:rsid w:val="6D7042D8"/>
    <w:rsid w:val="6D76A739"/>
    <w:rsid w:val="6D799BBC"/>
    <w:rsid w:val="6D8D974C"/>
    <w:rsid w:val="6DA0D036"/>
    <w:rsid w:val="6DA7DA7C"/>
    <w:rsid w:val="6DA7E05A"/>
    <w:rsid w:val="6DAC896E"/>
    <w:rsid w:val="6DAFB5B4"/>
    <w:rsid w:val="6DB7B8B2"/>
    <w:rsid w:val="6DC00DE6"/>
    <w:rsid w:val="6DC3B6A3"/>
    <w:rsid w:val="6DD19A65"/>
    <w:rsid w:val="6DDB171C"/>
    <w:rsid w:val="6DDCDB07"/>
    <w:rsid w:val="6DEFA5B9"/>
    <w:rsid w:val="6DF6DFCB"/>
    <w:rsid w:val="6E0F8998"/>
    <w:rsid w:val="6E17B0FE"/>
    <w:rsid w:val="6E265AF3"/>
    <w:rsid w:val="6E50C6B0"/>
    <w:rsid w:val="6E5FED16"/>
    <w:rsid w:val="6E6AE107"/>
    <w:rsid w:val="6E7139FB"/>
    <w:rsid w:val="6E72B253"/>
    <w:rsid w:val="6E74F114"/>
    <w:rsid w:val="6E753E1D"/>
    <w:rsid w:val="6E91810C"/>
    <w:rsid w:val="6EA99AAD"/>
    <w:rsid w:val="6EAF407E"/>
    <w:rsid w:val="6EB037A4"/>
    <w:rsid w:val="6EB4F0E7"/>
    <w:rsid w:val="6EB76BF1"/>
    <w:rsid w:val="6EBD5157"/>
    <w:rsid w:val="6EBF2E73"/>
    <w:rsid w:val="6EC2BD94"/>
    <w:rsid w:val="6EC65002"/>
    <w:rsid w:val="6EDB0FB6"/>
    <w:rsid w:val="6EDDC108"/>
    <w:rsid w:val="6EFB8873"/>
    <w:rsid w:val="6EFED74D"/>
    <w:rsid w:val="6F12E054"/>
    <w:rsid w:val="6F15B3F7"/>
    <w:rsid w:val="6F32718C"/>
    <w:rsid w:val="6F346189"/>
    <w:rsid w:val="6F3C22E3"/>
    <w:rsid w:val="6F3F547F"/>
    <w:rsid w:val="6F546469"/>
    <w:rsid w:val="6F67CC53"/>
    <w:rsid w:val="6F7B949A"/>
    <w:rsid w:val="6F7E59C6"/>
    <w:rsid w:val="6F8000E3"/>
    <w:rsid w:val="6F87BA80"/>
    <w:rsid w:val="6F8BE924"/>
    <w:rsid w:val="6F9150EA"/>
    <w:rsid w:val="6F93FB31"/>
    <w:rsid w:val="6FADC52E"/>
    <w:rsid w:val="6FAFEF1B"/>
    <w:rsid w:val="6FB396C4"/>
    <w:rsid w:val="6FC69385"/>
    <w:rsid w:val="6FC8C78B"/>
    <w:rsid w:val="6FC9A4C0"/>
    <w:rsid w:val="6FCE32EE"/>
    <w:rsid w:val="6FD1B633"/>
    <w:rsid w:val="6FE08292"/>
    <w:rsid w:val="6FE0A006"/>
    <w:rsid w:val="6FEB775B"/>
    <w:rsid w:val="6FEC7ADE"/>
    <w:rsid w:val="6FFDA7C6"/>
    <w:rsid w:val="70185FC3"/>
    <w:rsid w:val="70217EEB"/>
    <w:rsid w:val="7028005C"/>
    <w:rsid w:val="70337727"/>
    <w:rsid w:val="70444FC8"/>
    <w:rsid w:val="70446A1C"/>
    <w:rsid w:val="70527E77"/>
    <w:rsid w:val="705BD232"/>
    <w:rsid w:val="70641067"/>
    <w:rsid w:val="706E3916"/>
    <w:rsid w:val="707BB061"/>
    <w:rsid w:val="707C6C8D"/>
    <w:rsid w:val="707E3484"/>
    <w:rsid w:val="707EFAB4"/>
    <w:rsid w:val="7083CCE4"/>
    <w:rsid w:val="708FBA59"/>
    <w:rsid w:val="709D492D"/>
    <w:rsid w:val="709E0969"/>
    <w:rsid w:val="709E53E4"/>
    <w:rsid w:val="709F82A9"/>
    <w:rsid w:val="70B1068B"/>
    <w:rsid w:val="70BC6DD8"/>
    <w:rsid w:val="70BE9171"/>
    <w:rsid w:val="70DE9B85"/>
    <w:rsid w:val="70F1C8BD"/>
    <w:rsid w:val="70F72673"/>
    <w:rsid w:val="70FBD054"/>
    <w:rsid w:val="71099E20"/>
    <w:rsid w:val="710DC689"/>
    <w:rsid w:val="71144FDB"/>
    <w:rsid w:val="7141153D"/>
    <w:rsid w:val="71549022"/>
    <w:rsid w:val="715ECEFA"/>
    <w:rsid w:val="717410E2"/>
    <w:rsid w:val="7179EC84"/>
    <w:rsid w:val="717B45C3"/>
    <w:rsid w:val="717B72AF"/>
    <w:rsid w:val="717EB4F2"/>
    <w:rsid w:val="718A1960"/>
    <w:rsid w:val="718E2264"/>
    <w:rsid w:val="71907F81"/>
    <w:rsid w:val="71968984"/>
    <w:rsid w:val="719691B9"/>
    <w:rsid w:val="71A0777D"/>
    <w:rsid w:val="71A39615"/>
    <w:rsid w:val="71A63219"/>
    <w:rsid w:val="71A8E65E"/>
    <w:rsid w:val="71A9F892"/>
    <w:rsid w:val="71B1D67F"/>
    <w:rsid w:val="71B56459"/>
    <w:rsid w:val="71BE221C"/>
    <w:rsid w:val="71C0A592"/>
    <w:rsid w:val="71C3F9A9"/>
    <w:rsid w:val="71DAAE02"/>
    <w:rsid w:val="71DF6E8C"/>
    <w:rsid w:val="71E862C9"/>
    <w:rsid w:val="71EF2C62"/>
    <w:rsid w:val="7201CA99"/>
    <w:rsid w:val="720299C3"/>
    <w:rsid w:val="720548D1"/>
    <w:rsid w:val="7208862A"/>
    <w:rsid w:val="722925B6"/>
    <w:rsid w:val="723C3C3B"/>
    <w:rsid w:val="723DFD17"/>
    <w:rsid w:val="7240607D"/>
    <w:rsid w:val="726BCF7A"/>
    <w:rsid w:val="727B8D10"/>
    <w:rsid w:val="727D8106"/>
    <w:rsid w:val="727E75E3"/>
    <w:rsid w:val="72806407"/>
    <w:rsid w:val="72827197"/>
    <w:rsid w:val="7285B393"/>
    <w:rsid w:val="72866AAB"/>
    <w:rsid w:val="72871DCE"/>
    <w:rsid w:val="728AB953"/>
    <w:rsid w:val="728ED941"/>
    <w:rsid w:val="729110C3"/>
    <w:rsid w:val="7294A96C"/>
    <w:rsid w:val="72986855"/>
    <w:rsid w:val="72AA1BC3"/>
    <w:rsid w:val="72AFE13E"/>
    <w:rsid w:val="72BAD9E6"/>
    <w:rsid w:val="72ED6B2B"/>
    <w:rsid w:val="72F2D59F"/>
    <w:rsid w:val="72F4A889"/>
    <w:rsid w:val="72FF42C7"/>
    <w:rsid w:val="73060681"/>
    <w:rsid w:val="730ACA6E"/>
    <w:rsid w:val="73163B53"/>
    <w:rsid w:val="733D2571"/>
    <w:rsid w:val="73411B8A"/>
    <w:rsid w:val="734678BD"/>
    <w:rsid w:val="7351F081"/>
    <w:rsid w:val="735F0074"/>
    <w:rsid w:val="735F298D"/>
    <w:rsid w:val="7364A9F5"/>
    <w:rsid w:val="7373DA3B"/>
    <w:rsid w:val="737601B9"/>
    <w:rsid w:val="737C9D2E"/>
    <w:rsid w:val="73829648"/>
    <w:rsid w:val="738FE9EE"/>
    <w:rsid w:val="73A76D6F"/>
    <w:rsid w:val="73ACBFAC"/>
    <w:rsid w:val="73B088B9"/>
    <w:rsid w:val="73B58566"/>
    <w:rsid w:val="73BF4038"/>
    <w:rsid w:val="73C15177"/>
    <w:rsid w:val="73E70F3D"/>
    <w:rsid w:val="73E73F11"/>
    <w:rsid w:val="73FFDA8E"/>
    <w:rsid w:val="740877AB"/>
    <w:rsid w:val="740ED11A"/>
    <w:rsid w:val="7415E5FB"/>
    <w:rsid w:val="7416651D"/>
    <w:rsid w:val="741A59E9"/>
    <w:rsid w:val="74236DC6"/>
    <w:rsid w:val="742F960A"/>
    <w:rsid w:val="74485BDB"/>
    <w:rsid w:val="74573B82"/>
    <w:rsid w:val="7458C8BD"/>
    <w:rsid w:val="746545D4"/>
    <w:rsid w:val="7467D58A"/>
    <w:rsid w:val="7473D2D0"/>
    <w:rsid w:val="74833E99"/>
    <w:rsid w:val="7499159D"/>
    <w:rsid w:val="74A36562"/>
    <w:rsid w:val="74AD022E"/>
    <w:rsid w:val="74B2E685"/>
    <w:rsid w:val="74B7BCC9"/>
    <w:rsid w:val="74B89E97"/>
    <w:rsid w:val="74C426C3"/>
    <w:rsid w:val="74C5988E"/>
    <w:rsid w:val="74D11EAD"/>
    <w:rsid w:val="74DC6A6F"/>
    <w:rsid w:val="74DF5D08"/>
    <w:rsid w:val="74E10F35"/>
    <w:rsid w:val="74E57B34"/>
    <w:rsid w:val="74E63135"/>
    <w:rsid w:val="74E953C3"/>
    <w:rsid w:val="74E9AD25"/>
    <w:rsid w:val="74F5C890"/>
    <w:rsid w:val="75153294"/>
    <w:rsid w:val="7528E31C"/>
    <w:rsid w:val="75294333"/>
    <w:rsid w:val="7529C116"/>
    <w:rsid w:val="7535E254"/>
    <w:rsid w:val="753BC319"/>
    <w:rsid w:val="753C47A6"/>
    <w:rsid w:val="75432D57"/>
    <w:rsid w:val="7543F980"/>
    <w:rsid w:val="75459FC3"/>
    <w:rsid w:val="7550C132"/>
    <w:rsid w:val="75537CC8"/>
    <w:rsid w:val="7566AEB6"/>
    <w:rsid w:val="7570F522"/>
    <w:rsid w:val="75717397"/>
    <w:rsid w:val="757BEC35"/>
    <w:rsid w:val="75817F69"/>
    <w:rsid w:val="75890F52"/>
    <w:rsid w:val="758FDCEF"/>
    <w:rsid w:val="75AD943E"/>
    <w:rsid w:val="75AE6FEC"/>
    <w:rsid w:val="75B113E0"/>
    <w:rsid w:val="75B117B8"/>
    <w:rsid w:val="75B3F2D8"/>
    <w:rsid w:val="75BCA9AC"/>
    <w:rsid w:val="75C093E2"/>
    <w:rsid w:val="75C8C9D0"/>
    <w:rsid w:val="75E1EDB4"/>
    <w:rsid w:val="75E6EA88"/>
    <w:rsid w:val="75F8E990"/>
    <w:rsid w:val="75F98578"/>
    <w:rsid w:val="75FD7BF7"/>
    <w:rsid w:val="76019E80"/>
    <w:rsid w:val="7605AA7C"/>
    <w:rsid w:val="7628C3F0"/>
    <w:rsid w:val="7639D394"/>
    <w:rsid w:val="7640999B"/>
    <w:rsid w:val="7645BC2E"/>
    <w:rsid w:val="764A24BE"/>
    <w:rsid w:val="76578E7D"/>
    <w:rsid w:val="765B6112"/>
    <w:rsid w:val="767C7EB1"/>
    <w:rsid w:val="7691C1B4"/>
    <w:rsid w:val="769ADA31"/>
    <w:rsid w:val="769C04FF"/>
    <w:rsid w:val="769C80C6"/>
    <w:rsid w:val="769D0933"/>
    <w:rsid w:val="76AA8F5C"/>
    <w:rsid w:val="76AF4E28"/>
    <w:rsid w:val="76B41D8A"/>
    <w:rsid w:val="76B9D84A"/>
    <w:rsid w:val="76BF6893"/>
    <w:rsid w:val="76C41775"/>
    <w:rsid w:val="76D9843D"/>
    <w:rsid w:val="76E29E0B"/>
    <w:rsid w:val="76E3947D"/>
    <w:rsid w:val="76E3C8F6"/>
    <w:rsid w:val="76EC5926"/>
    <w:rsid w:val="76ED976B"/>
    <w:rsid w:val="76F79935"/>
    <w:rsid w:val="76F80FB5"/>
    <w:rsid w:val="76FA666C"/>
    <w:rsid w:val="77015CE3"/>
    <w:rsid w:val="770A23BF"/>
    <w:rsid w:val="77148BB0"/>
    <w:rsid w:val="771F2C71"/>
    <w:rsid w:val="77287007"/>
    <w:rsid w:val="772DB2DB"/>
    <w:rsid w:val="772DFB2E"/>
    <w:rsid w:val="77424708"/>
    <w:rsid w:val="77518255"/>
    <w:rsid w:val="77566FC1"/>
    <w:rsid w:val="77598E59"/>
    <w:rsid w:val="7761A419"/>
    <w:rsid w:val="7765793D"/>
    <w:rsid w:val="7769DC13"/>
    <w:rsid w:val="777BEE72"/>
    <w:rsid w:val="777DF224"/>
    <w:rsid w:val="7781303C"/>
    <w:rsid w:val="779350EE"/>
    <w:rsid w:val="779867B9"/>
    <w:rsid w:val="77990B98"/>
    <w:rsid w:val="77A93F84"/>
    <w:rsid w:val="77AA3C2F"/>
    <w:rsid w:val="77ADFF88"/>
    <w:rsid w:val="77AE27F3"/>
    <w:rsid w:val="77AF26A1"/>
    <w:rsid w:val="77AF3D6A"/>
    <w:rsid w:val="77B30086"/>
    <w:rsid w:val="77B3519D"/>
    <w:rsid w:val="77BB29B7"/>
    <w:rsid w:val="77BE4071"/>
    <w:rsid w:val="77C2E69A"/>
    <w:rsid w:val="77C4B919"/>
    <w:rsid w:val="77C6953B"/>
    <w:rsid w:val="77D9D175"/>
    <w:rsid w:val="77EC2FC5"/>
    <w:rsid w:val="77F055D5"/>
    <w:rsid w:val="77F4F275"/>
    <w:rsid w:val="77F50252"/>
    <w:rsid w:val="77F709B8"/>
    <w:rsid w:val="77FF2619"/>
    <w:rsid w:val="7803C4BC"/>
    <w:rsid w:val="78100331"/>
    <w:rsid w:val="781E9898"/>
    <w:rsid w:val="7822F96C"/>
    <w:rsid w:val="782815F2"/>
    <w:rsid w:val="7829D841"/>
    <w:rsid w:val="782C7F4C"/>
    <w:rsid w:val="782CBBD3"/>
    <w:rsid w:val="78342CD2"/>
    <w:rsid w:val="7838F3F7"/>
    <w:rsid w:val="783BCB77"/>
    <w:rsid w:val="7845FFB7"/>
    <w:rsid w:val="7863FBC9"/>
    <w:rsid w:val="786EA19B"/>
    <w:rsid w:val="786F184F"/>
    <w:rsid w:val="7878859E"/>
    <w:rsid w:val="7887286C"/>
    <w:rsid w:val="788A3FEC"/>
    <w:rsid w:val="78924624"/>
    <w:rsid w:val="78A120EC"/>
    <w:rsid w:val="78A9E942"/>
    <w:rsid w:val="78AF2F3E"/>
    <w:rsid w:val="78AF9362"/>
    <w:rsid w:val="78C552B2"/>
    <w:rsid w:val="78CD8B8E"/>
    <w:rsid w:val="78DDB70E"/>
    <w:rsid w:val="78E4A423"/>
    <w:rsid w:val="78E69C52"/>
    <w:rsid w:val="78F9FF46"/>
    <w:rsid w:val="78FBFA71"/>
    <w:rsid w:val="790538CB"/>
    <w:rsid w:val="790BCC60"/>
    <w:rsid w:val="790EF176"/>
    <w:rsid w:val="791695CD"/>
    <w:rsid w:val="79172B47"/>
    <w:rsid w:val="7917A20F"/>
    <w:rsid w:val="7926971C"/>
    <w:rsid w:val="7936AD01"/>
    <w:rsid w:val="79376BE4"/>
    <w:rsid w:val="793F7C4D"/>
    <w:rsid w:val="795813B6"/>
    <w:rsid w:val="795A462B"/>
    <w:rsid w:val="7961B86A"/>
    <w:rsid w:val="7969E25E"/>
    <w:rsid w:val="796B7FA5"/>
    <w:rsid w:val="7972FE95"/>
    <w:rsid w:val="798233BF"/>
    <w:rsid w:val="7989AA31"/>
    <w:rsid w:val="798D47B0"/>
    <w:rsid w:val="799293D6"/>
    <w:rsid w:val="79BF2EEE"/>
    <w:rsid w:val="79C7AEAE"/>
    <w:rsid w:val="79C7D0AE"/>
    <w:rsid w:val="79CA7C22"/>
    <w:rsid w:val="79DB7724"/>
    <w:rsid w:val="79F03140"/>
    <w:rsid w:val="79F4018E"/>
    <w:rsid w:val="79F8D183"/>
    <w:rsid w:val="79FF9355"/>
    <w:rsid w:val="7A031156"/>
    <w:rsid w:val="7A10CAF0"/>
    <w:rsid w:val="7A177BF1"/>
    <w:rsid w:val="7A183E32"/>
    <w:rsid w:val="7A26E9DE"/>
    <w:rsid w:val="7A2B663B"/>
    <w:rsid w:val="7A3555E1"/>
    <w:rsid w:val="7A4F927C"/>
    <w:rsid w:val="7A5743AE"/>
    <w:rsid w:val="7A692396"/>
    <w:rsid w:val="7A696185"/>
    <w:rsid w:val="7A751EC4"/>
    <w:rsid w:val="7A81A27F"/>
    <w:rsid w:val="7A861123"/>
    <w:rsid w:val="7A8BD044"/>
    <w:rsid w:val="7AA29499"/>
    <w:rsid w:val="7AA628FE"/>
    <w:rsid w:val="7AA9311E"/>
    <w:rsid w:val="7AA94D81"/>
    <w:rsid w:val="7ABF0327"/>
    <w:rsid w:val="7AE3A753"/>
    <w:rsid w:val="7AE4C268"/>
    <w:rsid w:val="7AF7A169"/>
    <w:rsid w:val="7AFDC4B5"/>
    <w:rsid w:val="7B192D51"/>
    <w:rsid w:val="7B1FB60B"/>
    <w:rsid w:val="7B217E3B"/>
    <w:rsid w:val="7B242AD3"/>
    <w:rsid w:val="7B4389D8"/>
    <w:rsid w:val="7B45AA58"/>
    <w:rsid w:val="7B514455"/>
    <w:rsid w:val="7B5D0804"/>
    <w:rsid w:val="7B67A462"/>
    <w:rsid w:val="7B6AC0F8"/>
    <w:rsid w:val="7B6C842F"/>
    <w:rsid w:val="7B6D5E29"/>
    <w:rsid w:val="7B78CA09"/>
    <w:rsid w:val="7B7DE999"/>
    <w:rsid w:val="7B843FC9"/>
    <w:rsid w:val="7B9E2301"/>
    <w:rsid w:val="7B9F814E"/>
    <w:rsid w:val="7BA532F3"/>
    <w:rsid w:val="7BA9B8C5"/>
    <w:rsid w:val="7BB00A25"/>
    <w:rsid w:val="7BCA7237"/>
    <w:rsid w:val="7BCD72D0"/>
    <w:rsid w:val="7BD0FCF0"/>
    <w:rsid w:val="7BD6B5C4"/>
    <w:rsid w:val="7BDCC001"/>
    <w:rsid w:val="7BE987ED"/>
    <w:rsid w:val="7BEE2105"/>
    <w:rsid w:val="7BF1E934"/>
    <w:rsid w:val="7C025B01"/>
    <w:rsid w:val="7C04520A"/>
    <w:rsid w:val="7C0DCBA0"/>
    <w:rsid w:val="7C12E815"/>
    <w:rsid w:val="7C18D2C2"/>
    <w:rsid w:val="7C2A7B7B"/>
    <w:rsid w:val="7C42A49A"/>
    <w:rsid w:val="7C4C2516"/>
    <w:rsid w:val="7C683ADE"/>
    <w:rsid w:val="7C6E3578"/>
    <w:rsid w:val="7C7F9A52"/>
    <w:rsid w:val="7C82399C"/>
    <w:rsid w:val="7C8EC0C8"/>
    <w:rsid w:val="7CA2E208"/>
    <w:rsid w:val="7CA71EDC"/>
    <w:rsid w:val="7CADB9B2"/>
    <w:rsid w:val="7CB18382"/>
    <w:rsid w:val="7CE30961"/>
    <w:rsid w:val="7CF4F99E"/>
    <w:rsid w:val="7D0317AF"/>
    <w:rsid w:val="7D1F3CE7"/>
    <w:rsid w:val="7D2F2E86"/>
    <w:rsid w:val="7D35F2CD"/>
    <w:rsid w:val="7D3C9274"/>
    <w:rsid w:val="7D42E2EA"/>
    <w:rsid w:val="7D486BB2"/>
    <w:rsid w:val="7D4E4AEF"/>
    <w:rsid w:val="7D528B22"/>
    <w:rsid w:val="7D5375B7"/>
    <w:rsid w:val="7D5EE1AA"/>
    <w:rsid w:val="7D6511CC"/>
    <w:rsid w:val="7D686B3F"/>
    <w:rsid w:val="7D68805E"/>
    <w:rsid w:val="7D734122"/>
    <w:rsid w:val="7D7358E8"/>
    <w:rsid w:val="7D7F4ADB"/>
    <w:rsid w:val="7D8159A3"/>
    <w:rsid w:val="7D836E1D"/>
    <w:rsid w:val="7D87E34F"/>
    <w:rsid w:val="7D881722"/>
    <w:rsid w:val="7D8B97D7"/>
    <w:rsid w:val="7D8BC178"/>
    <w:rsid w:val="7D90D1A9"/>
    <w:rsid w:val="7D967E1C"/>
    <w:rsid w:val="7D9BF9F3"/>
    <w:rsid w:val="7D9C811F"/>
    <w:rsid w:val="7DA75EE4"/>
    <w:rsid w:val="7DAAE021"/>
    <w:rsid w:val="7DBF2580"/>
    <w:rsid w:val="7DC7AA7E"/>
    <w:rsid w:val="7DD20B9C"/>
    <w:rsid w:val="7DDAA02A"/>
    <w:rsid w:val="7DEEF582"/>
    <w:rsid w:val="7DF2D700"/>
    <w:rsid w:val="7DF56C84"/>
    <w:rsid w:val="7DF82531"/>
    <w:rsid w:val="7DFF9EEC"/>
    <w:rsid w:val="7E05392D"/>
    <w:rsid w:val="7E0622E0"/>
    <w:rsid w:val="7E072F8A"/>
    <w:rsid w:val="7E118361"/>
    <w:rsid w:val="7E1D9BD7"/>
    <w:rsid w:val="7E23F7D9"/>
    <w:rsid w:val="7E46557F"/>
    <w:rsid w:val="7E66BA96"/>
    <w:rsid w:val="7E7701A8"/>
    <w:rsid w:val="7E836949"/>
    <w:rsid w:val="7E999BDE"/>
    <w:rsid w:val="7EA6E211"/>
    <w:rsid w:val="7EBB1C08"/>
    <w:rsid w:val="7EBDA565"/>
    <w:rsid w:val="7EDA685D"/>
    <w:rsid w:val="7EEC4EEA"/>
    <w:rsid w:val="7EEF6C72"/>
    <w:rsid w:val="7EFCAA1C"/>
    <w:rsid w:val="7F16E9D7"/>
    <w:rsid w:val="7F188410"/>
    <w:rsid w:val="7F1C7A6D"/>
    <w:rsid w:val="7F35EBE4"/>
    <w:rsid w:val="7F3FB172"/>
    <w:rsid w:val="7F4320D3"/>
    <w:rsid w:val="7F56FB6C"/>
    <w:rsid w:val="7F5F1EC2"/>
    <w:rsid w:val="7F61EBE9"/>
    <w:rsid w:val="7F68BFDF"/>
    <w:rsid w:val="7F7EABED"/>
    <w:rsid w:val="7F811D1E"/>
    <w:rsid w:val="7F923DCE"/>
    <w:rsid w:val="7FA12DCE"/>
    <w:rsid w:val="7FB0733B"/>
    <w:rsid w:val="7FBFB85E"/>
    <w:rsid w:val="7FD6F8AA"/>
    <w:rsid w:val="7FDC4BE4"/>
    <w:rsid w:val="7FECEC00"/>
    <w:rsid w:val="7FF3A9D3"/>
    <w:rsid w:val="7FFCA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CC24"/>
  <w15:chartTrackingRefBased/>
  <w15:docId w15:val="{1BA31796-9A44-480C-B6F6-42ACD4DE7F1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3D"/>
    <w:pPr>
      <w:spacing w:after="0" w:line="240" w:lineRule="auto"/>
    </w:pPr>
    <w:rPr>
      <w:rFonts w:ascii="Times New Roman" w:eastAsia="Times New Roman" w:hAnsi="Times New Roman" w:cs="Times New Roman"/>
      <w:sz w:val="24"/>
      <w:szCs w:val="24"/>
    </w:rPr>
  </w:style>
  <w:style w:type="paragraph" w:styleId="Heading1">
    <w:name w:val="heading 1"/>
    <w:basedOn w:val="Dummy"/>
    <w:next w:val="Standard"/>
    <w:link w:val="Heading1Char"/>
    <w:uiPriority w:val="4"/>
    <w:qFormat/>
    <w:rsid w:val="000E270A"/>
    <w:pPr>
      <w:ind w:left="720" w:right="2160" w:hanging="720"/>
    </w:pPr>
    <w:rPr>
      <w:rFonts w:eastAsiaTheme="majorEastAsia" w:cstheme="majorBidi"/>
      <w:szCs w:val="32"/>
    </w:rPr>
  </w:style>
  <w:style w:type="paragraph" w:styleId="Heading2">
    <w:name w:val="heading 2"/>
    <w:basedOn w:val="Dummy"/>
    <w:next w:val="Standard"/>
    <w:link w:val="Heading2Char"/>
    <w:uiPriority w:val="4"/>
    <w:qFormat/>
    <w:rsid w:val="000E270A"/>
    <w:pPr>
      <w:tabs>
        <w:tab w:val="num" w:pos="1080"/>
      </w:tabs>
      <w:ind w:left="108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ind w:left="864" w:hanging="648"/>
    </w:pPr>
    <w:rPr>
      <w:rFonts w:eastAsiaTheme="minorEastAsia"/>
    </w:rPr>
  </w:style>
  <w:style w:type="paragraph" w:styleId="TOC1">
    <w:name w:val="toc 1"/>
    <w:basedOn w:val="Normal"/>
    <w:next w:val="Normal"/>
    <w:uiPriority w:val="39"/>
    <w:unhideWhenUsed/>
    <w:rsid w:val="00ED5725"/>
    <w:pPr>
      <w:ind w:left="432" w:hanging="432"/>
    </w:pPr>
    <w:rPr>
      <w:rFonts w:eastAsiaTheme="minorEastAsia"/>
    </w:rPr>
  </w:style>
  <w:style w:type="paragraph" w:styleId="TOC3">
    <w:name w:val="toc 3"/>
    <w:basedOn w:val="Normal"/>
    <w:next w:val="Normal"/>
    <w:uiPriority w:val="39"/>
    <w:unhideWhenUsed/>
    <w:rsid w:val="008C7413"/>
    <w:pPr>
      <w:ind w:left="1296" w:hanging="864"/>
    </w:pPr>
    <w:rPr>
      <w:rFonts w:eastAsiaTheme="minorEastAsia"/>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basedOn w:val="Normal"/>
    <w:link w:val="FootnoteTextChar"/>
    <w:uiPriority w:val="99"/>
    <w:rsid w:val="00B01F7E"/>
    <w:pPr>
      <w:spacing w:after="12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next w:val="Standard"/>
    <w:uiPriority w:val="1"/>
    <w:rsid w:val="003E2A76"/>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3E2A76"/>
    <w:pPr>
      <w:spacing w:line="360" w:lineRule="auto"/>
    </w:pPr>
    <w:rPr>
      <w:rFonts w:ascii="Book Antiqua" w:hAnsi="Book Antiqua"/>
    </w:rPr>
  </w:style>
  <w:style w:type="paragraph" w:customStyle="1" w:styleId="ListAlpha">
    <w:name w:val="List Alpha"/>
    <w:basedOn w:val="Standard"/>
    <w:uiPriority w:val="4"/>
    <w:qFormat/>
    <w:rsid w:val="000E270A"/>
    <w:pPr>
      <w:spacing w:after="120"/>
      <w:ind w:left="1080" w:hanging="360"/>
    </w:pPr>
  </w:style>
  <w:style w:type="paragraph" w:styleId="ListBullet">
    <w:name w:val="List Bullet"/>
    <w:basedOn w:val="Standard"/>
    <w:uiPriority w:val="4"/>
    <w:qFormat/>
    <w:rsid w:val="001F2819"/>
    <w:pPr>
      <w:numPr>
        <w:numId w:val="9"/>
      </w:numPr>
      <w:tabs>
        <w:tab w:val="clear" w:pos="360"/>
      </w:tabs>
      <w:spacing w:after="120"/>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ind w:left="1080" w:hanging="360"/>
    </w:pPr>
  </w:style>
  <w:style w:type="character" w:styleId="UnresolvedMention">
    <w:name w:val="Unresolved Mention"/>
    <w:basedOn w:val="DefaultParagraphFont"/>
    <w:uiPriority w:val="99"/>
    <w:unhideWhenUsed/>
    <w:rsid w:val="00B63B70"/>
    <w:rPr>
      <w:color w:val="605E5C"/>
      <w:shd w:val="clear" w:color="auto" w:fill="E1DFDD"/>
    </w:rPr>
  </w:style>
  <w:style w:type="paragraph" w:styleId="ListParagraph">
    <w:name w:val="List Paragraph"/>
    <w:basedOn w:val="Normal"/>
    <w:uiPriority w:val="1"/>
    <w:qFormat/>
    <w:rsid w:val="00C727A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22219"/>
  </w:style>
  <w:style w:type="character" w:styleId="PlaceholderText">
    <w:name w:val="Placeholder Text"/>
    <w:basedOn w:val="DefaultParagraphFont"/>
    <w:uiPriority w:val="99"/>
    <w:semiHidden/>
    <w:rsid w:val="003134B1"/>
    <w:rPr>
      <w:color w:val="808080"/>
    </w:rPr>
  </w:style>
  <w:style w:type="character" w:styleId="CommentReference">
    <w:name w:val="annotation reference"/>
    <w:basedOn w:val="DefaultParagraphFont"/>
    <w:uiPriority w:val="99"/>
    <w:semiHidden/>
    <w:unhideWhenUsed/>
    <w:rsid w:val="005406A6"/>
    <w:rPr>
      <w:sz w:val="16"/>
      <w:szCs w:val="16"/>
    </w:rPr>
  </w:style>
  <w:style w:type="paragraph" w:styleId="CommentText">
    <w:name w:val="annotation text"/>
    <w:basedOn w:val="Normal"/>
    <w:link w:val="CommentTextChar"/>
    <w:uiPriority w:val="99"/>
    <w:unhideWhenUsed/>
    <w:rsid w:val="005406A6"/>
    <w:rPr>
      <w:sz w:val="20"/>
      <w:szCs w:val="20"/>
    </w:rPr>
  </w:style>
  <w:style w:type="character" w:customStyle="1" w:styleId="CommentTextChar">
    <w:name w:val="Comment Text Char"/>
    <w:basedOn w:val="DefaultParagraphFont"/>
    <w:link w:val="CommentText"/>
    <w:uiPriority w:val="99"/>
    <w:rsid w:val="005406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6A6"/>
    <w:rPr>
      <w:b/>
      <w:bCs/>
    </w:rPr>
  </w:style>
  <w:style w:type="character" w:customStyle="1" w:styleId="CommentSubjectChar">
    <w:name w:val="Comment Subject Char"/>
    <w:basedOn w:val="CommentTextChar"/>
    <w:link w:val="CommentSubject"/>
    <w:uiPriority w:val="99"/>
    <w:semiHidden/>
    <w:rsid w:val="005406A6"/>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E70352"/>
    <w:rPr>
      <w:color w:val="2B579A"/>
      <w:shd w:val="clear" w:color="auto" w:fill="E1DFDD"/>
    </w:rPr>
  </w:style>
  <w:style w:type="paragraph" w:styleId="Revision">
    <w:name w:val="Revision"/>
    <w:hidden/>
    <w:uiPriority w:val="99"/>
    <w:semiHidden/>
    <w:rsid w:val="00A01B6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1753"/>
    <w:rPr>
      <w:color w:val="954F72" w:themeColor="followedHyperlink"/>
      <w:u w:val="single"/>
    </w:rPr>
  </w:style>
  <w:style w:type="paragraph" w:styleId="BodyText">
    <w:name w:val="Body Text"/>
    <w:basedOn w:val="Normal"/>
    <w:link w:val="BodyTextChar"/>
    <w:uiPriority w:val="1"/>
    <w:qFormat/>
    <w:rsid w:val="00EF55E6"/>
    <w:pPr>
      <w:widowControl w:val="0"/>
      <w:autoSpaceDE w:val="0"/>
      <w:autoSpaceDN w:val="0"/>
      <w:ind w:left="129"/>
    </w:pPr>
  </w:style>
  <w:style w:type="character" w:customStyle="1" w:styleId="BodyTextChar">
    <w:name w:val="Body Text Char"/>
    <w:basedOn w:val="DefaultParagraphFont"/>
    <w:link w:val="BodyText"/>
    <w:uiPriority w:val="1"/>
    <w:rsid w:val="00EF55E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F55E6"/>
    <w:pPr>
      <w:widowControl w:val="0"/>
      <w:autoSpaceDE w:val="0"/>
      <w:autoSpaceDN w:val="0"/>
      <w:spacing w:before="9" w:line="275" w:lineRule="exact"/>
      <w:ind w:left="118"/>
    </w:pPr>
    <w:rPr>
      <w:sz w:val="22"/>
      <w:szCs w:val="22"/>
    </w:rPr>
  </w:style>
  <w:style w:type="paragraph" w:customStyle="1" w:styleId="Default">
    <w:name w:val="Default"/>
    <w:rsid w:val="00EF55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506">
      <w:bodyDiv w:val="1"/>
      <w:marLeft w:val="0"/>
      <w:marRight w:val="0"/>
      <w:marTop w:val="0"/>
      <w:marBottom w:val="0"/>
      <w:divBdr>
        <w:top w:val="none" w:sz="0" w:space="0" w:color="auto"/>
        <w:left w:val="none" w:sz="0" w:space="0" w:color="auto"/>
        <w:bottom w:val="none" w:sz="0" w:space="0" w:color="auto"/>
        <w:right w:val="none" w:sz="0" w:space="0" w:color="auto"/>
      </w:divBdr>
    </w:div>
    <w:div w:id="11539088">
      <w:bodyDiv w:val="1"/>
      <w:marLeft w:val="0"/>
      <w:marRight w:val="0"/>
      <w:marTop w:val="0"/>
      <w:marBottom w:val="0"/>
      <w:divBdr>
        <w:top w:val="none" w:sz="0" w:space="0" w:color="auto"/>
        <w:left w:val="none" w:sz="0" w:space="0" w:color="auto"/>
        <w:bottom w:val="none" w:sz="0" w:space="0" w:color="auto"/>
        <w:right w:val="none" w:sz="0" w:space="0" w:color="auto"/>
      </w:divBdr>
    </w:div>
    <w:div w:id="20860513">
      <w:bodyDiv w:val="1"/>
      <w:marLeft w:val="0"/>
      <w:marRight w:val="0"/>
      <w:marTop w:val="0"/>
      <w:marBottom w:val="0"/>
      <w:divBdr>
        <w:top w:val="none" w:sz="0" w:space="0" w:color="auto"/>
        <w:left w:val="none" w:sz="0" w:space="0" w:color="auto"/>
        <w:bottom w:val="none" w:sz="0" w:space="0" w:color="auto"/>
        <w:right w:val="none" w:sz="0" w:space="0" w:color="auto"/>
      </w:divBdr>
    </w:div>
    <w:div w:id="25180674">
      <w:bodyDiv w:val="1"/>
      <w:marLeft w:val="0"/>
      <w:marRight w:val="0"/>
      <w:marTop w:val="0"/>
      <w:marBottom w:val="0"/>
      <w:divBdr>
        <w:top w:val="none" w:sz="0" w:space="0" w:color="auto"/>
        <w:left w:val="none" w:sz="0" w:space="0" w:color="auto"/>
        <w:bottom w:val="none" w:sz="0" w:space="0" w:color="auto"/>
        <w:right w:val="none" w:sz="0" w:space="0" w:color="auto"/>
      </w:divBdr>
    </w:div>
    <w:div w:id="71582354">
      <w:bodyDiv w:val="1"/>
      <w:marLeft w:val="0"/>
      <w:marRight w:val="0"/>
      <w:marTop w:val="0"/>
      <w:marBottom w:val="0"/>
      <w:divBdr>
        <w:top w:val="none" w:sz="0" w:space="0" w:color="auto"/>
        <w:left w:val="none" w:sz="0" w:space="0" w:color="auto"/>
        <w:bottom w:val="none" w:sz="0" w:space="0" w:color="auto"/>
        <w:right w:val="none" w:sz="0" w:space="0" w:color="auto"/>
      </w:divBdr>
    </w:div>
    <w:div w:id="101463110">
      <w:bodyDiv w:val="1"/>
      <w:marLeft w:val="0"/>
      <w:marRight w:val="0"/>
      <w:marTop w:val="0"/>
      <w:marBottom w:val="0"/>
      <w:divBdr>
        <w:top w:val="none" w:sz="0" w:space="0" w:color="auto"/>
        <w:left w:val="none" w:sz="0" w:space="0" w:color="auto"/>
        <w:bottom w:val="none" w:sz="0" w:space="0" w:color="auto"/>
        <w:right w:val="none" w:sz="0" w:space="0" w:color="auto"/>
      </w:divBdr>
    </w:div>
    <w:div w:id="105538708">
      <w:bodyDiv w:val="1"/>
      <w:marLeft w:val="0"/>
      <w:marRight w:val="0"/>
      <w:marTop w:val="0"/>
      <w:marBottom w:val="0"/>
      <w:divBdr>
        <w:top w:val="none" w:sz="0" w:space="0" w:color="auto"/>
        <w:left w:val="none" w:sz="0" w:space="0" w:color="auto"/>
        <w:bottom w:val="none" w:sz="0" w:space="0" w:color="auto"/>
        <w:right w:val="none" w:sz="0" w:space="0" w:color="auto"/>
      </w:divBdr>
    </w:div>
    <w:div w:id="133832717">
      <w:bodyDiv w:val="1"/>
      <w:marLeft w:val="0"/>
      <w:marRight w:val="0"/>
      <w:marTop w:val="0"/>
      <w:marBottom w:val="0"/>
      <w:divBdr>
        <w:top w:val="none" w:sz="0" w:space="0" w:color="auto"/>
        <w:left w:val="none" w:sz="0" w:space="0" w:color="auto"/>
        <w:bottom w:val="none" w:sz="0" w:space="0" w:color="auto"/>
        <w:right w:val="none" w:sz="0" w:space="0" w:color="auto"/>
      </w:divBdr>
    </w:div>
    <w:div w:id="155611257">
      <w:bodyDiv w:val="1"/>
      <w:marLeft w:val="0"/>
      <w:marRight w:val="0"/>
      <w:marTop w:val="0"/>
      <w:marBottom w:val="0"/>
      <w:divBdr>
        <w:top w:val="none" w:sz="0" w:space="0" w:color="auto"/>
        <w:left w:val="none" w:sz="0" w:space="0" w:color="auto"/>
        <w:bottom w:val="none" w:sz="0" w:space="0" w:color="auto"/>
        <w:right w:val="none" w:sz="0" w:space="0" w:color="auto"/>
      </w:divBdr>
    </w:div>
    <w:div w:id="209804616">
      <w:bodyDiv w:val="1"/>
      <w:marLeft w:val="0"/>
      <w:marRight w:val="0"/>
      <w:marTop w:val="0"/>
      <w:marBottom w:val="0"/>
      <w:divBdr>
        <w:top w:val="none" w:sz="0" w:space="0" w:color="auto"/>
        <w:left w:val="none" w:sz="0" w:space="0" w:color="auto"/>
        <w:bottom w:val="none" w:sz="0" w:space="0" w:color="auto"/>
        <w:right w:val="none" w:sz="0" w:space="0" w:color="auto"/>
      </w:divBdr>
    </w:div>
    <w:div w:id="222109606">
      <w:bodyDiv w:val="1"/>
      <w:marLeft w:val="0"/>
      <w:marRight w:val="0"/>
      <w:marTop w:val="0"/>
      <w:marBottom w:val="0"/>
      <w:divBdr>
        <w:top w:val="none" w:sz="0" w:space="0" w:color="auto"/>
        <w:left w:val="none" w:sz="0" w:space="0" w:color="auto"/>
        <w:bottom w:val="none" w:sz="0" w:space="0" w:color="auto"/>
        <w:right w:val="none" w:sz="0" w:space="0" w:color="auto"/>
      </w:divBdr>
      <w:divsChild>
        <w:div w:id="101728498">
          <w:marLeft w:val="0"/>
          <w:marRight w:val="0"/>
          <w:marTop w:val="0"/>
          <w:marBottom w:val="0"/>
          <w:divBdr>
            <w:top w:val="none" w:sz="0" w:space="0" w:color="auto"/>
            <w:left w:val="none" w:sz="0" w:space="0" w:color="auto"/>
            <w:bottom w:val="none" w:sz="0" w:space="0" w:color="auto"/>
            <w:right w:val="none" w:sz="0" w:space="0" w:color="auto"/>
          </w:divBdr>
          <w:divsChild>
            <w:div w:id="1110932672">
              <w:marLeft w:val="0"/>
              <w:marRight w:val="0"/>
              <w:marTop w:val="0"/>
              <w:marBottom w:val="0"/>
              <w:divBdr>
                <w:top w:val="none" w:sz="0" w:space="0" w:color="auto"/>
                <w:left w:val="none" w:sz="0" w:space="0" w:color="auto"/>
                <w:bottom w:val="none" w:sz="0" w:space="0" w:color="auto"/>
                <w:right w:val="none" w:sz="0" w:space="0" w:color="auto"/>
              </w:divBdr>
              <w:divsChild>
                <w:div w:id="18113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6660">
      <w:bodyDiv w:val="1"/>
      <w:marLeft w:val="0"/>
      <w:marRight w:val="0"/>
      <w:marTop w:val="0"/>
      <w:marBottom w:val="0"/>
      <w:divBdr>
        <w:top w:val="none" w:sz="0" w:space="0" w:color="auto"/>
        <w:left w:val="none" w:sz="0" w:space="0" w:color="auto"/>
        <w:bottom w:val="none" w:sz="0" w:space="0" w:color="auto"/>
        <w:right w:val="none" w:sz="0" w:space="0" w:color="auto"/>
      </w:divBdr>
    </w:div>
    <w:div w:id="297077842">
      <w:bodyDiv w:val="1"/>
      <w:marLeft w:val="0"/>
      <w:marRight w:val="0"/>
      <w:marTop w:val="0"/>
      <w:marBottom w:val="0"/>
      <w:divBdr>
        <w:top w:val="none" w:sz="0" w:space="0" w:color="auto"/>
        <w:left w:val="none" w:sz="0" w:space="0" w:color="auto"/>
        <w:bottom w:val="none" w:sz="0" w:space="0" w:color="auto"/>
        <w:right w:val="none" w:sz="0" w:space="0" w:color="auto"/>
      </w:divBdr>
    </w:div>
    <w:div w:id="304311520">
      <w:bodyDiv w:val="1"/>
      <w:marLeft w:val="0"/>
      <w:marRight w:val="0"/>
      <w:marTop w:val="0"/>
      <w:marBottom w:val="0"/>
      <w:divBdr>
        <w:top w:val="none" w:sz="0" w:space="0" w:color="auto"/>
        <w:left w:val="none" w:sz="0" w:space="0" w:color="auto"/>
        <w:bottom w:val="none" w:sz="0" w:space="0" w:color="auto"/>
        <w:right w:val="none" w:sz="0" w:space="0" w:color="auto"/>
      </w:divBdr>
    </w:div>
    <w:div w:id="339040193">
      <w:bodyDiv w:val="1"/>
      <w:marLeft w:val="0"/>
      <w:marRight w:val="0"/>
      <w:marTop w:val="0"/>
      <w:marBottom w:val="0"/>
      <w:divBdr>
        <w:top w:val="none" w:sz="0" w:space="0" w:color="auto"/>
        <w:left w:val="none" w:sz="0" w:space="0" w:color="auto"/>
        <w:bottom w:val="none" w:sz="0" w:space="0" w:color="auto"/>
        <w:right w:val="none" w:sz="0" w:space="0" w:color="auto"/>
      </w:divBdr>
    </w:div>
    <w:div w:id="370153338">
      <w:bodyDiv w:val="1"/>
      <w:marLeft w:val="0"/>
      <w:marRight w:val="0"/>
      <w:marTop w:val="0"/>
      <w:marBottom w:val="0"/>
      <w:divBdr>
        <w:top w:val="none" w:sz="0" w:space="0" w:color="auto"/>
        <w:left w:val="none" w:sz="0" w:space="0" w:color="auto"/>
        <w:bottom w:val="none" w:sz="0" w:space="0" w:color="auto"/>
        <w:right w:val="none" w:sz="0" w:space="0" w:color="auto"/>
      </w:divBdr>
    </w:div>
    <w:div w:id="375741169">
      <w:bodyDiv w:val="1"/>
      <w:marLeft w:val="0"/>
      <w:marRight w:val="0"/>
      <w:marTop w:val="0"/>
      <w:marBottom w:val="0"/>
      <w:divBdr>
        <w:top w:val="none" w:sz="0" w:space="0" w:color="auto"/>
        <w:left w:val="none" w:sz="0" w:space="0" w:color="auto"/>
        <w:bottom w:val="none" w:sz="0" w:space="0" w:color="auto"/>
        <w:right w:val="none" w:sz="0" w:space="0" w:color="auto"/>
      </w:divBdr>
    </w:div>
    <w:div w:id="469590176">
      <w:bodyDiv w:val="1"/>
      <w:marLeft w:val="0"/>
      <w:marRight w:val="0"/>
      <w:marTop w:val="0"/>
      <w:marBottom w:val="0"/>
      <w:divBdr>
        <w:top w:val="none" w:sz="0" w:space="0" w:color="auto"/>
        <w:left w:val="none" w:sz="0" w:space="0" w:color="auto"/>
        <w:bottom w:val="none" w:sz="0" w:space="0" w:color="auto"/>
        <w:right w:val="none" w:sz="0" w:space="0" w:color="auto"/>
      </w:divBdr>
    </w:div>
    <w:div w:id="483938271">
      <w:bodyDiv w:val="1"/>
      <w:marLeft w:val="0"/>
      <w:marRight w:val="0"/>
      <w:marTop w:val="0"/>
      <w:marBottom w:val="0"/>
      <w:divBdr>
        <w:top w:val="none" w:sz="0" w:space="0" w:color="auto"/>
        <w:left w:val="none" w:sz="0" w:space="0" w:color="auto"/>
        <w:bottom w:val="none" w:sz="0" w:space="0" w:color="auto"/>
        <w:right w:val="none" w:sz="0" w:space="0" w:color="auto"/>
      </w:divBdr>
    </w:div>
    <w:div w:id="486366747">
      <w:bodyDiv w:val="1"/>
      <w:marLeft w:val="0"/>
      <w:marRight w:val="0"/>
      <w:marTop w:val="0"/>
      <w:marBottom w:val="0"/>
      <w:divBdr>
        <w:top w:val="none" w:sz="0" w:space="0" w:color="auto"/>
        <w:left w:val="none" w:sz="0" w:space="0" w:color="auto"/>
        <w:bottom w:val="none" w:sz="0" w:space="0" w:color="auto"/>
        <w:right w:val="none" w:sz="0" w:space="0" w:color="auto"/>
      </w:divBdr>
      <w:divsChild>
        <w:div w:id="1674645259">
          <w:marLeft w:val="0"/>
          <w:marRight w:val="0"/>
          <w:marTop w:val="0"/>
          <w:marBottom w:val="0"/>
          <w:divBdr>
            <w:top w:val="none" w:sz="0" w:space="0" w:color="auto"/>
            <w:left w:val="none" w:sz="0" w:space="0" w:color="auto"/>
            <w:bottom w:val="none" w:sz="0" w:space="0" w:color="auto"/>
            <w:right w:val="none" w:sz="0" w:space="0" w:color="auto"/>
          </w:divBdr>
          <w:divsChild>
            <w:div w:id="143858746">
              <w:marLeft w:val="0"/>
              <w:marRight w:val="0"/>
              <w:marTop w:val="0"/>
              <w:marBottom w:val="0"/>
              <w:divBdr>
                <w:top w:val="none" w:sz="0" w:space="0" w:color="auto"/>
                <w:left w:val="none" w:sz="0" w:space="0" w:color="auto"/>
                <w:bottom w:val="none" w:sz="0" w:space="0" w:color="auto"/>
                <w:right w:val="none" w:sz="0" w:space="0" w:color="auto"/>
              </w:divBdr>
              <w:divsChild>
                <w:div w:id="9869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6497">
      <w:bodyDiv w:val="1"/>
      <w:marLeft w:val="0"/>
      <w:marRight w:val="0"/>
      <w:marTop w:val="0"/>
      <w:marBottom w:val="0"/>
      <w:divBdr>
        <w:top w:val="none" w:sz="0" w:space="0" w:color="auto"/>
        <w:left w:val="none" w:sz="0" w:space="0" w:color="auto"/>
        <w:bottom w:val="none" w:sz="0" w:space="0" w:color="auto"/>
        <w:right w:val="none" w:sz="0" w:space="0" w:color="auto"/>
      </w:divBdr>
    </w:div>
    <w:div w:id="530269103">
      <w:bodyDiv w:val="1"/>
      <w:marLeft w:val="0"/>
      <w:marRight w:val="0"/>
      <w:marTop w:val="0"/>
      <w:marBottom w:val="0"/>
      <w:divBdr>
        <w:top w:val="none" w:sz="0" w:space="0" w:color="auto"/>
        <w:left w:val="none" w:sz="0" w:space="0" w:color="auto"/>
        <w:bottom w:val="none" w:sz="0" w:space="0" w:color="auto"/>
        <w:right w:val="none" w:sz="0" w:space="0" w:color="auto"/>
      </w:divBdr>
    </w:div>
    <w:div w:id="604389953">
      <w:bodyDiv w:val="1"/>
      <w:marLeft w:val="0"/>
      <w:marRight w:val="0"/>
      <w:marTop w:val="0"/>
      <w:marBottom w:val="0"/>
      <w:divBdr>
        <w:top w:val="none" w:sz="0" w:space="0" w:color="auto"/>
        <w:left w:val="none" w:sz="0" w:space="0" w:color="auto"/>
        <w:bottom w:val="none" w:sz="0" w:space="0" w:color="auto"/>
        <w:right w:val="none" w:sz="0" w:space="0" w:color="auto"/>
      </w:divBdr>
    </w:div>
    <w:div w:id="607658157">
      <w:bodyDiv w:val="1"/>
      <w:marLeft w:val="0"/>
      <w:marRight w:val="0"/>
      <w:marTop w:val="0"/>
      <w:marBottom w:val="0"/>
      <w:divBdr>
        <w:top w:val="none" w:sz="0" w:space="0" w:color="auto"/>
        <w:left w:val="none" w:sz="0" w:space="0" w:color="auto"/>
        <w:bottom w:val="none" w:sz="0" w:space="0" w:color="auto"/>
        <w:right w:val="none" w:sz="0" w:space="0" w:color="auto"/>
      </w:divBdr>
    </w:div>
    <w:div w:id="626090220">
      <w:bodyDiv w:val="1"/>
      <w:marLeft w:val="0"/>
      <w:marRight w:val="0"/>
      <w:marTop w:val="0"/>
      <w:marBottom w:val="0"/>
      <w:divBdr>
        <w:top w:val="none" w:sz="0" w:space="0" w:color="auto"/>
        <w:left w:val="none" w:sz="0" w:space="0" w:color="auto"/>
        <w:bottom w:val="none" w:sz="0" w:space="0" w:color="auto"/>
        <w:right w:val="none" w:sz="0" w:space="0" w:color="auto"/>
      </w:divBdr>
    </w:div>
    <w:div w:id="662660940">
      <w:bodyDiv w:val="1"/>
      <w:marLeft w:val="0"/>
      <w:marRight w:val="0"/>
      <w:marTop w:val="0"/>
      <w:marBottom w:val="0"/>
      <w:divBdr>
        <w:top w:val="none" w:sz="0" w:space="0" w:color="auto"/>
        <w:left w:val="none" w:sz="0" w:space="0" w:color="auto"/>
        <w:bottom w:val="none" w:sz="0" w:space="0" w:color="auto"/>
        <w:right w:val="none" w:sz="0" w:space="0" w:color="auto"/>
      </w:divBdr>
    </w:div>
    <w:div w:id="664475812">
      <w:bodyDiv w:val="1"/>
      <w:marLeft w:val="0"/>
      <w:marRight w:val="0"/>
      <w:marTop w:val="0"/>
      <w:marBottom w:val="0"/>
      <w:divBdr>
        <w:top w:val="none" w:sz="0" w:space="0" w:color="auto"/>
        <w:left w:val="none" w:sz="0" w:space="0" w:color="auto"/>
        <w:bottom w:val="none" w:sz="0" w:space="0" w:color="auto"/>
        <w:right w:val="none" w:sz="0" w:space="0" w:color="auto"/>
      </w:divBdr>
    </w:div>
    <w:div w:id="674453258">
      <w:bodyDiv w:val="1"/>
      <w:marLeft w:val="0"/>
      <w:marRight w:val="0"/>
      <w:marTop w:val="0"/>
      <w:marBottom w:val="0"/>
      <w:divBdr>
        <w:top w:val="none" w:sz="0" w:space="0" w:color="auto"/>
        <w:left w:val="none" w:sz="0" w:space="0" w:color="auto"/>
        <w:bottom w:val="none" w:sz="0" w:space="0" w:color="auto"/>
        <w:right w:val="none" w:sz="0" w:space="0" w:color="auto"/>
      </w:divBdr>
    </w:div>
    <w:div w:id="679047475">
      <w:bodyDiv w:val="1"/>
      <w:marLeft w:val="0"/>
      <w:marRight w:val="0"/>
      <w:marTop w:val="0"/>
      <w:marBottom w:val="0"/>
      <w:divBdr>
        <w:top w:val="none" w:sz="0" w:space="0" w:color="auto"/>
        <w:left w:val="none" w:sz="0" w:space="0" w:color="auto"/>
        <w:bottom w:val="none" w:sz="0" w:space="0" w:color="auto"/>
        <w:right w:val="none" w:sz="0" w:space="0" w:color="auto"/>
      </w:divBdr>
    </w:div>
    <w:div w:id="679311198">
      <w:bodyDiv w:val="1"/>
      <w:marLeft w:val="0"/>
      <w:marRight w:val="0"/>
      <w:marTop w:val="0"/>
      <w:marBottom w:val="0"/>
      <w:divBdr>
        <w:top w:val="none" w:sz="0" w:space="0" w:color="auto"/>
        <w:left w:val="none" w:sz="0" w:space="0" w:color="auto"/>
        <w:bottom w:val="none" w:sz="0" w:space="0" w:color="auto"/>
        <w:right w:val="none" w:sz="0" w:space="0" w:color="auto"/>
      </w:divBdr>
    </w:div>
    <w:div w:id="702245821">
      <w:bodyDiv w:val="1"/>
      <w:marLeft w:val="0"/>
      <w:marRight w:val="0"/>
      <w:marTop w:val="0"/>
      <w:marBottom w:val="0"/>
      <w:divBdr>
        <w:top w:val="none" w:sz="0" w:space="0" w:color="auto"/>
        <w:left w:val="none" w:sz="0" w:space="0" w:color="auto"/>
        <w:bottom w:val="none" w:sz="0" w:space="0" w:color="auto"/>
        <w:right w:val="none" w:sz="0" w:space="0" w:color="auto"/>
      </w:divBdr>
    </w:div>
    <w:div w:id="702824646">
      <w:bodyDiv w:val="1"/>
      <w:marLeft w:val="0"/>
      <w:marRight w:val="0"/>
      <w:marTop w:val="0"/>
      <w:marBottom w:val="0"/>
      <w:divBdr>
        <w:top w:val="none" w:sz="0" w:space="0" w:color="auto"/>
        <w:left w:val="none" w:sz="0" w:space="0" w:color="auto"/>
        <w:bottom w:val="none" w:sz="0" w:space="0" w:color="auto"/>
        <w:right w:val="none" w:sz="0" w:space="0" w:color="auto"/>
      </w:divBdr>
    </w:div>
    <w:div w:id="739982838">
      <w:bodyDiv w:val="1"/>
      <w:marLeft w:val="0"/>
      <w:marRight w:val="0"/>
      <w:marTop w:val="0"/>
      <w:marBottom w:val="0"/>
      <w:divBdr>
        <w:top w:val="none" w:sz="0" w:space="0" w:color="auto"/>
        <w:left w:val="none" w:sz="0" w:space="0" w:color="auto"/>
        <w:bottom w:val="none" w:sz="0" w:space="0" w:color="auto"/>
        <w:right w:val="none" w:sz="0" w:space="0" w:color="auto"/>
      </w:divBdr>
    </w:div>
    <w:div w:id="769008641">
      <w:bodyDiv w:val="1"/>
      <w:marLeft w:val="0"/>
      <w:marRight w:val="0"/>
      <w:marTop w:val="0"/>
      <w:marBottom w:val="0"/>
      <w:divBdr>
        <w:top w:val="none" w:sz="0" w:space="0" w:color="auto"/>
        <w:left w:val="none" w:sz="0" w:space="0" w:color="auto"/>
        <w:bottom w:val="none" w:sz="0" w:space="0" w:color="auto"/>
        <w:right w:val="none" w:sz="0" w:space="0" w:color="auto"/>
      </w:divBdr>
    </w:div>
    <w:div w:id="852839218">
      <w:bodyDiv w:val="1"/>
      <w:marLeft w:val="0"/>
      <w:marRight w:val="0"/>
      <w:marTop w:val="0"/>
      <w:marBottom w:val="0"/>
      <w:divBdr>
        <w:top w:val="none" w:sz="0" w:space="0" w:color="auto"/>
        <w:left w:val="none" w:sz="0" w:space="0" w:color="auto"/>
        <w:bottom w:val="none" w:sz="0" w:space="0" w:color="auto"/>
        <w:right w:val="none" w:sz="0" w:space="0" w:color="auto"/>
      </w:divBdr>
    </w:div>
    <w:div w:id="864513784">
      <w:bodyDiv w:val="1"/>
      <w:marLeft w:val="0"/>
      <w:marRight w:val="0"/>
      <w:marTop w:val="0"/>
      <w:marBottom w:val="0"/>
      <w:divBdr>
        <w:top w:val="none" w:sz="0" w:space="0" w:color="auto"/>
        <w:left w:val="none" w:sz="0" w:space="0" w:color="auto"/>
        <w:bottom w:val="none" w:sz="0" w:space="0" w:color="auto"/>
        <w:right w:val="none" w:sz="0" w:space="0" w:color="auto"/>
      </w:divBdr>
    </w:div>
    <w:div w:id="889922408">
      <w:bodyDiv w:val="1"/>
      <w:marLeft w:val="0"/>
      <w:marRight w:val="0"/>
      <w:marTop w:val="0"/>
      <w:marBottom w:val="0"/>
      <w:divBdr>
        <w:top w:val="none" w:sz="0" w:space="0" w:color="auto"/>
        <w:left w:val="none" w:sz="0" w:space="0" w:color="auto"/>
        <w:bottom w:val="none" w:sz="0" w:space="0" w:color="auto"/>
        <w:right w:val="none" w:sz="0" w:space="0" w:color="auto"/>
      </w:divBdr>
    </w:div>
    <w:div w:id="899511186">
      <w:bodyDiv w:val="1"/>
      <w:marLeft w:val="0"/>
      <w:marRight w:val="0"/>
      <w:marTop w:val="0"/>
      <w:marBottom w:val="0"/>
      <w:divBdr>
        <w:top w:val="none" w:sz="0" w:space="0" w:color="auto"/>
        <w:left w:val="none" w:sz="0" w:space="0" w:color="auto"/>
        <w:bottom w:val="none" w:sz="0" w:space="0" w:color="auto"/>
        <w:right w:val="none" w:sz="0" w:space="0" w:color="auto"/>
      </w:divBdr>
    </w:div>
    <w:div w:id="900753622">
      <w:bodyDiv w:val="1"/>
      <w:marLeft w:val="0"/>
      <w:marRight w:val="0"/>
      <w:marTop w:val="0"/>
      <w:marBottom w:val="0"/>
      <w:divBdr>
        <w:top w:val="none" w:sz="0" w:space="0" w:color="auto"/>
        <w:left w:val="none" w:sz="0" w:space="0" w:color="auto"/>
        <w:bottom w:val="none" w:sz="0" w:space="0" w:color="auto"/>
        <w:right w:val="none" w:sz="0" w:space="0" w:color="auto"/>
      </w:divBdr>
    </w:div>
    <w:div w:id="972901660">
      <w:bodyDiv w:val="1"/>
      <w:marLeft w:val="0"/>
      <w:marRight w:val="0"/>
      <w:marTop w:val="0"/>
      <w:marBottom w:val="0"/>
      <w:divBdr>
        <w:top w:val="none" w:sz="0" w:space="0" w:color="auto"/>
        <w:left w:val="none" w:sz="0" w:space="0" w:color="auto"/>
        <w:bottom w:val="none" w:sz="0" w:space="0" w:color="auto"/>
        <w:right w:val="none" w:sz="0" w:space="0" w:color="auto"/>
      </w:divBdr>
    </w:div>
    <w:div w:id="1004747194">
      <w:bodyDiv w:val="1"/>
      <w:marLeft w:val="0"/>
      <w:marRight w:val="0"/>
      <w:marTop w:val="0"/>
      <w:marBottom w:val="0"/>
      <w:divBdr>
        <w:top w:val="none" w:sz="0" w:space="0" w:color="auto"/>
        <w:left w:val="none" w:sz="0" w:space="0" w:color="auto"/>
        <w:bottom w:val="none" w:sz="0" w:space="0" w:color="auto"/>
        <w:right w:val="none" w:sz="0" w:space="0" w:color="auto"/>
      </w:divBdr>
    </w:div>
    <w:div w:id="1024209726">
      <w:bodyDiv w:val="1"/>
      <w:marLeft w:val="0"/>
      <w:marRight w:val="0"/>
      <w:marTop w:val="0"/>
      <w:marBottom w:val="0"/>
      <w:divBdr>
        <w:top w:val="none" w:sz="0" w:space="0" w:color="auto"/>
        <w:left w:val="none" w:sz="0" w:space="0" w:color="auto"/>
        <w:bottom w:val="none" w:sz="0" w:space="0" w:color="auto"/>
        <w:right w:val="none" w:sz="0" w:space="0" w:color="auto"/>
      </w:divBdr>
    </w:div>
    <w:div w:id="1047949245">
      <w:bodyDiv w:val="1"/>
      <w:marLeft w:val="0"/>
      <w:marRight w:val="0"/>
      <w:marTop w:val="0"/>
      <w:marBottom w:val="0"/>
      <w:divBdr>
        <w:top w:val="none" w:sz="0" w:space="0" w:color="auto"/>
        <w:left w:val="none" w:sz="0" w:space="0" w:color="auto"/>
        <w:bottom w:val="none" w:sz="0" w:space="0" w:color="auto"/>
        <w:right w:val="none" w:sz="0" w:space="0" w:color="auto"/>
      </w:divBdr>
    </w:div>
    <w:div w:id="1053961913">
      <w:bodyDiv w:val="1"/>
      <w:marLeft w:val="0"/>
      <w:marRight w:val="0"/>
      <w:marTop w:val="0"/>
      <w:marBottom w:val="0"/>
      <w:divBdr>
        <w:top w:val="none" w:sz="0" w:space="0" w:color="auto"/>
        <w:left w:val="none" w:sz="0" w:space="0" w:color="auto"/>
        <w:bottom w:val="none" w:sz="0" w:space="0" w:color="auto"/>
        <w:right w:val="none" w:sz="0" w:space="0" w:color="auto"/>
      </w:divBdr>
    </w:div>
    <w:div w:id="1071923743">
      <w:bodyDiv w:val="1"/>
      <w:marLeft w:val="0"/>
      <w:marRight w:val="0"/>
      <w:marTop w:val="0"/>
      <w:marBottom w:val="0"/>
      <w:divBdr>
        <w:top w:val="none" w:sz="0" w:space="0" w:color="auto"/>
        <w:left w:val="none" w:sz="0" w:space="0" w:color="auto"/>
        <w:bottom w:val="none" w:sz="0" w:space="0" w:color="auto"/>
        <w:right w:val="none" w:sz="0" w:space="0" w:color="auto"/>
      </w:divBdr>
    </w:div>
    <w:div w:id="1133674168">
      <w:bodyDiv w:val="1"/>
      <w:marLeft w:val="0"/>
      <w:marRight w:val="0"/>
      <w:marTop w:val="0"/>
      <w:marBottom w:val="0"/>
      <w:divBdr>
        <w:top w:val="none" w:sz="0" w:space="0" w:color="auto"/>
        <w:left w:val="none" w:sz="0" w:space="0" w:color="auto"/>
        <w:bottom w:val="none" w:sz="0" w:space="0" w:color="auto"/>
        <w:right w:val="none" w:sz="0" w:space="0" w:color="auto"/>
      </w:divBdr>
    </w:div>
    <w:div w:id="1186408051">
      <w:bodyDiv w:val="1"/>
      <w:marLeft w:val="0"/>
      <w:marRight w:val="0"/>
      <w:marTop w:val="0"/>
      <w:marBottom w:val="0"/>
      <w:divBdr>
        <w:top w:val="none" w:sz="0" w:space="0" w:color="auto"/>
        <w:left w:val="none" w:sz="0" w:space="0" w:color="auto"/>
        <w:bottom w:val="none" w:sz="0" w:space="0" w:color="auto"/>
        <w:right w:val="none" w:sz="0" w:space="0" w:color="auto"/>
      </w:divBdr>
    </w:div>
    <w:div w:id="1321734525">
      <w:bodyDiv w:val="1"/>
      <w:marLeft w:val="0"/>
      <w:marRight w:val="0"/>
      <w:marTop w:val="0"/>
      <w:marBottom w:val="0"/>
      <w:divBdr>
        <w:top w:val="none" w:sz="0" w:space="0" w:color="auto"/>
        <w:left w:val="none" w:sz="0" w:space="0" w:color="auto"/>
        <w:bottom w:val="none" w:sz="0" w:space="0" w:color="auto"/>
        <w:right w:val="none" w:sz="0" w:space="0" w:color="auto"/>
      </w:divBdr>
    </w:div>
    <w:div w:id="1325086009">
      <w:bodyDiv w:val="1"/>
      <w:marLeft w:val="0"/>
      <w:marRight w:val="0"/>
      <w:marTop w:val="0"/>
      <w:marBottom w:val="0"/>
      <w:divBdr>
        <w:top w:val="none" w:sz="0" w:space="0" w:color="auto"/>
        <w:left w:val="none" w:sz="0" w:space="0" w:color="auto"/>
        <w:bottom w:val="none" w:sz="0" w:space="0" w:color="auto"/>
        <w:right w:val="none" w:sz="0" w:space="0" w:color="auto"/>
      </w:divBdr>
    </w:div>
    <w:div w:id="1350567576">
      <w:bodyDiv w:val="1"/>
      <w:marLeft w:val="0"/>
      <w:marRight w:val="0"/>
      <w:marTop w:val="0"/>
      <w:marBottom w:val="0"/>
      <w:divBdr>
        <w:top w:val="none" w:sz="0" w:space="0" w:color="auto"/>
        <w:left w:val="none" w:sz="0" w:space="0" w:color="auto"/>
        <w:bottom w:val="none" w:sz="0" w:space="0" w:color="auto"/>
        <w:right w:val="none" w:sz="0" w:space="0" w:color="auto"/>
      </w:divBdr>
    </w:div>
    <w:div w:id="1386414369">
      <w:bodyDiv w:val="1"/>
      <w:marLeft w:val="0"/>
      <w:marRight w:val="0"/>
      <w:marTop w:val="0"/>
      <w:marBottom w:val="0"/>
      <w:divBdr>
        <w:top w:val="none" w:sz="0" w:space="0" w:color="auto"/>
        <w:left w:val="none" w:sz="0" w:space="0" w:color="auto"/>
        <w:bottom w:val="none" w:sz="0" w:space="0" w:color="auto"/>
        <w:right w:val="none" w:sz="0" w:space="0" w:color="auto"/>
      </w:divBdr>
    </w:div>
    <w:div w:id="1406684782">
      <w:bodyDiv w:val="1"/>
      <w:marLeft w:val="0"/>
      <w:marRight w:val="0"/>
      <w:marTop w:val="0"/>
      <w:marBottom w:val="0"/>
      <w:divBdr>
        <w:top w:val="none" w:sz="0" w:space="0" w:color="auto"/>
        <w:left w:val="none" w:sz="0" w:space="0" w:color="auto"/>
        <w:bottom w:val="none" w:sz="0" w:space="0" w:color="auto"/>
        <w:right w:val="none" w:sz="0" w:space="0" w:color="auto"/>
      </w:divBdr>
    </w:div>
    <w:div w:id="1426730071">
      <w:bodyDiv w:val="1"/>
      <w:marLeft w:val="0"/>
      <w:marRight w:val="0"/>
      <w:marTop w:val="0"/>
      <w:marBottom w:val="0"/>
      <w:divBdr>
        <w:top w:val="none" w:sz="0" w:space="0" w:color="auto"/>
        <w:left w:val="none" w:sz="0" w:space="0" w:color="auto"/>
        <w:bottom w:val="none" w:sz="0" w:space="0" w:color="auto"/>
        <w:right w:val="none" w:sz="0" w:space="0" w:color="auto"/>
      </w:divBdr>
    </w:div>
    <w:div w:id="1475096583">
      <w:bodyDiv w:val="1"/>
      <w:marLeft w:val="0"/>
      <w:marRight w:val="0"/>
      <w:marTop w:val="0"/>
      <w:marBottom w:val="0"/>
      <w:divBdr>
        <w:top w:val="none" w:sz="0" w:space="0" w:color="auto"/>
        <w:left w:val="none" w:sz="0" w:space="0" w:color="auto"/>
        <w:bottom w:val="none" w:sz="0" w:space="0" w:color="auto"/>
        <w:right w:val="none" w:sz="0" w:space="0" w:color="auto"/>
      </w:divBdr>
    </w:div>
    <w:div w:id="1492983601">
      <w:bodyDiv w:val="1"/>
      <w:marLeft w:val="0"/>
      <w:marRight w:val="0"/>
      <w:marTop w:val="0"/>
      <w:marBottom w:val="0"/>
      <w:divBdr>
        <w:top w:val="none" w:sz="0" w:space="0" w:color="auto"/>
        <w:left w:val="none" w:sz="0" w:space="0" w:color="auto"/>
        <w:bottom w:val="none" w:sz="0" w:space="0" w:color="auto"/>
        <w:right w:val="none" w:sz="0" w:space="0" w:color="auto"/>
      </w:divBdr>
    </w:div>
    <w:div w:id="1517233836">
      <w:bodyDiv w:val="1"/>
      <w:marLeft w:val="0"/>
      <w:marRight w:val="0"/>
      <w:marTop w:val="0"/>
      <w:marBottom w:val="0"/>
      <w:divBdr>
        <w:top w:val="none" w:sz="0" w:space="0" w:color="auto"/>
        <w:left w:val="none" w:sz="0" w:space="0" w:color="auto"/>
        <w:bottom w:val="none" w:sz="0" w:space="0" w:color="auto"/>
        <w:right w:val="none" w:sz="0" w:space="0" w:color="auto"/>
      </w:divBdr>
    </w:div>
    <w:div w:id="1523862172">
      <w:bodyDiv w:val="1"/>
      <w:marLeft w:val="0"/>
      <w:marRight w:val="0"/>
      <w:marTop w:val="0"/>
      <w:marBottom w:val="0"/>
      <w:divBdr>
        <w:top w:val="none" w:sz="0" w:space="0" w:color="auto"/>
        <w:left w:val="none" w:sz="0" w:space="0" w:color="auto"/>
        <w:bottom w:val="none" w:sz="0" w:space="0" w:color="auto"/>
        <w:right w:val="none" w:sz="0" w:space="0" w:color="auto"/>
      </w:divBdr>
    </w:div>
    <w:div w:id="1541481097">
      <w:bodyDiv w:val="1"/>
      <w:marLeft w:val="0"/>
      <w:marRight w:val="0"/>
      <w:marTop w:val="0"/>
      <w:marBottom w:val="0"/>
      <w:divBdr>
        <w:top w:val="none" w:sz="0" w:space="0" w:color="auto"/>
        <w:left w:val="none" w:sz="0" w:space="0" w:color="auto"/>
        <w:bottom w:val="none" w:sz="0" w:space="0" w:color="auto"/>
        <w:right w:val="none" w:sz="0" w:space="0" w:color="auto"/>
      </w:divBdr>
    </w:div>
    <w:div w:id="1579368669">
      <w:bodyDiv w:val="1"/>
      <w:marLeft w:val="0"/>
      <w:marRight w:val="0"/>
      <w:marTop w:val="0"/>
      <w:marBottom w:val="0"/>
      <w:divBdr>
        <w:top w:val="none" w:sz="0" w:space="0" w:color="auto"/>
        <w:left w:val="none" w:sz="0" w:space="0" w:color="auto"/>
        <w:bottom w:val="none" w:sz="0" w:space="0" w:color="auto"/>
        <w:right w:val="none" w:sz="0" w:space="0" w:color="auto"/>
      </w:divBdr>
      <w:divsChild>
        <w:div w:id="997804019">
          <w:marLeft w:val="0"/>
          <w:marRight w:val="0"/>
          <w:marTop w:val="0"/>
          <w:marBottom w:val="0"/>
          <w:divBdr>
            <w:top w:val="none" w:sz="0" w:space="0" w:color="auto"/>
            <w:left w:val="none" w:sz="0" w:space="0" w:color="auto"/>
            <w:bottom w:val="none" w:sz="0" w:space="0" w:color="auto"/>
            <w:right w:val="none" w:sz="0" w:space="0" w:color="auto"/>
          </w:divBdr>
          <w:divsChild>
            <w:div w:id="849638226">
              <w:marLeft w:val="0"/>
              <w:marRight w:val="0"/>
              <w:marTop w:val="0"/>
              <w:marBottom w:val="0"/>
              <w:divBdr>
                <w:top w:val="none" w:sz="0" w:space="0" w:color="auto"/>
                <w:left w:val="none" w:sz="0" w:space="0" w:color="auto"/>
                <w:bottom w:val="none" w:sz="0" w:space="0" w:color="auto"/>
                <w:right w:val="none" w:sz="0" w:space="0" w:color="auto"/>
              </w:divBdr>
              <w:divsChild>
                <w:div w:id="7818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3487">
      <w:bodyDiv w:val="1"/>
      <w:marLeft w:val="0"/>
      <w:marRight w:val="0"/>
      <w:marTop w:val="0"/>
      <w:marBottom w:val="0"/>
      <w:divBdr>
        <w:top w:val="none" w:sz="0" w:space="0" w:color="auto"/>
        <w:left w:val="none" w:sz="0" w:space="0" w:color="auto"/>
        <w:bottom w:val="none" w:sz="0" w:space="0" w:color="auto"/>
        <w:right w:val="none" w:sz="0" w:space="0" w:color="auto"/>
      </w:divBdr>
    </w:div>
    <w:div w:id="1650592962">
      <w:bodyDiv w:val="1"/>
      <w:marLeft w:val="0"/>
      <w:marRight w:val="0"/>
      <w:marTop w:val="0"/>
      <w:marBottom w:val="0"/>
      <w:divBdr>
        <w:top w:val="none" w:sz="0" w:space="0" w:color="auto"/>
        <w:left w:val="none" w:sz="0" w:space="0" w:color="auto"/>
        <w:bottom w:val="none" w:sz="0" w:space="0" w:color="auto"/>
        <w:right w:val="none" w:sz="0" w:space="0" w:color="auto"/>
      </w:divBdr>
    </w:div>
    <w:div w:id="1660769322">
      <w:bodyDiv w:val="1"/>
      <w:marLeft w:val="0"/>
      <w:marRight w:val="0"/>
      <w:marTop w:val="0"/>
      <w:marBottom w:val="0"/>
      <w:divBdr>
        <w:top w:val="none" w:sz="0" w:space="0" w:color="auto"/>
        <w:left w:val="none" w:sz="0" w:space="0" w:color="auto"/>
        <w:bottom w:val="none" w:sz="0" w:space="0" w:color="auto"/>
        <w:right w:val="none" w:sz="0" w:space="0" w:color="auto"/>
      </w:divBdr>
    </w:div>
    <w:div w:id="1688871321">
      <w:bodyDiv w:val="1"/>
      <w:marLeft w:val="0"/>
      <w:marRight w:val="0"/>
      <w:marTop w:val="0"/>
      <w:marBottom w:val="0"/>
      <w:divBdr>
        <w:top w:val="none" w:sz="0" w:space="0" w:color="auto"/>
        <w:left w:val="none" w:sz="0" w:space="0" w:color="auto"/>
        <w:bottom w:val="none" w:sz="0" w:space="0" w:color="auto"/>
        <w:right w:val="none" w:sz="0" w:space="0" w:color="auto"/>
      </w:divBdr>
    </w:div>
    <w:div w:id="1740639066">
      <w:bodyDiv w:val="1"/>
      <w:marLeft w:val="0"/>
      <w:marRight w:val="0"/>
      <w:marTop w:val="0"/>
      <w:marBottom w:val="0"/>
      <w:divBdr>
        <w:top w:val="none" w:sz="0" w:space="0" w:color="auto"/>
        <w:left w:val="none" w:sz="0" w:space="0" w:color="auto"/>
        <w:bottom w:val="none" w:sz="0" w:space="0" w:color="auto"/>
        <w:right w:val="none" w:sz="0" w:space="0" w:color="auto"/>
      </w:divBdr>
    </w:div>
    <w:div w:id="1744139485">
      <w:bodyDiv w:val="1"/>
      <w:marLeft w:val="0"/>
      <w:marRight w:val="0"/>
      <w:marTop w:val="0"/>
      <w:marBottom w:val="0"/>
      <w:divBdr>
        <w:top w:val="none" w:sz="0" w:space="0" w:color="auto"/>
        <w:left w:val="none" w:sz="0" w:space="0" w:color="auto"/>
        <w:bottom w:val="none" w:sz="0" w:space="0" w:color="auto"/>
        <w:right w:val="none" w:sz="0" w:space="0" w:color="auto"/>
      </w:divBdr>
    </w:div>
    <w:div w:id="1812358109">
      <w:bodyDiv w:val="1"/>
      <w:marLeft w:val="0"/>
      <w:marRight w:val="0"/>
      <w:marTop w:val="0"/>
      <w:marBottom w:val="0"/>
      <w:divBdr>
        <w:top w:val="none" w:sz="0" w:space="0" w:color="auto"/>
        <w:left w:val="none" w:sz="0" w:space="0" w:color="auto"/>
        <w:bottom w:val="none" w:sz="0" w:space="0" w:color="auto"/>
        <w:right w:val="none" w:sz="0" w:space="0" w:color="auto"/>
      </w:divBdr>
    </w:div>
    <w:div w:id="1826044978">
      <w:bodyDiv w:val="1"/>
      <w:marLeft w:val="0"/>
      <w:marRight w:val="0"/>
      <w:marTop w:val="0"/>
      <w:marBottom w:val="0"/>
      <w:divBdr>
        <w:top w:val="none" w:sz="0" w:space="0" w:color="auto"/>
        <w:left w:val="none" w:sz="0" w:space="0" w:color="auto"/>
        <w:bottom w:val="none" w:sz="0" w:space="0" w:color="auto"/>
        <w:right w:val="none" w:sz="0" w:space="0" w:color="auto"/>
      </w:divBdr>
    </w:div>
    <w:div w:id="1856337482">
      <w:bodyDiv w:val="1"/>
      <w:marLeft w:val="0"/>
      <w:marRight w:val="0"/>
      <w:marTop w:val="0"/>
      <w:marBottom w:val="0"/>
      <w:divBdr>
        <w:top w:val="none" w:sz="0" w:space="0" w:color="auto"/>
        <w:left w:val="none" w:sz="0" w:space="0" w:color="auto"/>
        <w:bottom w:val="none" w:sz="0" w:space="0" w:color="auto"/>
        <w:right w:val="none" w:sz="0" w:space="0" w:color="auto"/>
      </w:divBdr>
    </w:div>
    <w:div w:id="1873301732">
      <w:bodyDiv w:val="1"/>
      <w:marLeft w:val="0"/>
      <w:marRight w:val="0"/>
      <w:marTop w:val="0"/>
      <w:marBottom w:val="0"/>
      <w:divBdr>
        <w:top w:val="none" w:sz="0" w:space="0" w:color="auto"/>
        <w:left w:val="none" w:sz="0" w:space="0" w:color="auto"/>
        <w:bottom w:val="none" w:sz="0" w:space="0" w:color="auto"/>
        <w:right w:val="none" w:sz="0" w:space="0" w:color="auto"/>
      </w:divBdr>
    </w:div>
    <w:div w:id="1892769474">
      <w:bodyDiv w:val="1"/>
      <w:marLeft w:val="0"/>
      <w:marRight w:val="0"/>
      <w:marTop w:val="0"/>
      <w:marBottom w:val="0"/>
      <w:divBdr>
        <w:top w:val="none" w:sz="0" w:space="0" w:color="auto"/>
        <w:left w:val="none" w:sz="0" w:space="0" w:color="auto"/>
        <w:bottom w:val="none" w:sz="0" w:space="0" w:color="auto"/>
        <w:right w:val="none" w:sz="0" w:space="0" w:color="auto"/>
      </w:divBdr>
    </w:div>
    <w:div w:id="1901285066">
      <w:bodyDiv w:val="1"/>
      <w:marLeft w:val="0"/>
      <w:marRight w:val="0"/>
      <w:marTop w:val="0"/>
      <w:marBottom w:val="0"/>
      <w:divBdr>
        <w:top w:val="none" w:sz="0" w:space="0" w:color="auto"/>
        <w:left w:val="none" w:sz="0" w:space="0" w:color="auto"/>
        <w:bottom w:val="none" w:sz="0" w:space="0" w:color="auto"/>
        <w:right w:val="none" w:sz="0" w:space="0" w:color="auto"/>
      </w:divBdr>
    </w:div>
    <w:div w:id="1923641611">
      <w:bodyDiv w:val="1"/>
      <w:marLeft w:val="0"/>
      <w:marRight w:val="0"/>
      <w:marTop w:val="0"/>
      <w:marBottom w:val="0"/>
      <w:divBdr>
        <w:top w:val="none" w:sz="0" w:space="0" w:color="auto"/>
        <w:left w:val="none" w:sz="0" w:space="0" w:color="auto"/>
        <w:bottom w:val="none" w:sz="0" w:space="0" w:color="auto"/>
        <w:right w:val="none" w:sz="0" w:space="0" w:color="auto"/>
      </w:divBdr>
    </w:div>
    <w:div w:id="1930307270">
      <w:bodyDiv w:val="1"/>
      <w:marLeft w:val="0"/>
      <w:marRight w:val="0"/>
      <w:marTop w:val="0"/>
      <w:marBottom w:val="0"/>
      <w:divBdr>
        <w:top w:val="none" w:sz="0" w:space="0" w:color="auto"/>
        <w:left w:val="none" w:sz="0" w:space="0" w:color="auto"/>
        <w:bottom w:val="none" w:sz="0" w:space="0" w:color="auto"/>
        <w:right w:val="none" w:sz="0" w:space="0" w:color="auto"/>
      </w:divBdr>
      <w:divsChild>
        <w:div w:id="86926588">
          <w:marLeft w:val="0"/>
          <w:marRight w:val="0"/>
          <w:marTop w:val="0"/>
          <w:marBottom w:val="240"/>
          <w:divBdr>
            <w:top w:val="none" w:sz="0" w:space="0" w:color="auto"/>
            <w:left w:val="none" w:sz="0" w:space="0" w:color="auto"/>
            <w:bottom w:val="none" w:sz="0" w:space="0" w:color="auto"/>
            <w:right w:val="none" w:sz="0" w:space="0" w:color="auto"/>
          </w:divBdr>
        </w:div>
        <w:div w:id="411050249">
          <w:marLeft w:val="0"/>
          <w:marRight w:val="0"/>
          <w:marTop w:val="0"/>
          <w:marBottom w:val="240"/>
          <w:divBdr>
            <w:top w:val="none" w:sz="0" w:space="0" w:color="auto"/>
            <w:left w:val="none" w:sz="0" w:space="0" w:color="auto"/>
            <w:bottom w:val="none" w:sz="0" w:space="0" w:color="auto"/>
            <w:right w:val="none" w:sz="0" w:space="0" w:color="auto"/>
          </w:divBdr>
        </w:div>
        <w:div w:id="695620641">
          <w:marLeft w:val="0"/>
          <w:marRight w:val="0"/>
          <w:marTop w:val="0"/>
          <w:marBottom w:val="240"/>
          <w:divBdr>
            <w:top w:val="none" w:sz="0" w:space="0" w:color="auto"/>
            <w:left w:val="none" w:sz="0" w:space="0" w:color="auto"/>
            <w:bottom w:val="none" w:sz="0" w:space="0" w:color="auto"/>
            <w:right w:val="none" w:sz="0" w:space="0" w:color="auto"/>
          </w:divBdr>
        </w:div>
        <w:div w:id="945234659">
          <w:marLeft w:val="0"/>
          <w:marRight w:val="0"/>
          <w:marTop w:val="0"/>
          <w:marBottom w:val="240"/>
          <w:divBdr>
            <w:top w:val="none" w:sz="0" w:space="0" w:color="auto"/>
            <w:left w:val="none" w:sz="0" w:space="0" w:color="auto"/>
            <w:bottom w:val="none" w:sz="0" w:space="0" w:color="auto"/>
            <w:right w:val="none" w:sz="0" w:space="0" w:color="auto"/>
          </w:divBdr>
        </w:div>
        <w:div w:id="1312752672">
          <w:marLeft w:val="0"/>
          <w:marRight w:val="0"/>
          <w:marTop w:val="0"/>
          <w:marBottom w:val="240"/>
          <w:divBdr>
            <w:top w:val="none" w:sz="0" w:space="0" w:color="auto"/>
            <w:left w:val="none" w:sz="0" w:space="0" w:color="auto"/>
            <w:bottom w:val="none" w:sz="0" w:space="0" w:color="auto"/>
            <w:right w:val="none" w:sz="0" w:space="0" w:color="auto"/>
          </w:divBdr>
        </w:div>
        <w:div w:id="1888488800">
          <w:marLeft w:val="0"/>
          <w:marRight w:val="0"/>
          <w:marTop w:val="0"/>
          <w:marBottom w:val="240"/>
          <w:divBdr>
            <w:top w:val="none" w:sz="0" w:space="0" w:color="auto"/>
            <w:left w:val="none" w:sz="0" w:space="0" w:color="auto"/>
            <w:bottom w:val="none" w:sz="0" w:space="0" w:color="auto"/>
            <w:right w:val="none" w:sz="0" w:space="0" w:color="auto"/>
          </w:divBdr>
        </w:div>
      </w:divsChild>
    </w:div>
    <w:div w:id="1931353963">
      <w:bodyDiv w:val="1"/>
      <w:marLeft w:val="0"/>
      <w:marRight w:val="0"/>
      <w:marTop w:val="0"/>
      <w:marBottom w:val="0"/>
      <w:divBdr>
        <w:top w:val="none" w:sz="0" w:space="0" w:color="auto"/>
        <w:left w:val="none" w:sz="0" w:space="0" w:color="auto"/>
        <w:bottom w:val="none" w:sz="0" w:space="0" w:color="auto"/>
        <w:right w:val="none" w:sz="0" w:space="0" w:color="auto"/>
      </w:divBdr>
    </w:div>
    <w:div w:id="1946570960">
      <w:bodyDiv w:val="1"/>
      <w:marLeft w:val="0"/>
      <w:marRight w:val="0"/>
      <w:marTop w:val="0"/>
      <w:marBottom w:val="0"/>
      <w:divBdr>
        <w:top w:val="none" w:sz="0" w:space="0" w:color="auto"/>
        <w:left w:val="none" w:sz="0" w:space="0" w:color="auto"/>
        <w:bottom w:val="none" w:sz="0" w:space="0" w:color="auto"/>
        <w:right w:val="none" w:sz="0" w:space="0" w:color="auto"/>
      </w:divBdr>
    </w:div>
    <w:div w:id="1956405547">
      <w:bodyDiv w:val="1"/>
      <w:marLeft w:val="0"/>
      <w:marRight w:val="0"/>
      <w:marTop w:val="0"/>
      <w:marBottom w:val="0"/>
      <w:divBdr>
        <w:top w:val="none" w:sz="0" w:space="0" w:color="auto"/>
        <w:left w:val="none" w:sz="0" w:space="0" w:color="auto"/>
        <w:bottom w:val="none" w:sz="0" w:space="0" w:color="auto"/>
        <w:right w:val="none" w:sz="0" w:space="0" w:color="auto"/>
      </w:divBdr>
    </w:div>
    <w:div w:id="1984890045">
      <w:bodyDiv w:val="1"/>
      <w:marLeft w:val="0"/>
      <w:marRight w:val="0"/>
      <w:marTop w:val="0"/>
      <w:marBottom w:val="0"/>
      <w:divBdr>
        <w:top w:val="none" w:sz="0" w:space="0" w:color="auto"/>
        <w:left w:val="none" w:sz="0" w:space="0" w:color="auto"/>
        <w:bottom w:val="none" w:sz="0" w:space="0" w:color="auto"/>
        <w:right w:val="none" w:sz="0" w:space="0" w:color="auto"/>
      </w:divBdr>
    </w:div>
    <w:div w:id="1985042476">
      <w:bodyDiv w:val="1"/>
      <w:marLeft w:val="0"/>
      <w:marRight w:val="0"/>
      <w:marTop w:val="0"/>
      <w:marBottom w:val="0"/>
      <w:divBdr>
        <w:top w:val="none" w:sz="0" w:space="0" w:color="auto"/>
        <w:left w:val="none" w:sz="0" w:space="0" w:color="auto"/>
        <w:bottom w:val="none" w:sz="0" w:space="0" w:color="auto"/>
        <w:right w:val="none" w:sz="0" w:space="0" w:color="auto"/>
      </w:divBdr>
    </w:div>
    <w:div w:id="1990207015">
      <w:bodyDiv w:val="1"/>
      <w:marLeft w:val="0"/>
      <w:marRight w:val="0"/>
      <w:marTop w:val="0"/>
      <w:marBottom w:val="0"/>
      <w:divBdr>
        <w:top w:val="none" w:sz="0" w:space="0" w:color="auto"/>
        <w:left w:val="none" w:sz="0" w:space="0" w:color="auto"/>
        <w:bottom w:val="none" w:sz="0" w:space="0" w:color="auto"/>
        <w:right w:val="none" w:sz="0" w:space="0" w:color="auto"/>
      </w:divBdr>
    </w:div>
    <w:div w:id="1995251968">
      <w:bodyDiv w:val="1"/>
      <w:marLeft w:val="0"/>
      <w:marRight w:val="0"/>
      <w:marTop w:val="0"/>
      <w:marBottom w:val="0"/>
      <w:divBdr>
        <w:top w:val="none" w:sz="0" w:space="0" w:color="auto"/>
        <w:left w:val="none" w:sz="0" w:space="0" w:color="auto"/>
        <w:bottom w:val="none" w:sz="0" w:space="0" w:color="auto"/>
        <w:right w:val="none" w:sz="0" w:space="0" w:color="auto"/>
      </w:divBdr>
    </w:div>
    <w:div w:id="1995839847">
      <w:bodyDiv w:val="1"/>
      <w:marLeft w:val="0"/>
      <w:marRight w:val="0"/>
      <w:marTop w:val="0"/>
      <w:marBottom w:val="0"/>
      <w:divBdr>
        <w:top w:val="none" w:sz="0" w:space="0" w:color="auto"/>
        <w:left w:val="none" w:sz="0" w:space="0" w:color="auto"/>
        <w:bottom w:val="none" w:sz="0" w:space="0" w:color="auto"/>
        <w:right w:val="none" w:sz="0" w:space="0" w:color="auto"/>
      </w:divBdr>
    </w:div>
    <w:div w:id="2013725713">
      <w:bodyDiv w:val="1"/>
      <w:marLeft w:val="0"/>
      <w:marRight w:val="0"/>
      <w:marTop w:val="0"/>
      <w:marBottom w:val="0"/>
      <w:divBdr>
        <w:top w:val="none" w:sz="0" w:space="0" w:color="auto"/>
        <w:left w:val="none" w:sz="0" w:space="0" w:color="auto"/>
        <w:bottom w:val="none" w:sz="0" w:space="0" w:color="auto"/>
        <w:right w:val="none" w:sz="0" w:space="0" w:color="auto"/>
      </w:divBdr>
    </w:div>
    <w:div w:id="2036882605">
      <w:bodyDiv w:val="1"/>
      <w:marLeft w:val="0"/>
      <w:marRight w:val="0"/>
      <w:marTop w:val="0"/>
      <w:marBottom w:val="0"/>
      <w:divBdr>
        <w:top w:val="none" w:sz="0" w:space="0" w:color="auto"/>
        <w:left w:val="none" w:sz="0" w:space="0" w:color="auto"/>
        <w:bottom w:val="none" w:sz="0" w:space="0" w:color="auto"/>
        <w:right w:val="none" w:sz="0" w:space="0" w:color="auto"/>
      </w:divBdr>
    </w:div>
    <w:div w:id="2042320521">
      <w:bodyDiv w:val="1"/>
      <w:marLeft w:val="0"/>
      <w:marRight w:val="0"/>
      <w:marTop w:val="0"/>
      <w:marBottom w:val="0"/>
      <w:divBdr>
        <w:top w:val="none" w:sz="0" w:space="0" w:color="auto"/>
        <w:left w:val="none" w:sz="0" w:space="0" w:color="auto"/>
        <w:bottom w:val="none" w:sz="0" w:space="0" w:color="auto"/>
        <w:right w:val="none" w:sz="0" w:space="0" w:color="auto"/>
      </w:divBdr>
    </w:div>
    <w:div w:id="2047639435">
      <w:bodyDiv w:val="1"/>
      <w:marLeft w:val="0"/>
      <w:marRight w:val="0"/>
      <w:marTop w:val="0"/>
      <w:marBottom w:val="0"/>
      <w:divBdr>
        <w:top w:val="none" w:sz="0" w:space="0" w:color="auto"/>
        <w:left w:val="none" w:sz="0" w:space="0" w:color="auto"/>
        <w:bottom w:val="none" w:sz="0" w:space="0" w:color="auto"/>
        <w:right w:val="none" w:sz="0" w:space="0" w:color="auto"/>
      </w:divBdr>
    </w:div>
    <w:div w:id="2051419800">
      <w:bodyDiv w:val="1"/>
      <w:marLeft w:val="0"/>
      <w:marRight w:val="0"/>
      <w:marTop w:val="0"/>
      <w:marBottom w:val="0"/>
      <w:divBdr>
        <w:top w:val="none" w:sz="0" w:space="0" w:color="auto"/>
        <w:left w:val="none" w:sz="0" w:space="0" w:color="auto"/>
        <w:bottom w:val="none" w:sz="0" w:space="0" w:color="auto"/>
        <w:right w:val="none" w:sz="0" w:space="0" w:color="auto"/>
      </w:divBdr>
    </w:div>
    <w:div w:id="2070881356">
      <w:bodyDiv w:val="1"/>
      <w:marLeft w:val="0"/>
      <w:marRight w:val="0"/>
      <w:marTop w:val="0"/>
      <w:marBottom w:val="0"/>
      <w:divBdr>
        <w:top w:val="none" w:sz="0" w:space="0" w:color="auto"/>
        <w:left w:val="none" w:sz="0" w:space="0" w:color="auto"/>
        <w:bottom w:val="none" w:sz="0" w:space="0" w:color="auto"/>
        <w:right w:val="none" w:sz="0" w:space="0" w:color="auto"/>
      </w:divBdr>
    </w:div>
    <w:div w:id="2079816881">
      <w:bodyDiv w:val="1"/>
      <w:marLeft w:val="0"/>
      <w:marRight w:val="0"/>
      <w:marTop w:val="0"/>
      <w:marBottom w:val="0"/>
      <w:divBdr>
        <w:top w:val="none" w:sz="0" w:space="0" w:color="auto"/>
        <w:left w:val="none" w:sz="0" w:space="0" w:color="auto"/>
        <w:bottom w:val="none" w:sz="0" w:space="0" w:color="auto"/>
        <w:right w:val="none" w:sz="0" w:space="0" w:color="auto"/>
      </w:divBdr>
      <w:divsChild>
        <w:div w:id="1220164715">
          <w:marLeft w:val="0"/>
          <w:marRight w:val="0"/>
          <w:marTop w:val="0"/>
          <w:marBottom w:val="0"/>
          <w:divBdr>
            <w:top w:val="none" w:sz="0" w:space="0" w:color="auto"/>
            <w:left w:val="none" w:sz="0" w:space="0" w:color="auto"/>
            <w:bottom w:val="none" w:sz="0" w:space="0" w:color="auto"/>
            <w:right w:val="none" w:sz="0" w:space="0" w:color="auto"/>
          </w:divBdr>
          <w:divsChild>
            <w:div w:id="1351881544">
              <w:marLeft w:val="0"/>
              <w:marRight w:val="0"/>
              <w:marTop w:val="0"/>
              <w:marBottom w:val="0"/>
              <w:divBdr>
                <w:top w:val="none" w:sz="0" w:space="0" w:color="auto"/>
                <w:left w:val="none" w:sz="0" w:space="0" w:color="auto"/>
                <w:bottom w:val="none" w:sz="0" w:space="0" w:color="auto"/>
                <w:right w:val="none" w:sz="0" w:space="0" w:color="auto"/>
              </w:divBdr>
              <w:divsChild>
                <w:div w:id="5166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0107">
      <w:bodyDiv w:val="1"/>
      <w:marLeft w:val="0"/>
      <w:marRight w:val="0"/>
      <w:marTop w:val="0"/>
      <w:marBottom w:val="0"/>
      <w:divBdr>
        <w:top w:val="none" w:sz="0" w:space="0" w:color="auto"/>
        <w:left w:val="none" w:sz="0" w:space="0" w:color="auto"/>
        <w:bottom w:val="none" w:sz="0" w:space="0" w:color="auto"/>
        <w:right w:val="none" w:sz="0" w:space="0" w:color="auto"/>
      </w:divBdr>
    </w:div>
    <w:div w:id="2107146016">
      <w:bodyDiv w:val="1"/>
      <w:marLeft w:val="0"/>
      <w:marRight w:val="0"/>
      <w:marTop w:val="0"/>
      <w:marBottom w:val="0"/>
      <w:divBdr>
        <w:top w:val="none" w:sz="0" w:space="0" w:color="auto"/>
        <w:left w:val="none" w:sz="0" w:space="0" w:color="auto"/>
        <w:bottom w:val="none" w:sz="0" w:space="0" w:color="auto"/>
        <w:right w:val="none" w:sz="0" w:space="0" w:color="auto"/>
      </w:divBdr>
    </w:div>
    <w:div w:id="2142990413">
      <w:bodyDiv w:val="1"/>
      <w:marLeft w:val="0"/>
      <w:marRight w:val="0"/>
      <w:marTop w:val="0"/>
      <w:marBottom w:val="0"/>
      <w:divBdr>
        <w:top w:val="none" w:sz="0" w:space="0" w:color="auto"/>
        <w:left w:val="none" w:sz="0" w:space="0" w:color="auto"/>
        <w:bottom w:val="none" w:sz="0" w:space="0" w:color="auto"/>
        <w:right w:val="none" w:sz="0" w:space="0" w:color="auto"/>
      </w:divBdr>
      <w:divsChild>
        <w:div w:id="1112015115">
          <w:marLeft w:val="0"/>
          <w:marRight w:val="0"/>
          <w:marTop w:val="0"/>
          <w:marBottom w:val="0"/>
          <w:divBdr>
            <w:top w:val="none" w:sz="0" w:space="0" w:color="auto"/>
            <w:left w:val="none" w:sz="0" w:space="0" w:color="auto"/>
            <w:bottom w:val="none" w:sz="0" w:space="0" w:color="auto"/>
            <w:right w:val="none" w:sz="0" w:space="0" w:color="auto"/>
          </w:divBdr>
          <w:divsChild>
            <w:div w:id="456681397">
              <w:marLeft w:val="0"/>
              <w:marRight w:val="0"/>
              <w:marTop w:val="0"/>
              <w:marBottom w:val="0"/>
              <w:divBdr>
                <w:top w:val="none" w:sz="0" w:space="0" w:color="auto"/>
                <w:left w:val="none" w:sz="0" w:space="0" w:color="auto"/>
                <w:bottom w:val="none" w:sz="0" w:space="0" w:color="auto"/>
                <w:right w:val="none" w:sz="0" w:space="0" w:color="auto"/>
              </w:divBdr>
              <w:divsChild>
                <w:div w:id="14779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2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puc.ca.gov/about-cpuc/divisions/news-and-public-information-office/consumer-affairs-bran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appsssl.cpuc.ca.gov/cpucapplic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ddirector@cpuc.ca.gov"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3" Type="http://schemas.openxmlformats.org/officeDocument/2006/relationships/hyperlink" Target="https://www.cdcr.ca.gov/news/2021/03/01/california-department-of-corrections-and-rehabilitation-announces-reduced-cost-of-telephone-calls-for-incarcerated-population/" TargetMode="External"/><Relationship Id="rId18" Type="http://schemas.openxmlformats.org/officeDocument/2006/relationships/hyperlink" Target="https://www.prisonpolicy.org/phones/state_of_phone_justice.html" TargetMode="External"/><Relationship Id="rId26" Type="http://schemas.openxmlformats.org/officeDocument/2006/relationships/hyperlink" Target="https://www.prisonpolicy.org/phones/state_of_phone_justice.html" TargetMode="External"/><Relationship Id="rId3" Type="http://schemas.openxmlformats.org/officeDocument/2006/relationships/hyperlink" Target="https://www.bop.gov/" TargetMode="External"/><Relationship Id="rId21" Type="http://schemas.openxmlformats.org/officeDocument/2006/relationships/hyperlink" Target="https://www.state.nj.us/corrections/pages/OffenderInformation.html" TargetMode="External"/><Relationship Id="rId7" Type="http://schemas.openxmlformats.org/officeDocument/2006/relationships/hyperlink" Target="https://www.ppic.org/wpcontent/uploads/JTF_CountyJailsJTF.pdf" TargetMode="External"/><Relationship Id="rId12" Type="http://schemas.openxmlformats.org/officeDocument/2006/relationships/hyperlink" Target="https://www.naruc.org/about-naruc/pressreleases/naruc-urges-members-to-review-inmate-calling-rates/" TargetMode="External"/><Relationship Id="rId17" Type="http://schemas.openxmlformats.org/officeDocument/2006/relationships/hyperlink" Target="https://www.njspotlight.com/2016/07/16-06-30-making-sure-the-cost-of-phone-calls-from-prison-isn-t-punishingly-high/" TargetMode="External"/><Relationship Id="rId25" Type="http://schemas.openxmlformats.org/officeDocument/2006/relationships/hyperlink" Target="https://www.classaction.org/media/albert-et-al-v-global-tel-link-corp-et-al.pdf" TargetMode="External"/><Relationship Id="rId33" Type="http://schemas.openxmlformats.org/officeDocument/2006/relationships/hyperlink" Target="https://oehha.ca.gov/calenviroscreen" TargetMode="External"/><Relationship Id="rId2" Type="http://schemas.openxmlformats.org/officeDocument/2006/relationships/hyperlink" Target="https://www.prisonpolicy.org/reports/income.html" TargetMode="External"/><Relationship Id="rId16" Type="http://schemas.openxmlformats.org/officeDocument/2006/relationships/hyperlink" Target="http://www.justice.gov/atr/public/guidelines/hmg-2010.pdf" TargetMode="External"/><Relationship Id="rId20" Type="http://schemas.openxmlformats.org/officeDocument/2006/relationships/hyperlink" Target="https://www.njleg.state.nj.us/2016/Bills/PL16/37_.PDF" TargetMode="External"/><Relationship Id="rId29" Type="http://schemas.openxmlformats.org/officeDocument/2006/relationships/hyperlink" Target="https://www.ppic.org/publication/californias-prison-population/" TargetMode="External"/><Relationship Id="rId1" Type="http://schemas.openxmlformats.org/officeDocument/2006/relationships/hyperlink" Target="http://www.whopaysreport.org/who-paysfull-report/" TargetMode="External"/><Relationship Id="rId6" Type="http://schemas.openxmlformats.org/officeDocument/2006/relationships/hyperlink" Target="https://caleprocure.ca.gov/PSRelay/ZZ_PO.ZZ_CTR_SUP_CMP.GBL?Page=ZZ_CTR_SUP_PG&amp;Action=U&amp;SETID=STATE&amp;CNTRCT_ID=C5610009" TargetMode="External"/><Relationship Id="rId11" Type="http://schemas.openxmlformats.org/officeDocument/2006/relationships/hyperlink" Target="https://docs.fcc.gov/public/attachments/DOC-365619A1.pdf" TargetMode="External"/><Relationship Id="rId24" Type="http://schemas.openxmlformats.org/officeDocument/2006/relationships/hyperlink" Target="https://www.prisonphonejustice.org/2020/TX/tx-dallas-county-securus-contract-2020-2025/" TargetMode="External"/><Relationship Id="rId32" Type="http://schemas.openxmlformats.org/officeDocument/2006/relationships/hyperlink" Target="https://www.cpuc.ca.gov/ESJactionplan/" TargetMode="External"/><Relationship Id="rId5" Type="http://schemas.openxmlformats.org/officeDocument/2006/relationships/hyperlink" Target="https://www.cdcr.ca.gov/facility-locator/" TargetMode="External"/><Relationship Id="rId15" Type="http://schemas.openxmlformats.org/officeDocument/2006/relationships/hyperlink" Target="https://apps.cpuc.ca.gov/apex/f?p=401:68:0::NO" TargetMode="External"/><Relationship Id="rId23" Type="http://schemas.openxmlformats.org/officeDocument/2006/relationships/hyperlink" Target="http://publici.ucimc.org/2019/04/illinois-prison-phone-rates-are-lowest-following-grassroots-activism/" TargetMode="External"/><Relationship Id="rId28" Type="http://schemas.openxmlformats.org/officeDocument/2006/relationships/hyperlink" Target="https://www.vera.org/downloads/pdfdownloads/state-incarceration-trends-california.pdf" TargetMode="External"/><Relationship Id="rId10" Type="http://schemas.openxmlformats.org/officeDocument/2006/relationships/hyperlink" Target="https://www.gov.ca.gov/wp-content/uploads/2020/09/SB-555.pdf" TargetMode="External"/><Relationship Id="rId19" Type="http://schemas.openxmlformats.org/officeDocument/2006/relationships/hyperlink" Target="https://www.govtrack.us/congress/bills/116/hr6389/text" TargetMode="External"/><Relationship Id="rId31" Type="http://schemas.openxmlformats.org/officeDocument/2006/relationships/hyperlink" Target="https://www.prisonpolicy.org/reports/income.html" TargetMode="External"/><Relationship Id="rId4" Type="http://schemas.openxmlformats.org/officeDocument/2006/relationships/hyperlink" Target="https://www.bop.gov/locations/list.jsp" TargetMode="External"/><Relationship Id="rId9" Type="http://schemas.openxmlformats.org/officeDocument/2006/relationships/hyperlink" Target="https://www.fcc.gov/sites/default/files/inmate_telephone_service.pdf" TargetMode="External"/><Relationship Id="rId14" Type="http://schemas.openxmlformats.org/officeDocument/2006/relationships/hyperlink" Target="https://caleprocure.ca.gov/PSRelay/ZZ_PO.ZZ_CTR_SUP_CMP.GBL?Page=ZZ_CTR_SUP_PG&amp;Action=U&amp;SETID=STATE&amp;CNTRCT_ID=C5610009" TargetMode="External"/><Relationship Id="rId22" Type="http://schemas.openxmlformats.org/officeDocument/2006/relationships/hyperlink" Target="https://www.prisonphonejustice.org/2018/IL/securus-contract-2018-2021/" TargetMode="External"/><Relationship Id="rId27" Type="http://schemas.openxmlformats.org/officeDocument/2006/relationships/hyperlink" Target="https://docs.cpuc.ca.gov/PublishedDocs/Published/G000/M216/K795/216795045.PDF" TargetMode="External"/><Relationship Id="rId30" Type="http://schemas.openxmlformats.org/officeDocument/2006/relationships/hyperlink" Target="http://www.whopaysreport.org/who-paysfull-report/" TargetMode="External"/><Relationship Id="rId8" Type="http://schemas.openxmlformats.org/officeDocument/2006/relationships/hyperlink" Target="https://www.bscc.ca.gov/m_dataresearc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apuc-my.sharepoint.com/personal/cathleen_fogel_cpuc_ca_gov/Documents/R2010002-%20Inmate%20Calling%20Services/Comments%20on%20Staff%20Proposal/Recreation%20of%20Cal%20Advocates%20tables%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Chart!$A$2:$B$16</c:f>
              <c:multiLvlStrCache>
                <c:ptCount val="15"/>
                <c:lvl>
                  <c:pt idx="0">
                    <c:v>Minimum</c:v>
                  </c:pt>
                  <c:pt idx="1">
                    <c:v>Average</c:v>
                  </c:pt>
                  <c:pt idx="2">
                    <c:v>Maximum</c:v>
                  </c:pt>
                  <c:pt idx="4">
                    <c:v>Minimum</c:v>
                  </c:pt>
                  <c:pt idx="5">
                    <c:v>Average</c:v>
                  </c:pt>
                  <c:pt idx="6">
                    <c:v>Maximum</c:v>
                  </c:pt>
                  <c:pt idx="8">
                    <c:v>Minimum</c:v>
                  </c:pt>
                  <c:pt idx="9">
                    <c:v>Average</c:v>
                  </c:pt>
                  <c:pt idx="10">
                    <c:v>Maximum</c:v>
                  </c:pt>
                  <c:pt idx="12">
                    <c:v>Minimum</c:v>
                  </c:pt>
                  <c:pt idx="13">
                    <c:v>Average</c:v>
                  </c:pt>
                  <c:pt idx="14">
                    <c:v>Maximum</c:v>
                  </c:pt>
                </c:lvl>
                <c:lvl>
                  <c:pt idx="0">
                    <c:v>Federal Prison</c:v>
                  </c:pt>
                  <c:pt idx="4">
                    <c:v>State Prison</c:v>
                  </c:pt>
                  <c:pt idx="8">
                    <c:v>County Jail</c:v>
                  </c:pt>
                  <c:pt idx="12">
                    <c:v>Local Jail</c:v>
                  </c:pt>
                </c:lvl>
              </c:multiLvlStrCache>
            </c:multiLvlStrRef>
          </c:cat>
          <c:val>
            <c:numRef>
              <c:f>Chart!$C$2:$C$16</c:f>
              <c:numCache>
                <c:formatCode>"$"#,##0.00_);[Red]\("$"#,##0.00\)</c:formatCode>
                <c:ptCount val="15"/>
                <c:pt idx="0">
                  <c:v>0.17</c:v>
                </c:pt>
                <c:pt idx="1">
                  <c:v>0.17</c:v>
                </c:pt>
                <c:pt idx="2">
                  <c:v>0.21</c:v>
                </c:pt>
                <c:pt idx="4" formatCode="&quot;$&quot;#,##0.000_);[Red]\(&quot;$&quot;#,##0.000\)">
                  <c:v>2.5000000000000001E-2</c:v>
                </c:pt>
                <c:pt idx="5" formatCode="&quot;$&quot;#,##0.000_);[Red]\(&quot;$&quot;#,##0.000\)">
                  <c:v>2.5000000000000001E-2</c:v>
                </c:pt>
                <c:pt idx="6" formatCode="&quot;$&quot;#,##0.000_);[Red]\(&quot;$&quot;#,##0.000\)">
                  <c:v>2.5000000000000001E-2</c:v>
                </c:pt>
                <c:pt idx="9">
                  <c:v>0.31</c:v>
                </c:pt>
                <c:pt idx="10">
                  <c:v>3.65</c:v>
                </c:pt>
                <c:pt idx="12">
                  <c:v>0.21</c:v>
                </c:pt>
                <c:pt idx="13">
                  <c:v>0.27</c:v>
                </c:pt>
                <c:pt idx="14">
                  <c:v>0.91</c:v>
                </c:pt>
              </c:numCache>
            </c:numRef>
          </c:val>
          <c:extLst>
            <c:ext xmlns:c16="http://schemas.microsoft.com/office/drawing/2014/chart" uri="{C3380CC4-5D6E-409C-BE32-E72D297353CC}">
              <c16:uniqueId val="{00000000-1670-AB4B-8915-62F87324F37B}"/>
            </c:ext>
          </c:extLst>
        </c:ser>
        <c:dLbls>
          <c:dLblPos val="outEnd"/>
          <c:showLegendKey val="0"/>
          <c:showVal val="1"/>
          <c:showCatName val="0"/>
          <c:showSerName val="0"/>
          <c:showPercent val="0"/>
          <c:showBubbleSize val="0"/>
        </c:dLbls>
        <c:gapWidth val="219"/>
        <c:overlap val="-27"/>
        <c:axId val="243297871"/>
        <c:axId val="243609231"/>
      </c:barChart>
      <c:catAx>
        <c:axId val="243297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609231"/>
        <c:crosses val="autoZero"/>
        <c:auto val="1"/>
        <c:lblAlgn val="ctr"/>
        <c:lblOffset val="100"/>
        <c:noMultiLvlLbl val="0"/>
      </c:catAx>
      <c:valAx>
        <c:axId val="243609231"/>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297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0F43-E299-4AB8-8D84-0EA4E7F3522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131</ap:Pages>
  <ap:Words>29419</ap:Words>
  <ap:Characters>167694</ap:Characters>
  <ap:Application>Microsoft Office Word</ap:Application>
  <ap:DocSecurity>0</ap:DocSecurity>
  <ap:Lines>1397</ap:Lines>
  <ap:Paragraphs>393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196720</ap:CharactersWithSpaces>
  <ap:SharedDoc>false</ap:SharedDoc>
  <ap:HLinks>
    <vt:vector baseType="variant" size="510">
      <vt:variant>
        <vt:i4>6946842</vt:i4>
      </vt:variant>
      <vt:variant>
        <vt:i4>303</vt:i4>
      </vt:variant>
      <vt:variant>
        <vt:i4>0</vt:i4>
      </vt:variant>
      <vt:variant>
        <vt:i4>5</vt:i4>
      </vt:variant>
      <vt:variant>
        <vt:lpwstr>mailto:cddirector@cpuc.ca.gov</vt:lpwstr>
      </vt:variant>
      <vt:variant>
        <vt:lpwstr/>
      </vt:variant>
      <vt:variant>
        <vt:i4>3080290</vt:i4>
      </vt:variant>
      <vt:variant>
        <vt:i4>300</vt:i4>
      </vt:variant>
      <vt:variant>
        <vt:i4>0</vt:i4>
      </vt:variant>
      <vt:variant>
        <vt:i4>5</vt:i4>
      </vt:variant>
      <vt:variant>
        <vt:lpwstr>https://www.cpuc.ca.gov/about-cpuc/divisions/news-and-public-information-office/consumer-affairs-branch</vt:lpwstr>
      </vt:variant>
      <vt:variant>
        <vt:lpwstr/>
      </vt:variant>
      <vt:variant>
        <vt:i4>589838</vt:i4>
      </vt:variant>
      <vt:variant>
        <vt:i4>297</vt:i4>
      </vt:variant>
      <vt:variant>
        <vt:i4>0</vt:i4>
      </vt:variant>
      <vt:variant>
        <vt:i4>5</vt:i4>
      </vt:variant>
      <vt:variant>
        <vt:lpwstr>https://appsssl.cpuc.ca.gov/cpucapplication/</vt:lpwstr>
      </vt:variant>
      <vt:variant>
        <vt:lpwstr/>
      </vt:variant>
      <vt:variant>
        <vt:i4>1507390</vt:i4>
      </vt:variant>
      <vt:variant>
        <vt:i4>290</vt:i4>
      </vt:variant>
      <vt:variant>
        <vt:i4>0</vt:i4>
      </vt:variant>
      <vt:variant>
        <vt:i4>5</vt:i4>
      </vt:variant>
      <vt:variant>
        <vt:lpwstr/>
      </vt:variant>
      <vt:variant>
        <vt:lpwstr>_Toc76983638</vt:lpwstr>
      </vt:variant>
      <vt:variant>
        <vt:i4>1572926</vt:i4>
      </vt:variant>
      <vt:variant>
        <vt:i4>284</vt:i4>
      </vt:variant>
      <vt:variant>
        <vt:i4>0</vt:i4>
      </vt:variant>
      <vt:variant>
        <vt:i4>5</vt:i4>
      </vt:variant>
      <vt:variant>
        <vt:lpwstr/>
      </vt:variant>
      <vt:variant>
        <vt:lpwstr>_Toc76983637</vt:lpwstr>
      </vt:variant>
      <vt:variant>
        <vt:i4>1638462</vt:i4>
      </vt:variant>
      <vt:variant>
        <vt:i4>278</vt:i4>
      </vt:variant>
      <vt:variant>
        <vt:i4>0</vt:i4>
      </vt:variant>
      <vt:variant>
        <vt:i4>5</vt:i4>
      </vt:variant>
      <vt:variant>
        <vt:lpwstr/>
      </vt:variant>
      <vt:variant>
        <vt:lpwstr>_Toc76983636</vt:lpwstr>
      </vt:variant>
      <vt:variant>
        <vt:i4>1703998</vt:i4>
      </vt:variant>
      <vt:variant>
        <vt:i4>272</vt:i4>
      </vt:variant>
      <vt:variant>
        <vt:i4>0</vt:i4>
      </vt:variant>
      <vt:variant>
        <vt:i4>5</vt:i4>
      </vt:variant>
      <vt:variant>
        <vt:lpwstr/>
      </vt:variant>
      <vt:variant>
        <vt:lpwstr>_Toc76983635</vt:lpwstr>
      </vt:variant>
      <vt:variant>
        <vt:i4>1769534</vt:i4>
      </vt:variant>
      <vt:variant>
        <vt:i4>266</vt:i4>
      </vt:variant>
      <vt:variant>
        <vt:i4>0</vt:i4>
      </vt:variant>
      <vt:variant>
        <vt:i4>5</vt:i4>
      </vt:variant>
      <vt:variant>
        <vt:lpwstr/>
      </vt:variant>
      <vt:variant>
        <vt:lpwstr>_Toc76983634</vt:lpwstr>
      </vt:variant>
      <vt:variant>
        <vt:i4>1835070</vt:i4>
      </vt:variant>
      <vt:variant>
        <vt:i4>260</vt:i4>
      </vt:variant>
      <vt:variant>
        <vt:i4>0</vt:i4>
      </vt:variant>
      <vt:variant>
        <vt:i4>5</vt:i4>
      </vt:variant>
      <vt:variant>
        <vt:lpwstr/>
      </vt:variant>
      <vt:variant>
        <vt:lpwstr>_Toc76983633</vt:lpwstr>
      </vt:variant>
      <vt:variant>
        <vt:i4>1900606</vt:i4>
      </vt:variant>
      <vt:variant>
        <vt:i4>254</vt:i4>
      </vt:variant>
      <vt:variant>
        <vt:i4>0</vt:i4>
      </vt:variant>
      <vt:variant>
        <vt:i4>5</vt:i4>
      </vt:variant>
      <vt:variant>
        <vt:lpwstr/>
      </vt:variant>
      <vt:variant>
        <vt:lpwstr>_Toc76983632</vt:lpwstr>
      </vt:variant>
      <vt:variant>
        <vt:i4>1966142</vt:i4>
      </vt:variant>
      <vt:variant>
        <vt:i4>248</vt:i4>
      </vt:variant>
      <vt:variant>
        <vt:i4>0</vt:i4>
      </vt:variant>
      <vt:variant>
        <vt:i4>5</vt:i4>
      </vt:variant>
      <vt:variant>
        <vt:lpwstr/>
      </vt:variant>
      <vt:variant>
        <vt:lpwstr>_Toc76983631</vt:lpwstr>
      </vt:variant>
      <vt:variant>
        <vt:i4>2031678</vt:i4>
      </vt:variant>
      <vt:variant>
        <vt:i4>242</vt:i4>
      </vt:variant>
      <vt:variant>
        <vt:i4>0</vt:i4>
      </vt:variant>
      <vt:variant>
        <vt:i4>5</vt:i4>
      </vt:variant>
      <vt:variant>
        <vt:lpwstr/>
      </vt:variant>
      <vt:variant>
        <vt:lpwstr>_Toc76983630</vt:lpwstr>
      </vt:variant>
      <vt:variant>
        <vt:i4>1441855</vt:i4>
      </vt:variant>
      <vt:variant>
        <vt:i4>236</vt:i4>
      </vt:variant>
      <vt:variant>
        <vt:i4>0</vt:i4>
      </vt:variant>
      <vt:variant>
        <vt:i4>5</vt:i4>
      </vt:variant>
      <vt:variant>
        <vt:lpwstr/>
      </vt:variant>
      <vt:variant>
        <vt:lpwstr>_Toc76983629</vt:lpwstr>
      </vt:variant>
      <vt:variant>
        <vt:i4>1507391</vt:i4>
      </vt:variant>
      <vt:variant>
        <vt:i4>230</vt:i4>
      </vt:variant>
      <vt:variant>
        <vt:i4>0</vt:i4>
      </vt:variant>
      <vt:variant>
        <vt:i4>5</vt:i4>
      </vt:variant>
      <vt:variant>
        <vt:lpwstr/>
      </vt:variant>
      <vt:variant>
        <vt:lpwstr>_Toc76983628</vt:lpwstr>
      </vt:variant>
      <vt:variant>
        <vt:i4>1572927</vt:i4>
      </vt:variant>
      <vt:variant>
        <vt:i4>224</vt:i4>
      </vt:variant>
      <vt:variant>
        <vt:i4>0</vt:i4>
      </vt:variant>
      <vt:variant>
        <vt:i4>5</vt:i4>
      </vt:variant>
      <vt:variant>
        <vt:lpwstr/>
      </vt:variant>
      <vt:variant>
        <vt:lpwstr>_Toc76983627</vt:lpwstr>
      </vt:variant>
      <vt:variant>
        <vt:i4>1638463</vt:i4>
      </vt:variant>
      <vt:variant>
        <vt:i4>218</vt:i4>
      </vt:variant>
      <vt:variant>
        <vt:i4>0</vt:i4>
      </vt:variant>
      <vt:variant>
        <vt:i4>5</vt:i4>
      </vt:variant>
      <vt:variant>
        <vt:lpwstr/>
      </vt:variant>
      <vt:variant>
        <vt:lpwstr>_Toc76983626</vt:lpwstr>
      </vt:variant>
      <vt:variant>
        <vt:i4>1703999</vt:i4>
      </vt:variant>
      <vt:variant>
        <vt:i4>212</vt:i4>
      </vt:variant>
      <vt:variant>
        <vt:i4>0</vt:i4>
      </vt:variant>
      <vt:variant>
        <vt:i4>5</vt:i4>
      </vt:variant>
      <vt:variant>
        <vt:lpwstr/>
      </vt:variant>
      <vt:variant>
        <vt:lpwstr>_Toc76983625</vt:lpwstr>
      </vt:variant>
      <vt:variant>
        <vt:i4>1769535</vt:i4>
      </vt:variant>
      <vt:variant>
        <vt:i4>206</vt:i4>
      </vt:variant>
      <vt:variant>
        <vt:i4>0</vt:i4>
      </vt:variant>
      <vt:variant>
        <vt:i4>5</vt:i4>
      </vt:variant>
      <vt:variant>
        <vt:lpwstr/>
      </vt:variant>
      <vt:variant>
        <vt:lpwstr>_Toc76983624</vt:lpwstr>
      </vt:variant>
      <vt:variant>
        <vt:i4>1835071</vt:i4>
      </vt:variant>
      <vt:variant>
        <vt:i4>200</vt:i4>
      </vt:variant>
      <vt:variant>
        <vt:i4>0</vt:i4>
      </vt:variant>
      <vt:variant>
        <vt:i4>5</vt:i4>
      </vt:variant>
      <vt:variant>
        <vt:lpwstr/>
      </vt:variant>
      <vt:variant>
        <vt:lpwstr>_Toc76983623</vt:lpwstr>
      </vt:variant>
      <vt:variant>
        <vt:i4>1900607</vt:i4>
      </vt:variant>
      <vt:variant>
        <vt:i4>194</vt:i4>
      </vt:variant>
      <vt:variant>
        <vt:i4>0</vt:i4>
      </vt:variant>
      <vt:variant>
        <vt:i4>5</vt:i4>
      </vt:variant>
      <vt:variant>
        <vt:lpwstr/>
      </vt:variant>
      <vt:variant>
        <vt:lpwstr>_Toc76983622</vt:lpwstr>
      </vt:variant>
      <vt:variant>
        <vt:i4>1966143</vt:i4>
      </vt:variant>
      <vt:variant>
        <vt:i4>188</vt:i4>
      </vt:variant>
      <vt:variant>
        <vt:i4>0</vt:i4>
      </vt:variant>
      <vt:variant>
        <vt:i4>5</vt:i4>
      </vt:variant>
      <vt:variant>
        <vt:lpwstr/>
      </vt:variant>
      <vt:variant>
        <vt:lpwstr>_Toc76983621</vt:lpwstr>
      </vt:variant>
      <vt:variant>
        <vt:i4>2031679</vt:i4>
      </vt:variant>
      <vt:variant>
        <vt:i4>182</vt:i4>
      </vt:variant>
      <vt:variant>
        <vt:i4>0</vt:i4>
      </vt:variant>
      <vt:variant>
        <vt:i4>5</vt:i4>
      </vt:variant>
      <vt:variant>
        <vt:lpwstr/>
      </vt:variant>
      <vt:variant>
        <vt:lpwstr>_Toc76983620</vt:lpwstr>
      </vt:variant>
      <vt:variant>
        <vt:i4>1441852</vt:i4>
      </vt:variant>
      <vt:variant>
        <vt:i4>176</vt:i4>
      </vt:variant>
      <vt:variant>
        <vt:i4>0</vt:i4>
      </vt:variant>
      <vt:variant>
        <vt:i4>5</vt:i4>
      </vt:variant>
      <vt:variant>
        <vt:lpwstr/>
      </vt:variant>
      <vt:variant>
        <vt:lpwstr>_Toc76983619</vt:lpwstr>
      </vt:variant>
      <vt:variant>
        <vt:i4>1507388</vt:i4>
      </vt:variant>
      <vt:variant>
        <vt:i4>170</vt:i4>
      </vt:variant>
      <vt:variant>
        <vt:i4>0</vt:i4>
      </vt:variant>
      <vt:variant>
        <vt:i4>5</vt:i4>
      </vt:variant>
      <vt:variant>
        <vt:lpwstr/>
      </vt:variant>
      <vt:variant>
        <vt:lpwstr>_Toc76983618</vt:lpwstr>
      </vt:variant>
      <vt:variant>
        <vt:i4>1572924</vt:i4>
      </vt:variant>
      <vt:variant>
        <vt:i4>164</vt:i4>
      </vt:variant>
      <vt:variant>
        <vt:i4>0</vt:i4>
      </vt:variant>
      <vt:variant>
        <vt:i4>5</vt:i4>
      </vt:variant>
      <vt:variant>
        <vt:lpwstr/>
      </vt:variant>
      <vt:variant>
        <vt:lpwstr>_Toc76983617</vt:lpwstr>
      </vt:variant>
      <vt:variant>
        <vt:i4>1638460</vt:i4>
      </vt:variant>
      <vt:variant>
        <vt:i4>158</vt:i4>
      </vt:variant>
      <vt:variant>
        <vt:i4>0</vt:i4>
      </vt:variant>
      <vt:variant>
        <vt:i4>5</vt:i4>
      </vt:variant>
      <vt:variant>
        <vt:lpwstr/>
      </vt:variant>
      <vt:variant>
        <vt:lpwstr>_Toc76983616</vt:lpwstr>
      </vt:variant>
      <vt:variant>
        <vt:i4>1703996</vt:i4>
      </vt:variant>
      <vt:variant>
        <vt:i4>152</vt:i4>
      </vt:variant>
      <vt:variant>
        <vt:i4>0</vt:i4>
      </vt:variant>
      <vt:variant>
        <vt:i4>5</vt:i4>
      </vt:variant>
      <vt:variant>
        <vt:lpwstr/>
      </vt:variant>
      <vt:variant>
        <vt:lpwstr>_Toc76983615</vt:lpwstr>
      </vt:variant>
      <vt:variant>
        <vt:i4>1769532</vt:i4>
      </vt:variant>
      <vt:variant>
        <vt:i4>146</vt:i4>
      </vt:variant>
      <vt:variant>
        <vt:i4>0</vt:i4>
      </vt:variant>
      <vt:variant>
        <vt:i4>5</vt:i4>
      </vt:variant>
      <vt:variant>
        <vt:lpwstr/>
      </vt:variant>
      <vt:variant>
        <vt:lpwstr>_Toc76983614</vt:lpwstr>
      </vt:variant>
      <vt:variant>
        <vt:i4>1835068</vt:i4>
      </vt:variant>
      <vt:variant>
        <vt:i4>140</vt:i4>
      </vt:variant>
      <vt:variant>
        <vt:i4>0</vt:i4>
      </vt:variant>
      <vt:variant>
        <vt:i4>5</vt:i4>
      </vt:variant>
      <vt:variant>
        <vt:lpwstr/>
      </vt:variant>
      <vt:variant>
        <vt:lpwstr>_Toc76983613</vt:lpwstr>
      </vt:variant>
      <vt:variant>
        <vt:i4>1900604</vt:i4>
      </vt:variant>
      <vt:variant>
        <vt:i4>134</vt:i4>
      </vt:variant>
      <vt:variant>
        <vt:i4>0</vt:i4>
      </vt:variant>
      <vt:variant>
        <vt:i4>5</vt:i4>
      </vt:variant>
      <vt:variant>
        <vt:lpwstr/>
      </vt:variant>
      <vt:variant>
        <vt:lpwstr>_Toc76983612</vt:lpwstr>
      </vt:variant>
      <vt:variant>
        <vt:i4>1966140</vt:i4>
      </vt:variant>
      <vt:variant>
        <vt:i4>128</vt:i4>
      </vt:variant>
      <vt:variant>
        <vt:i4>0</vt:i4>
      </vt:variant>
      <vt:variant>
        <vt:i4>5</vt:i4>
      </vt:variant>
      <vt:variant>
        <vt:lpwstr/>
      </vt:variant>
      <vt:variant>
        <vt:lpwstr>_Toc76983611</vt:lpwstr>
      </vt:variant>
      <vt:variant>
        <vt:i4>2031676</vt:i4>
      </vt:variant>
      <vt:variant>
        <vt:i4>122</vt:i4>
      </vt:variant>
      <vt:variant>
        <vt:i4>0</vt:i4>
      </vt:variant>
      <vt:variant>
        <vt:i4>5</vt:i4>
      </vt:variant>
      <vt:variant>
        <vt:lpwstr/>
      </vt:variant>
      <vt:variant>
        <vt:lpwstr>_Toc76983610</vt:lpwstr>
      </vt:variant>
      <vt:variant>
        <vt:i4>1441853</vt:i4>
      </vt:variant>
      <vt:variant>
        <vt:i4>116</vt:i4>
      </vt:variant>
      <vt:variant>
        <vt:i4>0</vt:i4>
      </vt:variant>
      <vt:variant>
        <vt:i4>5</vt:i4>
      </vt:variant>
      <vt:variant>
        <vt:lpwstr/>
      </vt:variant>
      <vt:variant>
        <vt:lpwstr>_Toc76983609</vt:lpwstr>
      </vt:variant>
      <vt:variant>
        <vt:i4>1507389</vt:i4>
      </vt:variant>
      <vt:variant>
        <vt:i4>110</vt:i4>
      </vt:variant>
      <vt:variant>
        <vt:i4>0</vt:i4>
      </vt:variant>
      <vt:variant>
        <vt:i4>5</vt:i4>
      </vt:variant>
      <vt:variant>
        <vt:lpwstr/>
      </vt:variant>
      <vt:variant>
        <vt:lpwstr>_Toc76983608</vt:lpwstr>
      </vt:variant>
      <vt:variant>
        <vt:i4>1572925</vt:i4>
      </vt:variant>
      <vt:variant>
        <vt:i4>104</vt:i4>
      </vt:variant>
      <vt:variant>
        <vt:i4>0</vt:i4>
      </vt:variant>
      <vt:variant>
        <vt:i4>5</vt:i4>
      </vt:variant>
      <vt:variant>
        <vt:lpwstr/>
      </vt:variant>
      <vt:variant>
        <vt:lpwstr>_Toc76983607</vt:lpwstr>
      </vt:variant>
      <vt:variant>
        <vt:i4>1638461</vt:i4>
      </vt:variant>
      <vt:variant>
        <vt:i4>98</vt:i4>
      </vt:variant>
      <vt:variant>
        <vt:i4>0</vt:i4>
      </vt:variant>
      <vt:variant>
        <vt:i4>5</vt:i4>
      </vt:variant>
      <vt:variant>
        <vt:lpwstr/>
      </vt:variant>
      <vt:variant>
        <vt:lpwstr>_Toc76983606</vt:lpwstr>
      </vt:variant>
      <vt:variant>
        <vt:i4>1703997</vt:i4>
      </vt:variant>
      <vt:variant>
        <vt:i4>92</vt:i4>
      </vt:variant>
      <vt:variant>
        <vt:i4>0</vt:i4>
      </vt:variant>
      <vt:variant>
        <vt:i4>5</vt:i4>
      </vt:variant>
      <vt:variant>
        <vt:lpwstr/>
      </vt:variant>
      <vt:variant>
        <vt:lpwstr>_Toc76983605</vt:lpwstr>
      </vt:variant>
      <vt:variant>
        <vt:i4>1769533</vt:i4>
      </vt:variant>
      <vt:variant>
        <vt:i4>86</vt:i4>
      </vt:variant>
      <vt:variant>
        <vt:i4>0</vt:i4>
      </vt:variant>
      <vt:variant>
        <vt:i4>5</vt:i4>
      </vt:variant>
      <vt:variant>
        <vt:lpwstr/>
      </vt:variant>
      <vt:variant>
        <vt:lpwstr>_Toc76983604</vt:lpwstr>
      </vt:variant>
      <vt:variant>
        <vt:i4>1835069</vt:i4>
      </vt:variant>
      <vt:variant>
        <vt:i4>80</vt:i4>
      </vt:variant>
      <vt:variant>
        <vt:i4>0</vt:i4>
      </vt:variant>
      <vt:variant>
        <vt:i4>5</vt:i4>
      </vt:variant>
      <vt:variant>
        <vt:lpwstr/>
      </vt:variant>
      <vt:variant>
        <vt:lpwstr>_Toc76983603</vt:lpwstr>
      </vt:variant>
      <vt:variant>
        <vt:i4>1900605</vt:i4>
      </vt:variant>
      <vt:variant>
        <vt:i4>74</vt:i4>
      </vt:variant>
      <vt:variant>
        <vt:i4>0</vt:i4>
      </vt:variant>
      <vt:variant>
        <vt:i4>5</vt:i4>
      </vt:variant>
      <vt:variant>
        <vt:lpwstr/>
      </vt:variant>
      <vt:variant>
        <vt:lpwstr>_Toc76983602</vt:lpwstr>
      </vt:variant>
      <vt:variant>
        <vt:i4>1966141</vt:i4>
      </vt:variant>
      <vt:variant>
        <vt:i4>68</vt:i4>
      </vt:variant>
      <vt:variant>
        <vt:i4>0</vt:i4>
      </vt:variant>
      <vt:variant>
        <vt:i4>5</vt:i4>
      </vt:variant>
      <vt:variant>
        <vt:lpwstr/>
      </vt:variant>
      <vt:variant>
        <vt:lpwstr>_Toc76983601</vt:lpwstr>
      </vt:variant>
      <vt:variant>
        <vt:i4>2031677</vt:i4>
      </vt:variant>
      <vt:variant>
        <vt:i4>62</vt:i4>
      </vt:variant>
      <vt:variant>
        <vt:i4>0</vt:i4>
      </vt:variant>
      <vt:variant>
        <vt:i4>5</vt:i4>
      </vt:variant>
      <vt:variant>
        <vt:lpwstr/>
      </vt:variant>
      <vt:variant>
        <vt:lpwstr>_Toc76983600</vt:lpwstr>
      </vt:variant>
      <vt:variant>
        <vt:i4>1376308</vt:i4>
      </vt:variant>
      <vt:variant>
        <vt:i4>56</vt:i4>
      </vt:variant>
      <vt:variant>
        <vt:i4>0</vt:i4>
      </vt:variant>
      <vt:variant>
        <vt:i4>5</vt:i4>
      </vt:variant>
      <vt:variant>
        <vt:lpwstr/>
      </vt:variant>
      <vt:variant>
        <vt:lpwstr>_Toc76983599</vt:lpwstr>
      </vt:variant>
      <vt:variant>
        <vt:i4>1310772</vt:i4>
      </vt:variant>
      <vt:variant>
        <vt:i4>50</vt:i4>
      </vt:variant>
      <vt:variant>
        <vt:i4>0</vt:i4>
      </vt:variant>
      <vt:variant>
        <vt:i4>5</vt:i4>
      </vt:variant>
      <vt:variant>
        <vt:lpwstr/>
      </vt:variant>
      <vt:variant>
        <vt:lpwstr>_Toc76983598</vt:lpwstr>
      </vt:variant>
      <vt:variant>
        <vt:i4>1769524</vt:i4>
      </vt:variant>
      <vt:variant>
        <vt:i4>44</vt:i4>
      </vt:variant>
      <vt:variant>
        <vt:i4>0</vt:i4>
      </vt:variant>
      <vt:variant>
        <vt:i4>5</vt:i4>
      </vt:variant>
      <vt:variant>
        <vt:lpwstr/>
      </vt:variant>
      <vt:variant>
        <vt:lpwstr>_Toc76983597</vt:lpwstr>
      </vt:variant>
      <vt:variant>
        <vt:i4>1703988</vt:i4>
      </vt:variant>
      <vt:variant>
        <vt:i4>38</vt:i4>
      </vt:variant>
      <vt:variant>
        <vt:i4>0</vt:i4>
      </vt:variant>
      <vt:variant>
        <vt:i4>5</vt:i4>
      </vt:variant>
      <vt:variant>
        <vt:lpwstr/>
      </vt:variant>
      <vt:variant>
        <vt:lpwstr>_Toc76983596</vt:lpwstr>
      </vt:variant>
      <vt:variant>
        <vt:i4>1638452</vt:i4>
      </vt:variant>
      <vt:variant>
        <vt:i4>32</vt:i4>
      </vt:variant>
      <vt:variant>
        <vt:i4>0</vt:i4>
      </vt:variant>
      <vt:variant>
        <vt:i4>5</vt:i4>
      </vt:variant>
      <vt:variant>
        <vt:lpwstr/>
      </vt:variant>
      <vt:variant>
        <vt:lpwstr>_Toc76983595</vt:lpwstr>
      </vt:variant>
      <vt:variant>
        <vt:i4>1572916</vt:i4>
      </vt:variant>
      <vt:variant>
        <vt:i4>26</vt:i4>
      </vt:variant>
      <vt:variant>
        <vt:i4>0</vt:i4>
      </vt:variant>
      <vt:variant>
        <vt:i4>5</vt:i4>
      </vt:variant>
      <vt:variant>
        <vt:lpwstr/>
      </vt:variant>
      <vt:variant>
        <vt:lpwstr>_Toc76983594</vt:lpwstr>
      </vt:variant>
      <vt:variant>
        <vt:i4>2031668</vt:i4>
      </vt:variant>
      <vt:variant>
        <vt:i4>20</vt:i4>
      </vt:variant>
      <vt:variant>
        <vt:i4>0</vt:i4>
      </vt:variant>
      <vt:variant>
        <vt:i4>5</vt:i4>
      </vt:variant>
      <vt:variant>
        <vt:lpwstr/>
      </vt:variant>
      <vt:variant>
        <vt:lpwstr>_Toc76983593</vt:lpwstr>
      </vt:variant>
      <vt:variant>
        <vt:i4>1966132</vt:i4>
      </vt:variant>
      <vt:variant>
        <vt:i4>14</vt:i4>
      </vt:variant>
      <vt:variant>
        <vt:i4>0</vt:i4>
      </vt:variant>
      <vt:variant>
        <vt:i4>5</vt:i4>
      </vt:variant>
      <vt:variant>
        <vt:lpwstr/>
      </vt:variant>
      <vt:variant>
        <vt:lpwstr>_Toc76983592</vt:lpwstr>
      </vt:variant>
      <vt:variant>
        <vt:i4>1900596</vt:i4>
      </vt:variant>
      <vt:variant>
        <vt:i4>8</vt:i4>
      </vt:variant>
      <vt:variant>
        <vt:i4>0</vt:i4>
      </vt:variant>
      <vt:variant>
        <vt:i4>5</vt:i4>
      </vt:variant>
      <vt:variant>
        <vt:lpwstr/>
      </vt:variant>
      <vt:variant>
        <vt:lpwstr>_Toc76983591</vt:lpwstr>
      </vt:variant>
      <vt:variant>
        <vt:i4>1835060</vt:i4>
      </vt:variant>
      <vt:variant>
        <vt:i4>2</vt:i4>
      </vt:variant>
      <vt:variant>
        <vt:i4>0</vt:i4>
      </vt:variant>
      <vt:variant>
        <vt:i4>5</vt:i4>
      </vt:variant>
      <vt:variant>
        <vt:lpwstr/>
      </vt:variant>
      <vt:variant>
        <vt:lpwstr>_Toc76983590</vt:lpwstr>
      </vt:variant>
      <vt:variant>
        <vt:i4>5046351</vt:i4>
      </vt:variant>
      <vt:variant>
        <vt:i4>96</vt:i4>
      </vt:variant>
      <vt:variant>
        <vt:i4>0</vt:i4>
      </vt:variant>
      <vt:variant>
        <vt:i4>5</vt:i4>
      </vt:variant>
      <vt:variant>
        <vt:lpwstr>https://oehha.ca.gov/calenviroscreen</vt:lpwstr>
      </vt:variant>
      <vt:variant>
        <vt:lpwstr/>
      </vt:variant>
      <vt:variant>
        <vt:i4>6357089</vt:i4>
      </vt:variant>
      <vt:variant>
        <vt:i4>93</vt:i4>
      </vt:variant>
      <vt:variant>
        <vt:i4>0</vt:i4>
      </vt:variant>
      <vt:variant>
        <vt:i4>5</vt:i4>
      </vt:variant>
      <vt:variant>
        <vt:lpwstr>https://www.cpuc.ca.gov/ESJactionplan/</vt:lpwstr>
      </vt:variant>
      <vt:variant>
        <vt:lpwstr/>
      </vt:variant>
      <vt:variant>
        <vt:i4>131082</vt:i4>
      </vt:variant>
      <vt:variant>
        <vt:i4>90</vt:i4>
      </vt:variant>
      <vt:variant>
        <vt:i4>0</vt:i4>
      </vt:variant>
      <vt:variant>
        <vt:i4>5</vt:i4>
      </vt:variant>
      <vt:variant>
        <vt:lpwstr>https://www.prisonpolicy.org/reports/income.html</vt:lpwstr>
      </vt:variant>
      <vt:variant>
        <vt:lpwstr/>
      </vt:variant>
      <vt:variant>
        <vt:i4>2031628</vt:i4>
      </vt:variant>
      <vt:variant>
        <vt:i4>87</vt:i4>
      </vt:variant>
      <vt:variant>
        <vt:i4>0</vt:i4>
      </vt:variant>
      <vt:variant>
        <vt:i4>5</vt:i4>
      </vt:variant>
      <vt:variant>
        <vt:lpwstr>http://www.whopaysreport.org/who-paysfull-report/</vt:lpwstr>
      </vt:variant>
      <vt:variant>
        <vt:lpwstr/>
      </vt:variant>
      <vt:variant>
        <vt:i4>6815801</vt:i4>
      </vt:variant>
      <vt:variant>
        <vt:i4>84</vt:i4>
      </vt:variant>
      <vt:variant>
        <vt:i4>0</vt:i4>
      </vt:variant>
      <vt:variant>
        <vt:i4>5</vt:i4>
      </vt:variant>
      <vt:variant>
        <vt:lpwstr>https://www.ppic.org/publication/californias-prison-population/</vt:lpwstr>
      </vt:variant>
      <vt:variant>
        <vt:lpwstr/>
      </vt:variant>
      <vt:variant>
        <vt:i4>4718679</vt:i4>
      </vt:variant>
      <vt:variant>
        <vt:i4>81</vt:i4>
      </vt:variant>
      <vt:variant>
        <vt:i4>0</vt:i4>
      </vt:variant>
      <vt:variant>
        <vt:i4>5</vt:i4>
      </vt:variant>
      <vt:variant>
        <vt:lpwstr>https://www.vera.org/downloads/pdfdownloads/state-incarceration-trends-california.pdf</vt:lpwstr>
      </vt:variant>
      <vt:variant>
        <vt:lpwstr/>
      </vt:variant>
      <vt:variant>
        <vt:i4>1376329</vt:i4>
      </vt:variant>
      <vt:variant>
        <vt:i4>78</vt:i4>
      </vt:variant>
      <vt:variant>
        <vt:i4>0</vt:i4>
      </vt:variant>
      <vt:variant>
        <vt:i4>5</vt:i4>
      </vt:variant>
      <vt:variant>
        <vt:lpwstr>https://docs.cpuc.ca.gov/PublishedDocs/Published/G000/M216/K795/216795045.PDF</vt:lpwstr>
      </vt:variant>
      <vt:variant>
        <vt:lpwstr/>
      </vt:variant>
      <vt:variant>
        <vt:i4>5636201</vt:i4>
      </vt:variant>
      <vt:variant>
        <vt:i4>75</vt:i4>
      </vt:variant>
      <vt:variant>
        <vt:i4>0</vt:i4>
      </vt:variant>
      <vt:variant>
        <vt:i4>5</vt:i4>
      </vt:variant>
      <vt:variant>
        <vt:lpwstr>https://www.prisonpolicy.org/phones/state_of_phone_justice.html</vt:lpwstr>
      </vt:variant>
      <vt:variant>
        <vt:lpwstr/>
      </vt:variant>
      <vt:variant>
        <vt:i4>4128866</vt:i4>
      </vt:variant>
      <vt:variant>
        <vt:i4>72</vt:i4>
      </vt:variant>
      <vt:variant>
        <vt:i4>0</vt:i4>
      </vt:variant>
      <vt:variant>
        <vt:i4>5</vt:i4>
      </vt:variant>
      <vt:variant>
        <vt:lpwstr>https://www.classaction.org/media/albert-et-al-v-global-tel-link-corp-et-al.pdf</vt:lpwstr>
      </vt:variant>
      <vt:variant>
        <vt:lpwstr/>
      </vt:variant>
      <vt:variant>
        <vt:i4>7143522</vt:i4>
      </vt:variant>
      <vt:variant>
        <vt:i4>69</vt:i4>
      </vt:variant>
      <vt:variant>
        <vt:i4>0</vt:i4>
      </vt:variant>
      <vt:variant>
        <vt:i4>5</vt:i4>
      </vt:variant>
      <vt:variant>
        <vt:lpwstr>https://www.prisonphonejustice.org/2020/TX/tx-dallas-county-securus-contract-2020-2025/</vt:lpwstr>
      </vt:variant>
      <vt:variant>
        <vt:lpwstr/>
      </vt:variant>
      <vt:variant>
        <vt:i4>4128881</vt:i4>
      </vt:variant>
      <vt:variant>
        <vt:i4>66</vt:i4>
      </vt:variant>
      <vt:variant>
        <vt:i4>0</vt:i4>
      </vt:variant>
      <vt:variant>
        <vt:i4>5</vt:i4>
      </vt:variant>
      <vt:variant>
        <vt:lpwstr>http://publici.ucimc.org/2019/04/illinois-prison-phone-rates-are-lowest-following-grassroots-activism/</vt:lpwstr>
      </vt:variant>
      <vt:variant>
        <vt:lpwstr/>
      </vt:variant>
      <vt:variant>
        <vt:i4>8061050</vt:i4>
      </vt:variant>
      <vt:variant>
        <vt:i4>63</vt:i4>
      </vt:variant>
      <vt:variant>
        <vt:i4>0</vt:i4>
      </vt:variant>
      <vt:variant>
        <vt:i4>5</vt:i4>
      </vt:variant>
      <vt:variant>
        <vt:lpwstr>https://www.prisonphonejustice.org/2018/IL/securus-contract-2018-2021/</vt:lpwstr>
      </vt:variant>
      <vt:variant>
        <vt:lpwstr/>
      </vt:variant>
      <vt:variant>
        <vt:i4>7929983</vt:i4>
      </vt:variant>
      <vt:variant>
        <vt:i4>60</vt:i4>
      </vt:variant>
      <vt:variant>
        <vt:i4>0</vt:i4>
      </vt:variant>
      <vt:variant>
        <vt:i4>5</vt:i4>
      </vt:variant>
      <vt:variant>
        <vt:lpwstr>https://www.state.nj.us/corrections/pages/OffenderInformation.html</vt:lpwstr>
      </vt:variant>
      <vt:variant>
        <vt:lpwstr>Phone</vt:lpwstr>
      </vt:variant>
      <vt:variant>
        <vt:i4>2031649</vt:i4>
      </vt:variant>
      <vt:variant>
        <vt:i4>57</vt:i4>
      </vt:variant>
      <vt:variant>
        <vt:i4>0</vt:i4>
      </vt:variant>
      <vt:variant>
        <vt:i4>5</vt:i4>
      </vt:variant>
      <vt:variant>
        <vt:lpwstr>https://www.njleg.state.nj.us/2016/Bills/PL16/37_.PDF</vt:lpwstr>
      </vt:variant>
      <vt:variant>
        <vt:lpwstr/>
      </vt:variant>
      <vt:variant>
        <vt:i4>4128894</vt:i4>
      </vt:variant>
      <vt:variant>
        <vt:i4>54</vt:i4>
      </vt:variant>
      <vt:variant>
        <vt:i4>0</vt:i4>
      </vt:variant>
      <vt:variant>
        <vt:i4>5</vt:i4>
      </vt:variant>
      <vt:variant>
        <vt:lpwstr>https://www.govtrack.us/congress/bills/116/hr6389/text</vt:lpwstr>
      </vt:variant>
      <vt:variant>
        <vt:lpwstr/>
      </vt:variant>
      <vt:variant>
        <vt:i4>5636201</vt:i4>
      </vt:variant>
      <vt:variant>
        <vt:i4>51</vt:i4>
      </vt:variant>
      <vt:variant>
        <vt:i4>0</vt:i4>
      </vt:variant>
      <vt:variant>
        <vt:i4>5</vt:i4>
      </vt:variant>
      <vt:variant>
        <vt:lpwstr>https://www.prisonpolicy.org/phones/state_of_phone_justice.html</vt:lpwstr>
      </vt:variant>
      <vt:variant>
        <vt:lpwstr/>
      </vt:variant>
      <vt:variant>
        <vt:i4>5242965</vt:i4>
      </vt:variant>
      <vt:variant>
        <vt:i4>48</vt:i4>
      </vt:variant>
      <vt:variant>
        <vt:i4>0</vt:i4>
      </vt:variant>
      <vt:variant>
        <vt:i4>5</vt:i4>
      </vt:variant>
      <vt:variant>
        <vt:lpwstr>https://www.njspotlight.com/2016/07/16-06-30-making-sure-the-cost-of-phone-calls-from-prison-isn-t-punishingly-high/</vt:lpwstr>
      </vt:variant>
      <vt:variant>
        <vt:lpwstr/>
      </vt:variant>
      <vt:variant>
        <vt:i4>5111813</vt:i4>
      </vt:variant>
      <vt:variant>
        <vt:i4>45</vt:i4>
      </vt:variant>
      <vt:variant>
        <vt:i4>0</vt:i4>
      </vt:variant>
      <vt:variant>
        <vt:i4>5</vt:i4>
      </vt:variant>
      <vt:variant>
        <vt:lpwstr>http://www.justice.gov/atr/public/guidelines/hmg-2010.pdf</vt:lpwstr>
      </vt:variant>
      <vt:variant>
        <vt:lpwstr/>
      </vt:variant>
      <vt:variant>
        <vt:i4>2359330</vt:i4>
      </vt:variant>
      <vt:variant>
        <vt:i4>42</vt:i4>
      </vt:variant>
      <vt:variant>
        <vt:i4>0</vt:i4>
      </vt:variant>
      <vt:variant>
        <vt:i4>5</vt:i4>
      </vt:variant>
      <vt:variant>
        <vt:lpwstr>https://apps.cpuc.ca.gov/apex/f?p=401:68:0::NO</vt:lpwstr>
      </vt:variant>
      <vt:variant>
        <vt:lpwstr/>
      </vt:variant>
      <vt:variant>
        <vt:i4>5177418</vt:i4>
      </vt:variant>
      <vt:variant>
        <vt:i4>39</vt:i4>
      </vt:variant>
      <vt:variant>
        <vt:i4>0</vt:i4>
      </vt:variant>
      <vt:variant>
        <vt:i4>5</vt:i4>
      </vt:variant>
      <vt:variant>
        <vt:lpwstr>https://caleprocure.ca.gov/PSRelay/ZZ_PO.ZZ_CTR_SUP_CMP.GBL?Page=ZZ_CTR_SUP_PG&amp;Action=U&amp;SETID=STATE&amp;CNTRCT_ID=C5610009</vt:lpwstr>
      </vt:variant>
      <vt:variant>
        <vt:lpwstr/>
      </vt:variant>
      <vt:variant>
        <vt:i4>7733356</vt:i4>
      </vt:variant>
      <vt:variant>
        <vt:i4>36</vt:i4>
      </vt:variant>
      <vt:variant>
        <vt:i4>0</vt:i4>
      </vt:variant>
      <vt:variant>
        <vt:i4>5</vt:i4>
      </vt:variant>
      <vt:variant>
        <vt:lpwstr>https://www.cdcr.ca.gov/news/2021/03/01/california-department-of-corrections-and-rehabilitation-announces-reduced-cost-of-telephone-calls-for-incarcerated-population/</vt:lpwstr>
      </vt:variant>
      <vt:variant>
        <vt:lpwstr/>
      </vt:variant>
      <vt:variant>
        <vt:i4>8126569</vt:i4>
      </vt:variant>
      <vt:variant>
        <vt:i4>33</vt:i4>
      </vt:variant>
      <vt:variant>
        <vt:i4>0</vt:i4>
      </vt:variant>
      <vt:variant>
        <vt:i4>5</vt:i4>
      </vt:variant>
      <vt:variant>
        <vt:lpwstr>https://www.naruc.org/about-naruc/pressreleases/naruc-urges-members-to-review-inmate-calling-rates/</vt:lpwstr>
      </vt:variant>
      <vt:variant>
        <vt:lpwstr/>
      </vt:variant>
      <vt:variant>
        <vt:i4>5373955</vt:i4>
      </vt:variant>
      <vt:variant>
        <vt:i4>30</vt:i4>
      </vt:variant>
      <vt:variant>
        <vt:i4>0</vt:i4>
      </vt:variant>
      <vt:variant>
        <vt:i4>5</vt:i4>
      </vt:variant>
      <vt:variant>
        <vt:lpwstr>https://docs.fcc.gov/public/attachments/DOC-365619A1.pdf</vt:lpwstr>
      </vt:variant>
      <vt:variant>
        <vt:lpwstr/>
      </vt:variant>
      <vt:variant>
        <vt:i4>4587532</vt:i4>
      </vt:variant>
      <vt:variant>
        <vt:i4>27</vt:i4>
      </vt:variant>
      <vt:variant>
        <vt:i4>0</vt:i4>
      </vt:variant>
      <vt:variant>
        <vt:i4>5</vt:i4>
      </vt:variant>
      <vt:variant>
        <vt:lpwstr>https://www.gov.ca.gov/wp-content/uploads/2020/09/SB-555.pdf</vt:lpwstr>
      </vt:variant>
      <vt:variant>
        <vt:lpwstr/>
      </vt:variant>
      <vt:variant>
        <vt:i4>1114134</vt:i4>
      </vt:variant>
      <vt:variant>
        <vt:i4>24</vt:i4>
      </vt:variant>
      <vt:variant>
        <vt:i4>0</vt:i4>
      </vt:variant>
      <vt:variant>
        <vt:i4>5</vt:i4>
      </vt:variant>
      <vt:variant>
        <vt:lpwstr>https://www.fcc.gov/sites/default/files/inmate_telephone_service.pdf</vt:lpwstr>
      </vt:variant>
      <vt:variant>
        <vt:lpwstr/>
      </vt:variant>
      <vt:variant>
        <vt:i4>1048673</vt:i4>
      </vt:variant>
      <vt:variant>
        <vt:i4>21</vt:i4>
      </vt:variant>
      <vt:variant>
        <vt:i4>0</vt:i4>
      </vt:variant>
      <vt:variant>
        <vt:i4>5</vt:i4>
      </vt:variant>
      <vt:variant>
        <vt:lpwstr>https://www.bscc.ca.gov/m_dataresearch/</vt:lpwstr>
      </vt:variant>
      <vt:variant>
        <vt:lpwstr/>
      </vt:variant>
      <vt:variant>
        <vt:i4>1245302</vt:i4>
      </vt:variant>
      <vt:variant>
        <vt:i4>18</vt:i4>
      </vt:variant>
      <vt:variant>
        <vt:i4>0</vt:i4>
      </vt:variant>
      <vt:variant>
        <vt:i4>5</vt:i4>
      </vt:variant>
      <vt:variant>
        <vt:lpwstr>https://www.ppic.org/wpcontent/uploads/JTF_CountyJailsJTF.pdf</vt:lpwstr>
      </vt:variant>
      <vt:variant>
        <vt:lpwstr/>
      </vt:variant>
      <vt:variant>
        <vt:i4>5177418</vt:i4>
      </vt:variant>
      <vt:variant>
        <vt:i4>15</vt:i4>
      </vt:variant>
      <vt:variant>
        <vt:i4>0</vt:i4>
      </vt:variant>
      <vt:variant>
        <vt:i4>5</vt:i4>
      </vt:variant>
      <vt:variant>
        <vt:lpwstr>https://caleprocure.ca.gov/PSRelay/ZZ_PO.ZZ_CTR_SUP_CMP.GBL?Page=ZZ_CTR_SUP_PG&amp;Action=U&amp;SETID=STATE&amp;CNTRCT_ID=C5610009</vt:lpwstr>
      </vt:variant>
      <vt:variant>
        <vt:lpwstr/>
      </vt:variant>
      <vt:variant>
        <vt:i4>4325455</vt:i4>
      </vt:variant>
      <vt:variant>
        <vt:i4>12</vt:i4>
      </vt:variant>
      <vt:variant>
        <vt:i4>0</vt:i4>
      </vt:variant>
      <vt:variant>
        <vt:i4>5</vt:i4>
      </vt:variant>
      <vt:variant>
        <vt:lpwstr>https://www.cdcr.ca.gov/facility-locator/</vt:lpwstr>
      </vt:variant>
      <vt:variant>
        <vt:lpwstr/>
      </vt:variant>
      <vt:variant>
        <vt:i4>6815846</vt:i4>
      </vt:variant>
      <vt:variant>
        <vt:i4>9</vt:i4>
      </vt:variant>
      <vt:variant>
        <vt:i4>0</vt:i4>
      </vt:variant>
      <vt:variant>
        <vt:i4>5</vt:i4>
      </vt:variant>
      <vt:variant>
        <vt:lpwstr>https://www.bop.gov/locations/list.jsp</vt:lpwstr>
      </vt:variant>
      <vt:variant>
        <vt:lpwstr/>
      </vt:variant>
      <vt:variant>
        <vt:i4>4784195</vt:i4>
      </vt:variant>
      <vt:variant>
        <vt:i4>6</vt:i4>
      </vt:variant>
      <vt:variant>
        <vt:i4>0</vt:i4>
      </vt:variant>
      <vt:variant>
        <vt:i4>5</vt:i4>
      </vt:variant>
      <vt:variant>
        <vt:lpwstr>https://www.bop.gov/</vt:lpwstr>
      </vt:variant>
      <vt:variant>
        <vt:lpwstr/>
      </vt:variant>
      <vt:variant>
        <vt:i4>131082</vt:i4>
      </vt:variant>
      <vt:variant>
        <vt:i4>3</vt:i4>
      </vt:variant>
      <vt:variant>
        <vt:i4>0</vt:i4>
      </vt:variant>
      <vt:variant>
        <vt:i4>5</vt:i4>
      </vt:variant>
      <vt:variant>
        <vt:lpwstr>https://www.prisonpolicy.org/reports/income.html</vt:lpwstr>
      </vt:variant>
      <vt:variant>
        <vt:lpwstr/>
      </vt:variant>
      <vt:variant>
        <vt:i4>2031628</vt:i4>
      </vt:variant>
      <vt:variant>
        <vt:i4>0</vt:i4>
      </vt:variant>
      <vt:variant>
        <vt:i4>0</vt:i4>
      </vt:variant>
      <vt:variant>
        <vt:i4>5</vt:i4>
      </vt:variant>
      <vt:variant>
        <vt:lpwstr>http://www.whopaysreport.org/who-paysfull-report/</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2021-08-17T17:43:00Z</cp:lastPrinted>
  <dcterms:created xsi:type="dcterms:W3CDTF">2021-08-17T12:12:29Z</dcterms:created>
  <dcterms:modified xsi:type="dcterms:W3CDTF">2021-08-17T12:12:29Z</dcterms:modified>
</cp:coreProperties>
</file>