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28"/>
        <w:gridCol w:w="4950"/>
      </w:tblGrid>
      <w:tr w:rsidRPr="00ED18C1" w:rsidR="00BB65E6" w:rsidTr="00AB4A96" w14:paraId="6F660601" w14:textId="77777777">
        <w:trPr>
          <w:trHeight w:val="280" w:hRule="exact"/>
        </w:trPr>
        <w:tc>
          <w:tcPr>
            <w:tcW w:w="4428" w:type="dxa"/>
          </w:tcPr>
          <w:p w:rsidRPr="00ED18C1" w:rsidR="00BB65E6" w:rsidP="00F94A3F" w:rsidRDefault="00BB65E6" w14:paraId="797E560E" w14:textId="77777777">
            <w:pPr>
              <w:rPr>
                <w:sz w:val="26"/>
                <w:szCs w:val="26"/>
              </w:rPr>
            </w:pPr>
            <w:r w:rsidRPr="00ED18C1">
              <w:rPr>
                <w:b/>
                <w:sz w:val="26"/>
                <w:szCs w:val="26"/>
              </w:rPr>
              <w:t>State of California</w:t>
            </w:r>
          </w:p>
        </w:tc>
        <w:tc>
          <w:tcPr>
            <w:tcW w:w="4950" w:type="dxa"/>
          </w:tcPr>
          <w:p w:rsidRPr="00ED18C1" w:rsidR="00BB65E6" w:rsidP="00F94A3F" w:rsidRDefault="00BB65E6" w14:paraId="7EB85A0F" w14:textId="77777777">
            <w:pPr>
              <w:jc w:val="right"/>
              <w:rPr>
                <w:b/>
                <w:sz w:val="26"/>
                <w:szCs w:val="26"/>
              </w:rPr>
            </w:pPr>
            <w:r w:rsidRPr="00ED18C1">
              <w:rPr>
                <w:b/>
                <w:sz w:val="26"/>
                <w:szCs w:val="26"/>
              </w:rPr>
              <w:t>Public Utilities Commission</w:t>
            </w:r>
          </w:p>
          <w:p w:rsidRPr="00ED18C1" w:rsidR="00BB65E6" w:rsidP="00F94A3F" w:rsidRDefault="00BB65E6" w14:paraId="0163DEC6" w14:textId="77777777">
            <w:pPr>
              <w:rPr>
                <w:sz w:val="26"/>
                <w:szCs w:val="26"/>
              </w:rPr>
            </w:pPr>
          </w:p>
        </w:tc>
      </w:tr>
      <w:tr w:rsidRPr="00ED18C1" w:rsidR="00BB65E6" w:rsidTr="00AB4A96" w14:paraId="2839C457" w14:textId="77777777">
        <w:tc>
          <w:tcPr>
            <w:tcW w:w="4428" w:type="dxa"/>
          </w:tcPr>
          <w:p w:rsidRPr="00ED18C1" w:rsidR="00BB65E6" w:rsidP="00F94A3F" w:rsidRDefault="00BB65E6" w14:paraId="3801376C" w14:textId="77777777">
            <w:pPr>
              <w:rPr>
                <w:sz w:val="26"/>
                <w:szCs w:val="26"/>
              </w:rPr>
            </w:pPr>
          </w:p>
        </w:tc>
        <w:tc>
          <w:tcPr>
            <w:tcW w:w="4950" w:type="dxa"/>
          </w:tcPr>
          <w:p w:rsidRPr="00ED18C1" w:rsidR="00BB65E6" w:rsidP="00F94A3F" w:rsidRDefault="00BB65E6" w14:paraId="21B7EE32" w14:textId="77777777">
            <w:pPr>
              <w:jc w:val="right"/>
              <w:rPr>
                <w:sz w:val="26"/>
                <w:szCs w:val="26"/>
              </w:rPr>
            </w:pPr>
            <w:r w:rsidRPr="00ED18C1">
              <w:rPr>
                <w:b/>
                <w:sz w:val="26"/>
                <w:szCs w:val="26"/>
              </w:rPr>
              <w:t>San Francisco</w:t>
            </w:r>
          </w:p>
        </w:tc>
      </w:tr>
      <w:tr w:rsidRPr="00ED18C1" w:rsidR="00BB65E6" w:rsidTr="00AB4A96" w14:paraId="759D9F76" w14:textId="77777777">
        <w:tc>
          <w:tcPr>
            <w:tcW w:w="4428" w:type="dxa"/>
          </w:tcPr>
          <w:p w:rsidRPr="00ED18C1" w:rsidR="00BB65E6" w:rsidP="00F94A3F" w:rsidRDefault="00BB65E6" w14:paraId="4B2DFEB8" w14:textId="77777777">
            <w:pPr>
              <w:rPr>
                <w:sz w:val="26"/>
                <w:szCs w:val="26"/>
              </w:rPr>
            </w:pPr>
          </w:p>
        </w:tc>
        <w:tc>
          <w:tcPr>
            <w:tcW w:w="4950" w:type="dxa"/>
          </w:tcPr>
          <w:p w:rsidRPr="00ED18C1" w:rsidR="00BB65E6" w:rsidP="00F94A3F" w:rsidRDefault="00BB65E6" w14:paraId="3E91ACC4" w14:textId="77777777">
            <w:pPr>
              <w:rPr>
                <w:sz w:val="26"/>
                <w:szCs w:val="26"/>
              </w:rPr>
            </w:pPr>
          </w:p>
        </w:tc>
      </w:tr>
      <w:tr w:rsidRPr="00ED18C1" w:rsidR="00BB65E6" w:rsidTr="00AB4A96" w14:paraId="5DEEE228" w14:textId="77777777">
        <w:tc>
          <w:tcPr>
            <w:tcW w:w="4428" w:type="dxa"/>
          </w:tcPr>
          <w:p w:rsidRPr="00ED18C1" w:rsidR="00BB65E6" w:rsidP="00F94A3F" w:rsidRDefault="00BB65E6" w14:paraId="3AFB5DEA" w14:textId="77777777">
            <w:pPr>
              <w:rPr>
                <w:sz w:val="26"/>
                <w:szCs w:val="26"/>
              </w:rPr>
            </w:pPr>
            <w:r w:rsidRPr="00ED18C1">
              <w:rPr>
                <w:b/>
                <w:sz w:val="26"/>
                <w:szCs w:val="26"/>
              </w:rPr>
              <w:t>M E M O R A N D U M</w:t>
            </w:r>
          </w:p>
        </w:tc>
        <w:tc>
          <w:tcPr>
            <w:tcW w:w="4950" w:type="dxa"/>
          </w:tcPr>
          <w:p w:rsidRPr="00ED18C1" w:rsidR="00BB65E6" w:rsidP="00F94A3F" w:rsidRDefault="00BB65E6" w14:paraId="584EB126" w14:textId="77777777">
            <w:pPr>
              <w:jc w:val="center"/>
              <w:rPr>
                <w:sz w:val="26"/>
                <w:szCs w:val="26"/>
                <w:u w:val="single"/>
              </w:rPr>
            </w:pPr>
          </w:p>
        </w:tc>
      </w:tr>
      <w:tr w:rsidRPr="00ED18C1" w:rsidR="00BB65E6" w:rsidTr="00AB4A96" w14:paraId="33F32893" w14:textId="77777777">
        <w:tc>
          <w:tcPr>
            <w:tcW w:w="4428" w:type="dxa"/>
          </w:tcPr>
          <w:p w:rsidRPr="00ED18C1" w:rsidR="00BB65E6" w:rsidP="00F94A3F" w:rsidRDefault="00BB65E6" w14:paraId="30671331" w14:textId="183B59C2">
            <w:pPr>
              <w:rPr>
                <w:sz w:val="26"/>
                <w:szCs w:val="26"/>
              </w:rPr>
            </w:pPr>
          </w:p>
        </w:tc>
        <w:tc>
          <w:tcPr>
            <w:tcW w:w="4950" w:type="dxa"/>
          </w:tcPr>
          <w:p w:rsidRPr="00ED18C1" w:rsidR="00BB65E6" w:rsidP="00F94A3F" w:rsidRDefault="00BB65E6" w14:paraId="7D57FF89" w14:textId="77777777">
            <w:pPr>
              <w:jc w:val="right"/>
              <w:rPr>
                <w:sz w:val="26"/>
                <w:szCs w:val="26"/>
              </w:rPr>
            </w:pPr>
          </w:p>
        </w:tc>
      </w:tr>
    </w:tbl>
    <w:p w:rsidRPr="00ED18C1" w:rsidR="00BB65E6" w:rsidP="002B1822" w:rsidRDefault="00BB65E6" w14:paraId="12686858" w14:textId="2A345431">
      <w:pPr>
        <w:tabs>
          <w:tab w:val="left" w:pos="900"/>
          <w:tab w:val="left" w:pos="1440"/>
        </w:tabs>
        <w:rPr>
          <w:b/>
          <w:sz w:val="26"/>
          <w:szCs w:val="26"/>
        </w:rPr>
      </w:pPr>
    </w:p>
    <w:p w:rsidRPr="00ED18C1" w:rsidR="00BB65E6" w:rsidP="002B1822" w:rsidRDefault="00BB65E6" w14:paraId="4A77C2BF" w14:textId="78E996A9">
      <w:pPr>
        <w:tabs>
          <w:tab w:val="left" w:pos="900"/>
          <w:tab w:val="left" w:pos="1440"/>
        </w:tabs>
        <w:rPr>
          <w:b/>
          <w:sz w:val="26"/>
          <w:szCs w:val="26"/>
        </w:rPr>
      </w:pPr>
      <w:r w:rsidRPr="00ED18C1">
        <w:rPr>
          <w:b/>
          <w:sz w:val="26"/>
          <w:szCs w:val="26"/>
        </w:rPr>
        <w:t>Date:</w:t>
      </w:r>
      <w:r w:rsidRPr="00ED18C1">
        <w:rPr>
          <w:b/>
          <w:sz w:val="26"/>
          <w:szCs w:val="26"/>
        </w:rPr>
        <w:tab/>
      </w:r>
      <w:r w:rsidRPr="00ED18C1" w:rsidR="000C71FA">
        <w:rPr>
          <w:b/>
          <w:sz w:val="26"/>
          <w:szCs w:val="26"/>
        </w:rPr>
        <w:tab/>
      </w:r>
      <w:r w:rsidRPr="00ED18C1" w:rsidR="00957F25">
        <w:rPr>
          <w:b/>
          <w:sz w:val="26"/>
          <w:szCs w:val="26"/>
        </w:rPr>
        <w:t>September</w:t>
      </w:r>
      <w:r w:rsidRPr="00ED18C1" w:rsidR="00C1480C">
        <w:rPr>
          <w:b/>
          <w:sz w:val="26"/>
          <w:szCs w:val="26"/>
        </w:rPr>
        <w:t xml:space="preserve"> </w:t>
      </w:r>
      <w:r w:rsidR="003C46CB">
        <w:rPr>
          <w:b/>
          <w:sz w:val="26"/>
          <w:szCs w:val="26"/>
        </w:rPr>
        <w:t>30</w:t>
      </w:r>
      <w:r w:rsidRPr="00ED18C1" w:rsidR="00FB0570">
        <w:rPr>
          <w:b/>
          <w:sz w:val="26"/>
          <w:szCs w:val="26"/>
        </w:rPr>
        <w:t xml:space="preserve">, </w:t>
      </w:r>
      <w:r w:rsidRPr="00ED18C1" w:rsidR="00F613B7">
        <w:rPr>
          <w:b/>
          <w:sz w:val="26"/>
          <w:szCs w:val="26"/>
        </w:rPr>
        <w:t>202</w:t>
      </w:r>
      <w:r w:rsidRPr="00ED18C1" w:rsidR="005C777F">
        <w:rPr>
          <w:b/>
          <w:sz w:val="26"/>
          <w:szCs w:val="26"/>
        </w:rPr>
        <w:t>1</w:t>
      </w:r>
      <w:r w:rsidRPr="00ED18C1" w:rsidR="00F613B7">
        <w:rPr>
          <w:b/>
          <w:sz w:val="26"/>
          <w:szCs w:val="26"/>
        </w:rPr>
        <w:t xml:space="preserve"> </w:t>
      </w:r>
    </w:p>
    <w:p w:rsidRPr="00ED18C1" w:rsidR="00BB65E6" w:rsidP="002B1822" w:rsidRDefault="00BB65E6" w14:paraId="6F76FDDD" w14:textId="77777777">
      <w:pPr>
        <w:tabs>
          <w:tab w:val="left" w:pos="900"/>
          <w:tab w:val="left" w:pos="1440"/>
        </w:tabs>
        <w:rPr>
          <w:b/>
          <w:sz w:val="26"/>
          <w:szCs w:val="26"/>
        </w:rPr>
      </w:pPr>
    </w:p>
    <w:p w:rsidR="003C46CB" w:rsidP="003C46CB" w:rsidRDefault="00BB65E6" w14:paraId="0A333282" w14:textId="19A79309">
      <w:pPr>
        <w:autoSpaceDE w:val="0"/>
        <w:autoSpaceDN w:val="0"/>
        <w:adjustRightInd w:val="0"/>
        <w:rPr>
          <w:rFonts w:ascii="TimesNewRomanPS-BoldMT" w:hAnsi="TimesNewRomanPS-BoldMT" w:cs="TimesNewRomanPS-BoldMT"/>
          <w:b/>
          <w:bCs/>
          <w:sz w:val="26"/>
          <w:szCs w:val="26"/>
        </w:rPr>
      </w:pPr>
      <w:r w:rsidRPr="00ED18C1">
        <w:rPr>
          <w:b/>
          <w:sz w:val="26"/>
          <w:szCs w:val="26"/>
        </w:rPr>
        <w:t>To:</w:t>
      </w:r>
      <w:r w:rsidRPr="00ED18C1">
        <w:rPr>
          <w:b/>
          <w:sz w:val="26"/>
          <w:szCs w:val="26"/>
        </w:rPr>
        <w:tab/>
      </w:r>
      <w:r w:rsidRPr="00ED18C1" w:rsidR="000C71FA">
        <w:rPr>
          <w:b/>
          <w:sz w:val="26"/>
          <w:szCs w:val="26"/>
        </w:rPr>
        <w:tab/>
      </w:r>
      <w:r w:rsidR="003C46CB">
        <w:rPr>
          <w:b/>
          <w:sz w:val="26"/>
          <w:szCs w:val="26"/>
        </w:rPr>
        <w:tab/>
      </w:r>
      <w:r w:rsidR="003C46CB">
        <w:rPr>
          <w:b/>
          <w:sz w:val="26"/>
          <w:szCs w:val="26"/>
        </w:rPr>
        <w:tab/>
      </w:r>
      <w:r w:rsidR="003C46CB">
        <w:rPr>
          <w:b/>
          <w:sz w:val="26"/>
          <w:szCs w:val="26"/>
        </w:rPr>
        <w:tab/>
      </w:r>
      <w:r w:rsidR="003C46CB">
        <w:rPr>
          <w:b/>
          <w:sz w:val="26"/>
          <w:szCs w:val="26"/>
        </w:rPr>
        <w:tab/>
      </w:r>
      <w:r w:rsidR="003C46CB">
        <w:rPr>
          <w:b/>
          <w:sz w:val="26"/>
          <w:szCs w:val="26"/>
        </w:rPr>
        <w:tab/>
      </w:r>
      <w:r w:rsidR="003C46CB">
        <w:rPr>
          <w:b/>
          <w:sz w:val="26"/>
          <w:szCs w:val="26"/>
        </w:rPr>
        <w:tab/>
      </w:r>
      <w:r w:rsidR="003C46CB">
        <w:rPr>
          <w:rFonts w:ascii="TimesNewRomanPS-BoldMT" w:hAnsi="TimesNewRomanPS-BoldMT" w:cs="TimesNewRomanPS-BoldMT"/>
          <w:b/>
          <w:bCs/>
          <w:sz w:val="26"/>
          <w:szCs w:val="26"/>
        </w:rPr>
        <w:t>The Commission</w:t>
      </w:r>
    </w:p>
    <w:p w:rsidRPr="00ED18C1" w:rsidR="00A375EC" w:rsidP="003C46CB" w:rsidRDefault="003C46CB" w14:paraId="712013E2" w14:textId="0DC09C97">
      <w:pPr>
        <w:tabs>
          <w:tab w:val="left" w:pos="900"/>
          <w:tab w:val="left" w:pos="1440"/>
        </w:tabs>
        <w:rPr>
          <w:b/>
          <w:sz w:val="26"/>
          <w:szCs w:val="26"/>
        </w:rPr>
      </w:pP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t>(Meeting of October 7, 2021</w:t>
      </w:r>
      <w:r w:rsidRPr="00ED18C1" w:rsidR="00957F25">
        <w:rPr>
          <w:b/>
          <w:sz w:val="26"/>
          <w:szCs w:val="26"/>
        </w:rPr>
        <w:t xml:space="preserve"> </w:t>
      </w:r>
    </w:p>
    <w:p w:rsidRPr="00ED18C1" w:rsidR="00BB65E6" w:rsidP="002B1822" w:rsidRDefault="00BB65E6" w14:paraId="76A7C886" w14:textId="77777777">
      <w:pPr>
        <w:tabs>
          <w:tab w:val="left" w:pos="900"/>
          <w:tab w:val="left" w:pos="1440"/>
        </w:tabs>
        <w:rPr>
          <w:b/>
          <w:sz w:val="26"/>
          <w:szCs w:val="26"/>
        </w:rPr>
      </w:pPr>
    </w:p>
    <w:p w:rsidRPr="00ED18C1" w:rsidR="00A375EC" w:rsidP="002B1822" w:rsidRDefault="00BB65E6" w14:paraId="1DC4AD99" w14:textId="77777777">
      <w:pPr>
        <w:tabs>
          <w:tab w:val="left" w:pos="900"/>
          <w:tab w:val="left" w:pos="1440"/>
        </w:tabs>
        <w:rPr>
          <w:b/>
          <w:sz w:val="26"/>
          <w:szCs w:val="26"/>
        </w:rPr>
      </w:pPr>
      <w:r w:rsidRPr="00ED18C1">
        <w:rPr>
          <w:b/>
          <w:sz w:val="26"/>
          <w:szCs w:val="26"/>
        </w:rPr>
        <w:t>From:</w:t>
      </w:r>
      <w:r w:rsidRPr="00ED18C1">
        <w:rPr>
          <w:b/>
          <w:sz w:val="26"/>
          <w:szCs w:val="26"/>
        </w:rPr>
        <w:tab/>
      </w:r>
      <w:r w:rsidRPr="00ED18C1" w:rsidR="000C71FA">
        <w:rPr>
          <w:b/>
          <w:sz w:val="26"/>
          <w:szCs w:val="26"/>
        </w:rPr>
        <w:tab/>
      </w:r>
      <w:r w:rsidRPr="00ED18C1" w:rsidR="00C1480C">
        <w:rPr>
          <w:b/>
          <w:sz w:val="26"/>
          <w:szCs w:val="26"/>
        </w:rPr>
        <w:t>Jonathan Pais Knapp</w:t>
      </w:r>
    </w:p>
    <w:p w:rsidR="000C3B7B" w:rsidP="002B1822" w:rsidRDefault="00A375EC" w14:paraId="1D44963C" w14:textId="75C7FA9A">
      <w:pPr>
        <w:tabs>
          <w:tab w:val="left" w:pos="900"/>
          <w:tab w:val="left" w:pos="1440"/>
        </w:tabs>
        <w:rPr>
          <w:b/>
          <w:sz w:val="26"/>
          <w:szCs w:val="26"/>
        </w:rPr>
      </w:pPr>
      <w:r w:rsidRPr="00ED18C1">
        <w:rPr>
          <w:b/>
          <w:sz w:val="26"/>
          <w:szCs w:val="26"/>
        </w:rPr>
        <w:tab/>
      </w:r>
      <w:r w:rsidRPr="00ED18C1">
        <w:rPr>
          <w:b/>
          <w:sz w:val="26"/>
          <w:szCs w:val="26"/>
        </w:rPr>
        <w:tab/>
        <w:t>PU Counsel I</w:t>
      </w:r>
      <w:r w:rsidRPr="00ED18C1" w:rsidR="003559F2">
        <w:rPr>
          <w:b/>
          <w:sz w:val="26"/>
          <w:szCs w:val="26"/>
        </w:rPr>
        <w:t>V</w:t>
      </w:r>
      <w:r w:rsidRPr="00ED18C1">
        <w:rPr>
          <w:b/>
          <w:sz w:val="26"/>
          <w:szCs w:val="26"/>
        </w:rPr>
        <w:t>, Legal Division</w:t>
      </w:r>
    </w:p>
    <w:p w:rsidR="008E0BF4" w:rsidP="002B1822" w:rsidRDefault="008E0BF4" w14:paraId="13E5CAA7" w14:textId="719C20F0">
      <w:pPr>
        <w:tabs>
          <w:tab w:val="left" w:pos="900"/>
          <w:tab w:val="left" w:pos="1440"/>
        </w:tabs>
        <w:rPr>
          <w:b/>
          <w:sz w:val="26"/>
          <w:szCs w:val="26"/>
        </w:rPr>
      </w:pPr>
    </w:p>
    <w:p w:rsidR="008E0BF4" w:rsidP="002B1822" w:rsidRDefault="008E0BF4" w14:paraId="0DA880D7" w14:textId="4EE39E04">
      <w:pPr>
        <w:tabs>
          <w:tab w:val="left" w:pos="900"/>
          <w:tab w:val="left" w:pos="1440"/>
        </w:tabs>
        <w:rPr>
          <w:b/>
          <w:sz w:val="26"/>
          <w:szCs w:val="26"/>
        </w:rPr>
      </w:pPr>
      <w:r>
        <w:rPr>
          <w:b/>
          <w:sz w:val="26"/>
          <w:szCs w:val="26"/>
        </w:rPr>
        <w:tab/>
      </w:r>
      <w:r>
        <w:rPr>
          <w:b/>
          <w:sz w:val="26"/>
          <w:szCs w:val="26"/>
        </w:rPr>
        <w:tab/>
        <w:t>Marybelle Ang</w:t>
      </w:r>
    </w:p>
    <w:p w:rsidR="008E0BF4" w:rsidP="002B1822" w:rsidRDefault="008E0BF4" w14:paraId="0D31DC98" w14:textId="62DD9272">
      <w:pPr>
        <w:tabs>
          <w:tab w:val="left" w:pos="900"/>
          <w:tab w:val="left" w:pos="1440"/>
        </w:tabs>
        <w:rPr>
          <w:b/>
          <w:sz w:val="26"/>
          <w:szCs w:val="26"/>
        </w:rPr>
      </w:pPr>
      <w:r>
        <w:rPr>
          <w:b/>
          <w:sz w:val="26"/>
          <w:szCs w:val="26"/>
        </w:rPr>
        <w:tab/>
      </w:r>
      <w:r>
        <w:rPr>
          <w:b/>
          <w:sz w:val="26"/>
          <w:szCs w:val="26"/>
        </w:rPr>
        <w:tab/>
      </w:r>
      <w:r w:rsidR="009638EE">
        <w:rPr>
          <w:b/>
          <w:sz w:val="26"/>
          <w:szCs w:val="26"/>
        </w:rPr>
        <w:t>Attorney III</w:t>
      </w:r>
      <w:r>
        <w:rPr>
          <w:b/>
          <w:sz w:val="26"/>
          <w:szCs w:val="26"/>
        </w:rPr>
        <w:t>, Legal Division</w:t>
      </w:r>
    </w:p>
    <w:p w:rsidR="008E0BF4" w:rsidP="002B1822" w:rsidRDefault="008E0BF4" w14:paraId="6889948F" w14:textId="01152950">
      <w:pPr>
        <w:tabs>
          <w:tab w:val="left" w:pos="900"/>
          <w:tab w:val="left" w:pos="1440"/>
        </w:tabs>
        <w:rPr>
          <w:b/>
          <w:sz w:val="26"/>
          <w:szCs w:val="26"/>
        </w:rPr>
      </w:pPr>
    </w:p>
    <w:p w:rsidR="008E0BF4" w:rsidP="002B1822" w:rsidRDefault="008E0BF4" w14:paraId="23DEA31A" w14:textId="63B51E5C">
      <w:pPr>
        <w:tabs>
          <w:tab w:val="left" w:pos="900"/>
          <w:tab w:val="left" w:pos="1440"/>
        </w:tabs>
        <w:rPr>
          <w:b/>
          <w:sz w:val="26"/>
          <w:szCs w:val="26"/>
        </w:rPr>
      </w:pPr>
      <w:r>
        <w:rPr>
          <w:b/>
          <w:sz w:val="26"/>
          <w:szCs w:val="26"/>
        </w:rPr>
        <w:tab/>
      </w:r>
      <w:r>
        <w:rPr>
          <w:b/>
          <w:sz w:val="26"/>
          <w:szCs w:val="26"/>
        </w:rPr>
        <w:tab/>
        <w:t>Sushil Jacob</w:t>
      </w:r>
    </w:p>
    <w:p w:rsidRPr="00ED18C1" w:rsidR="008E0BF4" w:rsidP="002B1822" w:rsidRDefault="008E0BF4" w14:paraId="365A933A" w14:textId="249CA80E">
      <w:pPr>
        <w:tabs>
          <w:tab w:val="left" w:pos="900"/>
          <w:tab w:val="left" w:pos="1440"/>
        </w:tabs>
        <w:rPr>
          <w:b/>
          <w:sz w:val="26"/>
          <w:szCs w:val="26"/>
        </w:rPr>
      </w:pPr>
      <w:r>
        <w:rPr>
          <w:b/>
          <w:sz w:val="26"/>
          <w:szCs w:val="26"/>
        </w:rPr>
        <w:tab/>
      </w:r>
      <w:r>
        <w:rPr>
          <w:b/>
          <w:sz w:val="26"/>
          <w:szCs w:val="26"/>
        </w:rPr>
        <w:tab/>
      </w:r>
      <w:r w:rsidR="008B45D8">
        <w:rPr>
          <w:b/>
          <w:sz w:val="26"/>
          <w:szCs w:val="26"/>
        </w:rPr>
        <w:t>Attorney III</w:t>
      </w:r>
      <w:r>
        <w:rPr>
          <w:b/>
          <w:sz w:val="26"/>
          <w:szCs w:val="26"/>
        </w:rPr>
        <w:t>, Legal Division</w:t>
      </w:r>
    </w:p>
    <w:p w:rsidRPr="00ED18C1" w:rsidR="000C3B7B" w:rsidP="002B1822" w:rsidRDefault="000C3B7B" w14:paraId="6B44327E" w14:textId="77777777">
      <w:pPr>
        <w:tabs>
          <w:tab w:val="left" w:pos="900"/>
          <w:tab w:val="left" w:pos="1440"/>
        </w:tabs>
        <w:rPr>
          <w:b/>
          <w:sz w:val="26"/>
          <w:szCs w:val="26"/>
        </w:rPr>
      </w:pPr>
    </w:p>
    <w:p w:rsidRPr="00ED18C1" w:rsidR="000C3B7B" w:rsidP="002B1822" w:rsidRDefault="000C3B7B" w14:paraId="3251FC8B" w14:textId="77777777">
      <w:pPr>
        <w:tabs>
          <w:tab w:val="left" w:pos="900"/>
          <w:tab w:val="left" w:pos="1440"/>
        </w:tabs>
        <w:rPr>
          <w:b/>
          <w:sz w:val="26"/>
          <w:szCs w:val="26"/>
        </w:rPr>
      </w:pPr>
      <w:r w:rsidRPr="00ED18C1">
        <w:rPr>
          <w:b/>
          <w:sz w:val="26"/>
          <w:szCs w:val="26"/>
        </w:rPr>
        <w:tab/>
      </w:r>
      <w:r w:rsidRPr="00ED18C1">
        <w:rPr>
          <w:b/>
          <w:sz w:val="26"/>
          <w:szCs w:val="26"/>
        </w:rPr>
        <w:tab/>
        <w:t>Christine Jun Hammond</w:t>
      </w:r>
    </w:p>
    <w:p w:rsidRPr="00ED18C1" w:rsidR="000C3B7B" w:rsidP="002B1822" w:rsidRDefault="000C3B7B" w14:paraId="0E522236" w14:textId="77777777">
      <w:pPr>
        <w:tabs>
          <w:tab w:val="left" w:pos="900"/>
          <w:tab w:val="left" w:pos="1440"/>
        </w:tabs>
        <w:rPr>
          <w:b/>
          <w:sz w:val="26"/>
          <w:szCs w:val="26"/>
        </w:rPr>
      </w:pPr>
      <w:r w:rsidRPr="00ED18C1">
        <w:rPr>
          <w:b/>
          <w:sz w:val="26"/>
          <w:szCs w:val="26"/>
        </w:rPr>
        <w:tab/>
      </w:r>
      <w:r w:rsidRPr="00ED18C1">
        <w:rPr>
          <w:b/>
          <w:sz w:val="26"/>
          <w:szCs w:val="26"/>
        </w:rPr>
        <w:tab/>
        <w:t>Assistant General Counsel, Legal Division</w:t>
      </w:r>
    </w:p>
    <w:p w:rsidRPr="00ED18C1" w:rsidR="00A375EC" w:rsidP="002B1822" w:rsidRDefault="00A375EC" w14:paraId="7FF7308E" w14:textId="77777777">
      <w:pPr>
        <w:tabs>
          <w:tab w:val="left" w:pos="900"/>
          <w:tab w:val="left" w:pos="1440"/>
        </w:tabs>
        <w:rPr>
          <w:b/>
          <w:sz w:val="26"/>
          <w:szCs w:val="26"/>
        </w:rPr>
      </w:pPr>
    </w:p>
    <w:p w:rsidRPr="00ED18C1" w:rsidR="003559F2" w:rsidP="002B1822" w:rsidRDefault="00A375EC" w14:paraId="490EA79A" w14:textId="77777777">
      <w:pPr>
        <w:tabs>
          <w:tab w:val="left" w:pos="900"/>
          <w:tab w:val="left" w:pos="1440"/>
        </w:tabs>
        <w:rPr>
          <w:b/>
          <w:sz w:val="26"/>
          <w:szCs w:val="26"/>
        </w:rPr>
      </w:pPr>
      <w:r w:rsidRPr="00ED18C1">
        <w:rPr>
          <w:b/>
          <w:sz w:val="26"/>
          <w:szCs w:val="26"/>
        </w:rPr>
        <w:tab/>
      </w:r>
      <w:r w:rsidRPr="00ED18C1">
        <w:rPr>
          <w:b/>
          <w:sz w:val="26"/>
          <w:szCs w:val="26"/>
        </w:rPr>
        <w:tab/>
      </w:r>
      <w:r w:rsidRPr="00ED18C1" w:rsidR="003559F2">
        <w:rPr>
          <w:b/>
          <w:sz w:val="26"/>
          <w:szCs w:val="26"/>
        </w:rPr>
        <w:t>Elaine Sison-Lebrilla</w:t>
      </w:r>
    </w:p>
    <w:p w:rsidRPr="00ED18C1" w:rsidR="003559F2" w:rsidP="002B1822" w:rsidRDefault="003559F2" w14:paraId="5240AE10" w14:textId="77777777">
      <w:pPr>
        <w:tabs>
          <w:tab w:val="left" w:pos="900"/>
          <w:tab w:val="left" w:pos="1440"/>
        </w:tabs>
        <w:rPr>
          <w:b/>
          <w:sz w:val="26"/>
          <w:szCs w:val="26"/>
        </w:rPr>
      </w:pPr>
      <w:r w:rsidRPr="00ED18C1">
        <w:rPr>
          <w:b/>
          <w:sz w:val="26"/>
          <w:szCs w:val="26"/>
        </w:rPr>
        <w:tab/>
      </w:r>
      <w:r w:rsidRPr="00ED18C1">
        <w:rPr>
          <w:b/>
          <w:sz w:val="26"/>
          <w:szCs w:val="26"/>
        </w:rPr>
        <w:tab/>
        <w:t>Project and Program Supervisor, Energy Division</w:t>
      </w:r>
    </w:p>
    <w:p w:rsidRPr="00ED18C1" w:rsidR="003559F2" w:rsidP="002B1822" w:rsidRDefault="003559F2" w14:paraId="166283F7" w14:textId="77777777">
      <w:pPr>
        <w:tabs>
          <w:tab w:val="left" w:pos="900"/>
          <w:tab w:val="left" w:pos="1440"/>
        </w:tabs>
        <w:rPr>
          <w:b/>
          <w:sz w:val="26"/>
          <w:szCs w:val="26"/>
        </w:rPr>
      </w:pPr>
    </w:p>
    <w:p w:rsidRPr="00ED18C1" w:rsidR="00A375EC" w:rsidP="002B1822" w:rsidRDefault="003559F2" w14:paraId="5C6D60A3" w14:textId="77777777">
      <w:pPr>
        <w:tabs>
          <w:tab w:val="left" w:pos="900"/>
          <w:tab w:val="left" w:pos="1440"/>
        </w:tabs>
        <w:rPr>
          <w:b/>
          <w:sz w:val="26"/>
          <w:szCs w:val="26"/>
        </w:rPr>
      </w:pPr>
      <w:r w:rsidRPr="00ED18C1">
        <w:rPr>
          <w:b/>
          <w:sz w:val="26"/>
          <w:szCs w:val="26"/>
        </w:rPr>
        <w:tab/>
      </w:r>
      <w:r w:rsidRPr="00ED18C1">
        <w:rPr>
          <w:b/>
          <w:sz w:val="26"/>
          <w:szCs w:val="26"/>
        </w:rPr>
        <w:tab/>
      </w:r>
      <w:r w:rsidRPr="00ED18C1" w:rsidR="00C1480C">
        <w:rPr>
          <w:b/>
          <w:sz w:val="26"/>
          <w:szCs w:val="26"/>
        </w:rPr>
        <w:t>Simon Hurd</w:t>
      </w:r>
    </w:p>
    <w:p w:rsidRPr="00ED18C1" w:rsidR="00A375EC" w:rsidP="002B1822" w:rsidRDefault="00A375EC" w14:paraId="6B21391C" w14:textId="5C7E8F8F">
      <w:pPr>
        <w:tabs>
          <w:tab w:val="left" w:pos="900"/>
          <w:tab w:val="left" w:pos="1440"/>
        </w:tabs>
        <w:rPr>
          <w:b/>
          <w:sz w:val="26"/>
          <w:szCs w:val="26"/>
        </w:rPr>
      </w:pPr>
      <w:r w:rsidRPr="00ED18C1">
        <w:rPr>
          <w:b/>
          <w:sz w:val="26"/>
          <w:szCs w:val="26"/>
        </w:rPr>
        <w:tab/>
      </w:r>
      <w:r w:rsidRPr="00ED18C1">
        <w:rPr>
          <w:b/>
          <w:sz w:val="26"/>
          <w:szCs w:val="26"/>
        </w:rPr>
        <w:tab/>
      </w:r>
      <w:r w:rsidR="00134473">
        <w:rPr>
          <w:b/>
          <w:sz w:val="26"/>
          <w:szCs w:val="26"/>
        </w:rPr>
        <w:t xml:space="preserve">Senior </w:t>
      </w:r>
      <w:r w:rsidRPr="00ED18C1" w:rsidR="00F72ED1">
        <w:rPr>
          <w:b/>
          <w:sz w:val="26"/>
          <w:szCs w:val="26"/>
        </w:rPr>
        <w:t xml:space="preserve">Regulatory Analyst, </w:t>
      </w:r>
      <w:r w:rsidRPr="00ED18C1" w:rsidR="00C1480C">
        <w:rPr>
          <w:b/>
          <w:sz w:val="26"/>
          <w:szCs w:val="26"/>
        </w:rPr>
        <w:t>Energy</w:t>
      </w:r>
      <w:r w:rsidRPr="00ED18C1" w:rsidR="00D53885">
        <w:rPr>
          <w:b/>
          <w:sz w:val="26"/>
          <w:szCs w:val="26"/>
        </w:rPr>
        <w:t xml:space="preserve"> Division</w:t>
      </w:r>
    </w:p>
    <w:p w:rsidRPr="00ED18C1" w:rsidR="00F53B0E" w:rsidP="002B1822" w:rsidRDefault="00F53B0E" w14:paraId="7498D696" w14:textId="77777777">
      <w:pPr>
        <w:tabs>
          <w:tab w:val="left" w:pos="900"/>
          <w:tab w:val="left" w:pos="1440"/>
        </w:tabs>
        <w:rPr>
          <w:b/>
          <w:sz w:val="26"/>
          <w:szCs w:val="26"/>
        </w:rPr>
      </w:pPr>
    </w:p>
    <w:p w:rsidRPr="00ED18C1" w:rsidR="006A2FF8" w:rsidP="002B1822" w:rsidRDefault="00BB65E6" w14:paraId="482E2CE3" w14:textId="77777777">
      <w:pPr>
        <w:tabs>
          <w:tab w:val="left" w:pos="1440"/>
        </w:tabs>
        <w:ind w:left="1440" w:hanging="1440"/>
        <w:rPr>
          <w:b/>
          <w:sz w:val="26"/>
          <w:szCs w:val="26"/>
        </w:rPr>
      </w:pPr>
      <w:r w:rsidRPr="00ED18C1">
        <w:rPr>
          <w:b/>
          <w:sz w:val="26"/>
          <w:szCs w:val="26"/>
        </w:rPr>
        <w:t>Subject</w:t>
      </w:r>
      <w:r w:rsidRPr="00ED18C1" w:rsidR="00563EE4">
        <w:rPr>
          <w:b/>
          <w:sz w:val="26"/>
          <w:szCs w:val="26"/>
        </w:rPr>
        <w:t>:</w:t>
      </w:r>
      <w:r w:rsidRPr="00ED18C1">
        <w:rPr>
          <w:b/>
          <w:sz w:val="26"/>
          <w:szCs w:val="26"/>
        </w:rPr>
        <w:tab/>
      </w:r>
      <w:r w:rsidRPr="00ED18C1" w:rsidR="006A2FF8">
        <w:rPr>
          <w:b/>
          <w:sz w:val="26"/>
          <w:szCs w:val="26"/>
        </w:rPr>
        <w:t xml:space="preserve">Staff request Commission Approval to Comment on FERC’s Rulemaking to Consider Potential Transmission Reforms: </w:t>
      </w:r>
      <w:r w:rsidRPr="00ED18C1" w:rsidR="006A2FF8">
        <w:rPr>
          <w:b/>
          <w:sz w:val="26"/>
          <w:szCs w:val="26"/>
        </w:rPr>
        <w:br/>
      </w:r>
      <w:r w:rsidRPr="00ED18C1" w:rsidR="006A2FF8">
        <w:rPr>
          <w:b/>
          <w:i/>
          <w:iCs/>
          <w:sz w:val="26"/>
          <w:szCs w:val="26"/>
        </w:rPr>
        <w:t>Building for the Future Through Electric Regional Transmission Planning and Cost Allocation and Generator Interconnection</w:t>
      </w:r>
    </w:p>
    <w:p w:rsidRPr="00ED18C1" w:rsidR="00A42156" w:rsidP="002B1822" w:rsidRDefault="006A2FF8" w14:paraId="216EC201" w14:textId="2E7CE7B8">
      <w:pPr>
        <w:tabs>
          <w:tab w:val="left" w:pos="1440"/>
        </w:tabs>
        <w:ind w:left="1440" w:hanging="1440"/>
        <w:rPr>
          <w:b/>
          <w:sz w:val="26"/>
          <w:szCs w:val="26"/>
        </w:rPr>
      </w:pPr>
      <w:r w:rsidRPr="00ED18C1">
        <w:rPr>
          <w:b/>
          <w:sz w:val="26"/>
          <w:szCs w:val="26"/>
        </w:rPr>
        <w:tab/>
        <w:t>(FERC Docket No. RM21-17-000)</w:t>
      </w:r>
    </w:p>
    <w:p w:rsidRPr="00ED18C1" w:rsidR="00A42156" w:rsidP="002B1822" w:rsidRDefault="00A42156" w14:paraId="612D19CE" w14:textId="77777777">
      <w:pPr>
        <w:pStyle w:val="BodyText"/>
        <w:spacing w:after="0"/>
        <w:rPr>
          <w:bCs/>
          <w:szCs w:val="26"/>
        </w:rPr>
      </w:pPr>
    </w:p>
    <w:p w:rsidR="006A2FF8" w:rsidP="002B1822" w:rsidRDefault="006A2FF8" w14:paraId="6E4E8B93" w14:textId="3143F6AB">
      <w:pPr>
        <w:pStyle w:val="BodyText"/>
        <w:spacing w:after="0"/>
        <w:rPr>
          <w:bCs/>
          <w:szCs w:val="26"/>
        </w:rPr>
      </w:pPr>
      <w:r w:rsidRPr="00ED18C1">
        <w:rPr>
          <w:b/>
          <w:szCs w:val="26"/>
          <w:u w:val="single"/>
        </w:rPr>
        <w:t>RECOMMENDATION</w:t>
      </w:r>
      <w:r w:rsidRPr="00ED18C1">
        <w:rPr>
          <w:b/>
          <w:szCs w:val="26"/>
        </w:rPr>
        <w:t>:</w:t>
      </w:r>
      <w:r w:rsidRPr="00ED18C1">
        <w:rPr>
          <w:bCs/>
          <w:szCs w:val="26"/>
        </w:rPr>
        <w:t xml:space="preserve">  Legal Division and Energy Division </w:t>
      </w:r>
      <w:r w:rsidR="00721E9E">
        <w:rPr>
          <w:bCs/>
          <w:szCs w:val="26"/>
        </w:rPr>
        <w:t>S</w:t>
      </w:r>
      <w:r w:rsidRPr="00ED18C1">
        <w:rPr>
          <w:bCs/>
          <w:szCs w:val="26"/>
        </w:rPr>
        <w:t xml:space="preserve">taff (collectively, </w:t>
      </w:r>
      <w:r w:rsidR="00721E9E">
        <w:rPr>
          <w:bCs/>
          <w:szCs w:val="26"/>
        </w:rPr>
        <w:t>S</w:t>
      </w:r>
      <w:r w:rsidRPr="00ED18C1">
        <w:rPr>
          <w:bCs/>
          <w:szCs w:val="26"/>
        </w:rPr>
        <w:t xml:space="preserve">taff) recommend that the California Public Utilities Commission (CPUC) </w:t>
      </w:r>
      <w:r w:rsidRPr="00ED18C1">
        <w:rPr>
          <w:szCs w:val="26"/>
        </w:rPr>
        <w:t xml:space="preserve">file comments in response to the </w:t>
      </w:r>
      <w:r w:rsidRPr="00ED18C1">
        <w:rPr>
          <w:bCs/>
          <w:szCs w:val="26"/>
        </w:rPr>
        <w:t>Federal Energy Regulatory Commission’s (FERC) Advanced Notice of Proposed Rulemaking in Docket No. RM21-17-000 (ANOPR),</w:t>
      </w:r>
      <w:r w:rsidRPr="00ED18C1">
        <w:rPr>
          <w:rStyle w:val="FootnoteReference"/>
          <w:bCs/>
          <w:sz w:val="26"/>
          <w:szCs w:val="26"/>
        </w:rPr>
        <w:footnoteReference w:id="1"/>
      </w:r>
      <w:r w:rsidRPr="00ED18C1">
        <w:rPr>
          <w:bCs/>
          <w:szCs w:val="26"/>
        </w:rPr>
        <w:t xml:space="preserve"> which proposes potential </w:t>
      </w:r>
      <w:r w:rsidRPr="00ED18C1">
        <w:rPr>
          <w:bCs/>
          <w:szCs w:val="26"/>
        </w:rPr>
        <w:lastRenderedPageBreak/>
        <w:t>transmission reforms to improve the electric regional transmission planning, cost allocation, and generator interconnection processes.  FERC also seeks comments on how to enhance oversight of transmission spending.  Initial Comments are due on October 12, 2021, and Reply Comments are due on November 30, 2021</w:t>
      </w:r>
      <w:r w:rsidR="008E0BF4">
        <w:rPr>
          <w:bCs/>
          <w:szCs w:val="26"/>
        </w:rPr>
        <w:t>.</w:t>
      </w:r>
    </w:p>
    <w:p w:rsidRPr="00ED18C1" w:rsidR="003C46CB" w:rsidP="002B1822" w:rsidRDefault="003C46CB" w14:paraId="175ABF3D" w14:textId="77777777">
      <w:pPr>
        <w:pStyle w:val="BodyText"/>
        <w:spacing w:after="0"/>
        <w:rPr>
          <w:bCs/>
          <w:szCs w:val="26"/>
        </w:rPr>
      </w:pPr>
    </w:p>
    <w:p w:rsidRPr="00ED18C1" w:rsidR="006A2FF8" w:rsidP="002B1822" w:rsidRDefault="006A2FF8" w14:paraId="3CAB7087" w14:textId="060CDBCD">
      <w:pPr>
        <w:pStyle w:val="StyleHeading113ptBold"/>
        <w:spacing w:before="0" w:after="0"/>
        <w:rPr>
          <w:szCs w:val="26"/>
        </w:rPr>
      </w:pPr>
      <w:r w:rsidRPr="00ED18C1">
        <w:rPr>
          <w:szCs w:val="26"/>
        </w:rPr>
        <w:t xml:space="preserve">BACKGROUND: </w:t>
      </w:r>
    </w:p>
    <w:p w:rsidRPr="00ED18C1" w:rsidR="006A2FF8" w:rsidP="002B1822" w:rsidRDefault="006A2FF8" w14:paraId="0FC2BBCD" w14:textId="77777777">
      <w:pPr>
        <w:pStyle w:val="BodyText"/>
        <w:spacing w:after="0"/>
        <w:rPr>
          <w:bCs/>
          <w:szCs w:val="26"/>
        </w:rPr>
      </w:pPr>
    </w:p>
    <w:p w:rsidRPr="00ED18C1" w:rsidR="009343F5" w:rsidP="002B1822" w:rsidRDefault="003C570D" w14:paraId="78D72DFB" w14:textId="7F2D8135">
      <w:pPr>
        <w:pStyle w:val="BodyText"/>
        <w:spacing w:after="0"/>
        <w:rPr>
          <w:szCs w:val="26"/>
        </w:rPr>
      </w:pPr>
      <w:r w:rsidRPr="00ED18C1">
        <w:rPr>
          <w:bCs/>
          <w:szCs w:val="26"/>
        </w:rPr>
        <w:t xml:space="preserve">On July 15, 2021, the Federal Energy Regulatory Commission (FERC) issued an Advance Notice of Proposed Rulemaking (ANOPR) to consider “the potential need for reforms or revisions to existing regulations” to improve electric regional transmission planning, cost allocation, and generator interconnection processes, and </w:t>
      </w:r>
      <w:r w:rsidRPr="00ED18C1" w:rsidR="00330867">
        <w:rPr>
          <w:bCs/>
          <w:szCs w:val="26"/>
        </w:rPr>
        <w:t xml:space="preserve">to enhance </w:t>
      </w:r>
      <w:r w:rsidRPr="00ED18C1">
        <w:rPr>
          <w:bCs/>
          <w:szCs w:val="26"/>
        </w:rPr>
        <w:t xml:space="preserve">oversight </w:t>
      </w:r>
      <w:r w:rsidRPr="00ED18C1" w:rsidR="00330867">
        <w:rPr>
          <w:bCs/>
          <w:szCs w:val="26"/>
        </w:rPr>
        <w:t xml:space="preserve">of transmission infrastructure development, </w:t>
      </w:r>
      <w:r w:rsidRPr="00ED18C1" w:rsidR="00330867">
        <w:rPr>
          <w:bCs/>
          <w:i/>
          <w:iCs/>
          <w:szCs w:val="26"/>
        </w:rPr>
        <w:t>i.e</w:t>
      </w:r>
      <w:r w:rsidRPr="00ED18C1" w:rsidR="00330867">
        <w:rPr>
          <w:bCs/>
          <w:szCs w:val="26"/>
        </w:rPr>
        <w:t>., how transmission projects are identified and paid for.</w:t>
      </w:r>
      <w:r w:rsidRPr="00ED18C1">
        <w:rPr>
          <w:rStyle w:val="FootnoteReference"/>
          <w:bCs/>
          <w:sz w:val="26"/>
          <w:szCs w:val="26"/>
        </w:rPr>
        <w:footnoteReference w:id="2"/>
      </w:r>
      <w:r w:rsidRPr="00ED18C1" w:rsidR="00330867">
        <w:rPr>
          <w:bCs/>
          <w:szCs w:val="26"/>
        </w:rPr>
        <w:t xml:space="preserve">  FERC issued the ANOPR</w:t>
      </w:r>
      <w:r w:rsidRPr="00ED18C1" w:rsidR="00A42156">
        <w:rPr>
          <w:bCs/>
          <w:szCs w:val="26"/>
        </w:rPr>
        <w:t xml:space="preserve"> in response to “evolving conditions” in the transmission system, most importantly, resource mix changes resulting from transformation of </w:t>
      </w:r>
      <w:r w:rsidRPr="00ED18C1" w:rsidR="00A42156">
        <w:rPr>
          <w:szCs w:val="26"/>
        </w:rPr>
        <w:t>the generation fleet due to growth in new resources, including renewables, that may often be located far from load centers</w:t>
      </w:r>
      <w:r w:rsidRPr="00ED18C1" w:rsidR="00107D3A">
        <w:rPr>
          <w:szCs w:val="26"/>
        </w:rPr>
        <w:t>, and thus, create new demands on the transmission system.</w:t>
      </w:r>
      <w:r w:rsidRPr="00ED18C1" w:rsidR="00A42156">
        <w:rPr>
          <w:rStyle w:val="FootnoteReference"/>
          <w:sz w:val="26"/>
          <w:szCs w:val="26"/>
        </w:rPr>
        <w:footnoteReference w:id="3"/>
      </w:r>
      <w:r w:rsidRPr="00ED18C1" w:rsidR="00107D3A">
        <w:rPr>
          <w:szCs w:val="26"/>
        </w:rPr>
        <w:t xml:space="preserve">  </w:t>
      </w:r>
      <w:r w:rsidRPr="00ED18C1" w:rsidR="00A26315">
        <w:rPr>
          <w:szCs w:val="26"/>
        </w:rPr>
        <w:t xml:space="preserve">An ANOPR typically precedes a formal proposal for new rules in a NOPR.  </w:t>
      </w:r>
    </w:p>
    <w:p w:rsidRPr="00ED18C1" w:rsidR="009343F5" w:rsidP="002B1822" w:rsidRDefault="009343F5" w14:paraId="519BB2D4" w14:textId="39228806">
      <w:pPr>
        <w:pStyle w:val="BodyText"/>
        <w:spacing w:after="0"/>
        <w:rPr>
          <w:szCs w:val="26"/>
        </w:rPr>
      </w:pPr>
    </w:p>
    <w:p w:rsidRPr="00ED18C1" w:rsidR="00D577ED" w:rsidP="002B1822" w:rsidRDefault="00D115F2" w14:paraId="2EF2E329" w14:textId="325531A3">
      <w:pPr>
        <w:pStyle w:val="BodyText"/>
        <w:spacing w:after="0"/>
        <w:rPr>
          <w:szCs w:val="26"/>
        </w:rPr>
      </w:pPr>
      <w:r w:rsidRPr="00ED18C1">
        <w:rPr>
          <w:szCs w:val="26"/>
        </w:rPr>
        <w:t>FERC</w:t>
      </w:r>
      <w:r w:rsidRPr="00ED18C1" w:rsidR="009343F5">
        <w:rPr>
          <w:szCs w:val="26"/>
        </w:rPr>
        <w:t xml:space="preserve"> explain</w:t>
      </w:r>
      <w:r w:rsidRPr="00ED18C1">
        <w:rPr>
          <w:szCs w:val="26"/>
        </w:rPr>
        <w:t>s</w:t>
      </w:r>
      <w:r w:rsidRPr="00ED18C1" w:rsidR="009343F5">
        <w:rPr>
          <w:szCs w:val="26"/>
        </w:rPr>
        <w:t xml:space="preserve"> in the ANOPR</w:t>
      </w:r>
      <w:r w:rsidRPr="00ED18C1">
        <w:rPr>
          <w:szCs w:val="26"/>
        </w:rPr>
        <w:t xml:space="preserve"> that it has been more than a decade since </w:t>
      </w:r>
      <w:r w:rsidRPr="00ED18C1" w:rsidR="00A26315">
        <w:rPr>
          <w:szCs w:val="26"/>
        </w:rPr>
        <w:t>the last of FERC’s major orders governing an open, competitive transmission system and interconnections</w:t>
      </w:r>
      <w:r w:rsidRPr="00ED18C1" w:rsidR="00D577ED">
        <w:rPr>
          <w:szCs w:val="26"/>
        </w:rPr>
        <w:t xml:space="preserve">, </w:t>
      </w:r>
      <w:r w:rsidRPr="00ED18C1" w:rsidR="00D577ED">
        <w:rPr>
          <w:i/>
          <w:iCs/>
          <w:szCs w:val="26"/>
        </w:rPr>
        <w:t>i.e</w:t>
      </w:r>
      <w:r w:rsidRPr="00ED18C1" w:rsidR="00D577ED">
        <w:rPr>
          <w:szCs w:val="26"/>
        </w:rPr>
        <w:t>.,</w:t>
      </w:r>
      <w:r w:rsidRPr="00ED18C1" w:rsidR="00A26315">
        <w:rPr>
          <w:szCs w:val="26"/>
        </w:rPr>
        <w:t xml:space="preserve"> </w:t>
      </w:r>
      <w:r w:rsidRPr="00ED18C1">
        <w:rPr>
          <w:szCs w:val="26"/>
        </w:rPr>
        <w:t>Order Nos. 890</w:t>
      </w:r>
      <w:r w:rsidRPr="00ED18C1" w:rsidR="0018365C">
        <w:rPr>
          <w:szCs w:val="26"/>
        </w:rPr>
        <w:t>,</w:t>
      </w:r>
      <w:r w:rsidRPr="00ED18C1">
        <w:rPr>
          <w:szCs w:val="26"/>
        </w:rPr>
        <w:t xml:space="preserve"> 1000, </w:t>
      </w:r>
      <w:r w:rsidRPr="00ED18C1" w:rsidR="0018365C">
        <w:rPr>
          <w:szCs w:val="26"/>
        </w:rPr>
        <w:t>and 2003</w:t>
      </w:r>
      <w:r w:rsidR="003E783C">
        <w:rPr>
          <w:szCs w:val="26"/>
        </w:rPr>
        <w:t>.</w:t>
      </w:r>
      <w:r w:rsidRPr="00ED18C1" w:rsidR="00D577ED">
        <w:rPr>
          <w:szCs w:val="26"/>
        </w:rPr>
        <w:t xml:space="preserve"> </w:t>
      </w:r>
      <w:r w:rsidR="003E783C">
        <w:rPr>
          <w:szCs w:val="26"/>
        </w:rPr>
        <w:t xml:space="preserve"> Thus, </w:t>
      </w:r>
      <w:r w:rsidRPr="00ED18C1" w:rsidR="00D577ED">
        <w:rPr>
          <w:szCs w:val="26"/>
        </w:rPr>
        <w:t xml:space="preserve">it is now </w:t>
      </w:r>
      <w:r w:rsidRPr="00ED18C1">
        <w:rPr>
          <w:szCs w:val="26"/>
        </w:rPr>
        <w:t>an appropriate time to review the issues addressed by those orders “and determine whether additional reforms to the regional transmission planning and cost allocation and generator interconnection processes or revisions to existing regulations are needed</w:t>
      </w:r>
      <w:r w:rsidR="003E783C">
        <w:rPr>
          <w:szCs w:val="26"/>
        </w:rPr>
        <w:t>.”</w:t>
      </w:r>
    </w:p>
    <w:p w:rsidRPr="00ED18C1" w:rsidR="00D115F2" w:rsidP="002B1822" w:rsidRDefault="00D115F2" w14:paraId="7C4591B5" w14:textId="13F3BEDF">
      <w:pPr>
        <w:pStyle w:val="BodyText"/>
        <w:spacing w:after="0"/>
        <w:rPr>
          <w:szCs w:val="26"/>
        </w:rPr>
      </w:pPr>
    </w:p>
    <w:p w:rsidRPr="00ED18C1" w:rsidR="00D115F2" w:rsidP="002B1822" w:rsidRDefault="00D115F2" w14:paraId="18A61902" w14:textId="77538076">
      <w:pPr>
        <w:pStyle w:val="BodyText"/>
        <w:spacing w:after="0"/>
        <w:rPr>
          <w:szCs w:val="26"/>
        </w:rPr>
      </w:pPr>
      <w:r w:rsidRPr="00ED18C1">
        <w:rPr>
          <w:szCs w:val="26"/>
        </w:rPr>
        <w:t xml:space="preserve">In the ANOPR, FERC identifies three general areas for potential reform: (1) reforms for longer-term regional transmission planning and cost-allocation processes; (2) reforms that focus on improving the cost allocation for regional transmission facilities and interconnection network upgrades; and (3) FERC oversight of the need for new transmission facilities and project financing, and </w:t>
      </w:r>
      <w:r w:rsidRPr="00ED18C1" w:rsidR="00E509B6">
        <w:rPr>
          <w:szCs w:val="26"/>
        </w:rPr>
        <w:t>consumer protection</w:t>
      </w:r>
      <w:r w:rsidRPr="00ED18C1">
        <w:rPr>
          <w:szCs w:val="26"/>
        </w:rPr>
        <w:t xml:space="preserve"> from excessive costs.  The ANOPR </w:t>
      </w:r>
      <w:r w:rsidRPr="00ED18C1" w:rsidR="00EE7F26">
        <w:rPr>
          <w:szCs w:val="26"/>
        </w:rPr>
        <w:t>poses</w:t>
      </w:r>
      <w:r w:rsidRPr="00ED18C1">
        <w:rPr>
          <w:szCs w:val="26"/>
        </w:rPr>
        <w:t xml:space="preserve"> </w:t>
      </w:r>
      <w:r w:rsidRPr="00ED18C1" w:rsidR="00EE7F26">
        <w:rPr>
          <w:szCs w:val="26"/>
        </w:rPr>
        <w:t>numerous</w:t>
      </w:r>
      <w:r w:rsidRPr="00ED18C1">
        <w:rPr>
          <w:szCs w:val="26"/>
        </w:rPr>
        <w:t xml:space="preserve"> questions</w:t>
      </w:r>
      <w:r w:rsidRPr="00ED18C1" w:rsidR="005B7951">
        <w:rPr>
          <w:szCs w:val="26"/>
        </w:rPr>
        <w:t xml:space="preserve"> and proposal</w:t>
      </w:r>
      <w:r w:rsidRPr="00ED18C1" w:rsidR="002829BA">
        <w:rPr>
          <w:szCs w:val="26"/>
        </w:rPr>
        <w:t>s</w:t>
      </w:r>
      <w:r w:rsidRPr="00ED18C1">
        <w:rPr>
          <w:szCs w:val="26"/>
        </w:rPr>
        <w:t xml:space="preserve"> for commenters to consider within these areas, </w:t>
      </w:r>
      <w:r w:rsidRPr="00ED18C1" w:rsidR="002829BA">
        <w:rPr>
          <w:szCs w:val="26"/>
        </w:rPr>
        <w:t>and invites commenters to submit alternative proposals for FERC’s consideration.</w:t>
      </w:r>
      <w:r w:rsidRPr="00ED18C1" w:rsidR="001F359B">
        <w:rPr>
          <w:szCs w:val="26"/>
        </w:rPr>
        <w:t xml:space="preserve">  Specific questions posed in the ANOPR include:</w:t>
      </w:r>
    </w:p>
    <w:p w:rsidRPr="00ED18C1" w:rsidR="001D1801" w:rsidP="002B1822" w:rsidRDefault="001D1801" w14:paraId="722FE0BC" w14:textId="77777777">
      <w:pPr>
        <w:pStyle w:val="BodyText"/>
        <w:spacing w:after="0"/>
        <w:rPr>
          <w:szCs w:val="26"/>
        </w:rPr>
      </w:pPr>
    </w:p>
    <w:p w:rsidRPr="00ED18C1" w:rsidR="001D1801" w:rsidP="00407553" w:rsidRDefault="001D1801" w14:paraId="472AF25A" w14:textId="39634923">
      <w:pPr>
        <w:pStyle w:val="BodyText"/>
        <w:numPr>
          <w:ilvl w:val="0"/>
          <w:numId w:val="40"/>
        </w:numPr>
        <w:spacing w:after="0"/>
        <w:ind w:left="1166" w:right="1440" w:hanging="446"/>
        <w:rPr>
          <w:szCs w:val="26"/>
        </w:rPr>
      </w:pPr>
      <w:r w:rsidRPr="00ED18C1">
        <w:rPr>
          <w:szCs w:val="26"/>
        </w:rPr>
        <w:t xml:space="preserve">Whether to reform how regional transmission planning and cost allocation processes model future scenarios to incorporate sufficiently long-term and comprehensive forecasts of future </w:t>
      </w:r>
      <w:r w:rsidRPr="00ED18C1">
        <w:rPr>
          <w:szCs w:val="26"/>
        </w:rPr>
        <w:lastRenderedPageBreak/>
        <w:t>transmission needs that account for the changing generation mix;</w:t>
      </w:r>
      <w:r w:rsidRPr="00ED18C1">
        <w:rPr>
          <w:rStyle w:val="FootnoteReference"/>
          <w:sz w:val="26"/>
          <w:szCs w:val="26"/>
        </w:rPr>
        <w:footnoteReference w:id="4"/>
      </w:r>
    </w:p>
    <w:p w:rsidRPr="00ED18C1" w:rsidR="00F2051A" w:rsidP="00407553" w:rsidRDefault="00F2051A" w14:paraId="30F9935D" w14:textId="77777777">
      <w:pPr>
        <w:pStyle w:val="BodyText"/>
        <w:spacing w:after="0"/>
        <w:ind w:left="1166" w:right="1440" w:hanging="446"/>
        <w:rPr>
          <w:szCs w:val="26"/>
        </w:rPr>
      </w:pPr>
    </w:p>
    <w:p w:rsidRPr="00ED18C1" w:rsidR="00A23E72" w:rsidP="00407553" w:rsidRDefault="00A23E72" w14:paraId="3829C249" w14:textId="11A3A3E0">
      <w:pPr>
        <w:pStyle w:val="BodyText"/>
        <w:numPr>
          <w:ilvl w:val="0"/>
          <w:numId w:val="40"/>
        </w:numPr>
        <w:spacing w:after="0"/>
        <w:ind w:left="1166" w:right="1440" w:hanging="446"/>
        <w:rPr>
          <w:szCs w:val="26"/>
        </w:rPr>
      </w:pPr>
      <w:r w:rsidRPr="00ED18C1">
        <w:rPr>
          <w:szCs w:val="26"/>
        </w:rPr>
        <w:t xml:space="preserve">Whether FERC should adopt measures to discourage submission of speculative interconnection requests, </w:t>
      </w:r>
      <w:r w:rsidRPr="00ED18C1">
        <w:rPr>
          <w:i/>
          <w:iCs/>
          <w:szCs w:val="26"/>
        </w:rPr>
        <w:t>e.g</w:t>
      </w:r>
      <w:r w:rsidRPr="00ED18C1">
        <w:rPr>
          <w:szCs w:val="26"/>
        </w:rPr>
        <w:t>., by levying penalties for submitting speculative requests,</w:t>
      </w:r>
      <w:r w:rsidRPr="00ED18C1">
        <w:rPr>
          <w:rStyle w:val="FootnoteReference"/>
          <w:sz w:val="26"/>
          <w:szCs w:val="26"/>
        </w:rPr>
        <w:footnoteReference w:id="5"/>
      </w:r>
      <w:r w:rsidRPr="00ED18C1">
        <w:rPr>
          <w:szCs w:val="26"/>
        </w:rPr>
        <w:t xml:space="preserve"> and consider procedures for fast-tracking certain interconnection requests.</w:t>
      </w:r>
      <w:r w:rsidRPr="00ED18C1" w:rsidR="00F2051A">
        <w:rPr>
          <w:rStyle w:val="FootnoteReference"/>
          <w:sz w:val="26"/>
          <w:szCs w:val="26"/>
        </w:rPr>
        <w:footnoteReference w:id="6"/>
      </w:r>
    </w:p>
    <w:p w:rsidRPr="00ED18C1" w:rsidR="00F2051A" w:rsidP="00407553" w:rsidRDefault="00F2051A" w14:paraId="209DF815" w14:textId="77777777">
      <w:pPr>
        <w:pStyle w:val="ListParagraph"/>
        <w:ind w:left="1166" w:right="1440" w:hanging="446"/>
        <w:rPr>
          <w:sz w:val="26"/>
          <w:szCs w:val="26"/>
        </w:rPr>
      </w:pPr>
    </w:p>
    <w:p w:rsidRPr="00ED18C1" w:rsidR="00F2051A" w:rsidP="00407553" w:rsidRDefault="00F2051A" w14:paraId="4DD28750" w14:textId="0E340E02">
      <w:pPr>
        <w:pStyle w:val="BodyText"/>
        <w:numPr>
          <w:ilvl w:val="0"/>
          <w:numId w:val="40"/>
        </w:numPr>
        <w:spacing w:after="0"/>
        <w:ind w:left="1166" w:right="1440" w:hanging="446"/>
        <w:rPr>
          <w:szCs w:val="26"/>
        </w:rPr>
      </w:pPr>
      <w:r w:rsidRPr="00ED18C1">
        <w:rPr>
          <w:szCs w:val="26"/>
        </w:rPr>
        <w:t>Whether FERC should reform the current interregional transmission coordination process by “potentially requiring interregional transmission planning.”</w:t>
      </w:r>
      <w:r w:rsidRPr="00ED18C1">
        <w:rPr>
          <w:rStyle w:val="FootnoteReference"/>
          <w:sz w:val="26"/>
          <w:szCs w:val="26"/>
        </w:rPr>
        <w:footnoteReference w:id="7"/>
      </w:r>
      <w:r w:rsidRPr="00ED18C1">
        <w:rPr>
          <w:szCs w:val="26"/>
        </w:rPr>
        <w:t xml:space="preserve"> </w:t>
      </w:r>
    </w:p>
    <w:p w:rsidRPr="00ED18C1" w:rsidR="00D115F2" w:rsidP="00407553" w:rsidRDefault="00D115F2" w14:paraId="384ECF28" w14:textId="77777777">
      <w:pPr>
        <w:pStyle w:val="BodyText"/>
        <w:spacing w:after="0"/>
        <w:ind w:left="1166" w:right="1440" w:hanging="446"/>
        <w:rPr>
          <w:szCs w:val="26"/>
        </w:rPr>
      </w:pPr>
    </w:p>
    <w:p w:rsidRPr="00ED18C1" w:rsidR="001F359B" w:rsidP="00407553" w:rsidRDefault="001F359B" w14:paraId="413DDEF5" w14:textId="23C6BF39">
      <w:pPr>
        <w:pStyle w:val="BodyText"/>
        <w:numPr>
          <w:ilvl w:val="0"/>
          <w:numId w:val="40"/>
        </w:numPr>
        <w:spacing w:after="0"/>
        <w:ind w:left="1166" w:right="1440" w:hanging="446"/>
        <w:rPr>
          <w:szCs w:val="26"/>
        </w:rPr>
      </w:pPr>
      <w:r w:rsidRPr="00ED18C1">
        <w:rPr>
          <w:szCs w:val="26"/>
        </w:rPr>
        <w:t>Whether there should be increased federal and/or state regulatory oversight of local transmission facilities,</w:t>
      </w:r>
      <w:r w:rsidRPr="00ED18C1">
        <w:rPr>
          <w:rStyle w:val="FootnoteReference"/>
          <w:sz w:val="26"/>
          <w:szCs w:val="26"/>
        </w:rPr>
        <w:footnoteReference w:id="8"/>
      </w:r>
      <w:r w:rsidRPr="00ED18C1">
        <w:rPr>
          <w:szCs w:val="26"/>
        </w:rPr>
        <w:t xml:space="preserve"> and </w:t>
      </w:r>
      <w:r w:rsidRPr="00ED18C1">
        <w:rPr>
          <w:bCs/>
          <w:color w:val="000000"/>
          <w:szCs w:val="26"/>
        </w:rPr>
        <w:t>“</w:t>
      </w:r>
      <w:r w:rsidRPr="00ED18C1">
        <w:rPr>
          <w:szCs w:val="26"/>
        </w:rPr>
        <w:t>whether the current transmission planning processes may be resulting increasingly in transmission facilities addressing a narrow set of transmission needs, often located in a single transmission owner’s footprint</w:t>
      </w:r>
      <w:r w:rsidRPr="00ED18C1">
        <w:rPr>
          <w:i/>
          <w:iCs/>
          <w:szCs w:val="26"/>
        </w:rPr>
        <w:t>.</w:t>
      </w:r>
      <w:r w:rsidRPr="00ED18C1">
        <w:rPr>
          <w:szCs w:val="26"/>
        </w:rPr>
        <w:t>”</w:t>
      </w:r>
      <w:r w:rsidRPr="00ED18C1">
        <w:rPr>
          <w:rStyle w:val="FootnoteReference"/>
          <w:bCs/>
          <w:color w:val="000000"/>
          <w:sz w:val="26"/>
          <w:szCs w:val="26"/>
        </w:rPr>
        <w:footnoteReference w:id="9"/>
      </w:r>
      <w:r w:rsidRPr="00ED18C1" w:rsidR="00A23E72">
        <w:rPr>
          <w:szCs w:val="26"/>
        </w:rPr>
        <w:t xml:space="preserve">  </w:t>
      </w:r>
    </w:p>
    <w:p w:rsidRPr="00ED18C1" w:rsidR="00A23E72" w:rsidP="00407553" w:rsidRDefault="00A23E72" w14:paraId="70F96119" w14:textId="77777777">
      <w:pPr>
        <w:pStyle w:val="ListParagraph"/>
        <w:ind w:left="1166" w:right="1440" w:hanging="446"/>
        <w:rPr>
          <w:sz w:val="26"/>
          <w:szCs w:val="26"/>
        </w:rPr>
      </w:pPr>
    </w:p>
    <w:p w:rsidRPr="00ED18C1" w:rsidR="00A23E72" w:rsidP="00407553" w:rsidRDefault="00A23E72" w14:paraId="1AA2C201" w14:textId="526E48A4">
      <w:pPr>
        <w:pStyle w:val="BodyText"/>
        <w:numPr>
          <w:ilvl w:val="0"/>
          <w:numId w:val="40"/>
        </w:numPr>
        <w:spacing w:after="0"/>
        <w:ind w:left="1166" w:right="1440" w:hanging="446"/>
        <w:rPr>
          <w:szCs w:val="26"/>
        </w:rPr>
      </w:pPr>
      <w:r w:rsidRPr="00ED18C1">
        <w:rPr>
          <w:szCs w:val="26"/>
        </w:rPr>
        <w:t xml:space="preserve">Whether “individual transmission provider practices regarding retirement and replacement of transmission facilities sufficiently align” with </w:t>
      </w:r>
      <w:r w:rsidR="0064262A">
        <w:rPr>
          <w:szCs w:val="26"/>
        </w:rPr>
        <w:t>FERC</w:t>
      </w:r>
      <w:r w:rsidRPr="00ED18C1">
        <w:rPr>
          <w:szCs w:val="26"/>
        </w:rPr>
        <w:t>’s directive “to ensure evaluation of alternative transmission solutions and whether these practices sufficiently consider the more efficient or cost-effective ways to serve future needs.”</w:t>
      </w:r>
      <w:r w:rsidRPr="00ED18C1">
        <w:rPr>
          <w:rStyle w:val="FootnoteReference"/>
          <w:sz w:val="26"/>
          <w:szCs w:val="26"/>
        </w:rPr>
        <w:footnoteReference w:id="10"/>
      </w:r>
    </w:p>
    <w:p w:rsidRPr="00ED18C1" w:rsidR="001F359B" w:rsidP="00407553" w:rsidRDefault="001F359B" w14:paraId="7D9F2408" w14:textId="77777777">
      <w:pPr>
        <w:pStyle w:val="ListParagraph"/>
        <w:ind w:left="1166" w:right="1440" w:hanging="446"/>
        <w:rPr>
          <w:sz w:val="26"/>
          <w:szCs w:val="26"/>
        </w:rPr>
      </w:pPr>
    </w:p>
    <w:p w:rsidRPr="00ED18C1" w:rsidR="009343F5" w:rsidP="00407553" w:rsidRDefault="001F359B" w14:paraId="385AFE3A" w14:textId="5F21A2CB">
      <w:pPr>
        <w:pStyle w:val="BodyText"/>
        <w:numPr>
          <w:ilvl w:val="0"/>
          <w:numId w:val="40"/>
        </w:numPr>
        <w:spacing w:after="0"/>
        <w:ind w:left="1166" w:right="1440" w:hanging="446"/>
        <w:rPr>
          <w:szCs w:val="26"/>
        </w:rPr>
      </w:pPr>
      <w:r w:rsidRPr="00ED18C1">
        <w:rPr>
          <w:szCs w:val="26"/>
        </w:rPr>
        <w:t>Whether Order 1000 has resulted in “a relative increase in investment in local transmission facilities or [a lack of] diversity of projects resulting from competitive bidding processes.”</w:t>
      </w:r>
      <w:r w:rsidRPr="00ED18C1">
        <w:rPr>
          <w:rStyle w:val="FootnoteReference"/>
          <w:sz w:val="26"/>
          <w:szCs w:val="26"/>
        </w:rPr>
        <w:footnoteReference w:id="11"/>
      </w:r>
      <w:r w:rsidRPr="00ED18C1">
        <w:rPr>
          <w:szCs w:val="26"/>
        </w:rPr>
        <w:t xml:space="preserve">  </w:t>
      </w:r>
    </w:p>
    <w:p w:rsidRPr="00ED18C1" w:rsidR="001F359B" w:rsidP="00407553" w:rsidRDefault="001F359B" w14:paraId="6DBA074C" w14:textId="77777777">
      <w:pPr>
        <w:pStyle w:val="BodyText"/>
        <w:numPr>
          <w:ilvl w:val="0"/>
          <w:numId w:val="40"/>
        </w:numPr>
        <w:spacing w:after="0"/>
        <w:ind w:left="1166" w:right="1440" w:hanging="446"/>
        <w:rPr>
          <w:szCs w:val="26"/>
        </w:rPr>
      </w:pPr>
      <w:r w:rsidRPr="00ED18C1">
        <w:rPr>
          <w:szCs w:val="26"/>
        </w:rPr>
        <w:lastRenderedPageBreak/>
        <w:t>Whether to establish independent entities to monitor the planning and cost of transmission facilities in particular regions, referred to as an “Independent Transmission Monitor[s].”</w:t>
      </w:r>
      <w:r w:rsidRPr="00ED18C1">
        <w:rPr>
          <w:rStyle w:val="FootnoteReference"/>
          <w:sz w:val="26"/>
          <w:szCs w:val="26"/>
        </w:rPr>
        <w:footnoteReference w:id="12"/>
      </w:r>
      <w:r w:rsidRPr="00ED18C1">
        <w:rPr>
          <w:szCs w:val="26"/>
        </w:rPr>
        <w:t xml:space="preserve">  The contemplated Independent Transmission Monitors would operate independently of existing RTOs/ISOs and could make referrals to FERC about problematic planning decisions, </w:t>
      </w:r>
      <w:r w:rsidRPr="00ED18C1">
        <w:rPr>
          <w:i/>
          <w:iCs/>
          <w:szCs w:val="26"/>
        </w:rPr>
        <w:t>e.g</w:t>
      </w:r>
      <w:r w:rsidRPr="00ED18C1">
        <w:rPr>
          <w:szCs w:val="26"/>
        </w:rPr>
        <w:t>., where “potentially excessive transmission facility costs” were identified, or where transmission projects were approved for regional cost allocation though “credible less-costly alternatives,” including non-wires alternatives, were available.</w:t>
      </w:r>
      <w:r w:rsidRPr="00ED18C1">
        <w:rPr>
          <w:rStyle w:val="FootnoteReference"/>
          <w:sz w:val="26"/>
          <w:szCs w:val="26"/>
        </w:rPr>
        <w:footnoteReference w:id="13"/>
      </w:r>
      <w:r w:rsidRPr="00ED18C1">
        <w:rPr>
          <w:szCs w:val="26"/>
        </w:rPr>
        <w:t xml:space="preserve">  </w:t>
      </w:r>
    </w:p>
    <w:p w:rsidRPr="00ED18C1" w:rsidR="001F359B" w:rsidP="00D115F2" w:rsidRDefault="001F359B" w14:paraId="560227CD" w14:textId="4CCE4D2E">
      <w:pPr>
        <w:pStyle w:val="BodyText"/>
        <w:spacing w:after="0"/>
        <w:rPr>
          <w:szCs w:val="26"/>
        </w:rPr>
      </w:pPr>
    </w:p>
    <w:p w:rsidRPr="00ED18C1" w:rsidR="00F2051A" w:rsidP="00B34239" w:rsidRDefault="00F2051A" w14:paraId="546F7FFD" w14:textId="2C13A7C3">
      <w:pPr>
        <w:pStyle w:val="BodyText"/>
        <w:spacing w:after="0"/>
        <w:rPr>
          <w:szCs w:val="26"/>
        </w:rPr>
      </w:pPr>
      <w:r w:rsidRPr="00ED18C1">
        <w:rPr>
          <w:szCs w:val="26"/>
        </w:rPr>
        <w:t>Although t</w:t>
      </w:r>
      <w:r w:rsidRPr="00ED18C1" w:rsidR="00D115F2">
        <w:rPr>
          <w:szCs w:val="26"/>
        </w:rPr>
        <w:t>he ANOPR asks questions on a wide range of topics</w:t>
      </w:r>
      <w:r w:rsidRPr="00ED18C1">
        <w:rPr>
          <w:szCs w:val="26"/>
        </w:rPr>
        <w:t>,</w:t>
      </w:r>
      <w:r w:rsidRPr="00ED18C1" w:rsidR="00D115F2">
        <w:rPr>
          <w:szCs w:val="26"/>
        </w:rPr>
        <w:t xml:space="preserve"> </w:t>
      </w:r>
      <w:r w:rsidRPr="00ED18C1" w:rsidR="005F7D7F">
        <w:rPr>
          <w:szCs w:val="26"/>
        </w:rPr>
        <w:t>the overarching</w:t>
      </w:r>
      <w:r w:rsidRPr="00ED18C1" w:rsidR="0018365C">
        <w:rPr>
          <w:szCs w:val="26"/>
        </w:rPr>
        <w:t xml:space="preserve"> goal</w:t>
      </w:r>
      <w:r w:rsidRPr="00ED18C1">
        <w:rPr>
          <w:szCs w:val="26"/>
        </w:rPr>
        <w:t xml:space="preserve"> of the proceeding</w:t>
      </w:r>
      <w:r w:rsidRPr="00ED18C1" w:rsidR="005F7D7F">
        <w:rPr>
          <w:szCs w:val="26"/>
        </w:rPr>
        <w:t xml:space="preserve">, as explained by Chair Glick and Commissioner Clements, is for FERC to </w:t>
      </w:r>
      <w:r w:rsidRPr="00ED18C1" w:rsidR="0018365C">
        <w:rPr>
          <w:szCs w:val="26"/>
        </w:rPr>
        <w:t>adopt a more efficient, “forward-looking, holistic approach that proactively plans for the transmission needs of the changing resource mix</w:t>
      </w:r>
      <w:r w:rsidRPr="00ED18C1" w:rsidR="005F7D7F">
        <w:rPr>
          <w:szCs w:val="26"/>
        </w:rPr>
        <w:t>,</w:t>
      </w:r>
      <w:r w:rsidRPr="00ED18C1" w:rsidR="0018365C">
        <w:rPr>
          <w:szCs w:val="26"/>
        </w:rPr>
        <w:t>”</w:t>
      </w:r>
      <w:r w:rsidRPr="00ED18C1" w:rsidR="0018365C">
        <w:rPr>
          <w:rStyle w:val="FootnoteReference"/>
          <w:sz w:val="26"/>
          <w:szCs w:val="26"/>
        </w:rPr>
        <w:footnoteReference w:id="14"/>
      </w:r>
      <w:r w:rsidRPr="00ED18C1" w:rsidR="005F7D7F">
        <w:rPr>
          <w:szCs w:val="26"/>
        </w:rPr>
        <w:t xml:space="preserve"> </w:t>
      </w:r>
      <w:r w:rsidRPr="00ED18C1">
        <w:rPr>
          <w:szCs w:val="26"/>
        </w:rPr>
        <w:t xml:space="preserve">that </w:t>
      </w:r>
      <w:r w:rsidRPr="00ED18C1" w:rsidR="005F7D7F">
        <w:rPr>
          <w:szCs w:val="26"/>
        </w:rPr>
        <w:t>more effectively integrates transmission planning processes and generator interconnection processes</w:t>
      </w:r>
      <w:r w:rsidRPr="00ED18C1">
        <w:rPr>
          <w:szCs w:val="26"/>
        </w:rPr>
        <w:t>,</w:t>
      </w:r>
      <w:r w:rsidRPr="00ED18C1" w:rsidR="005F7D7F">
        <w:rPr>
          <w:rStyle w:val="FootnoteReference"/>
          <w:sz w:val="26"/>
          <w:szCs w:val="26"/>
        </w:rPr>
        <w:footnoteReference w:id="15"/>
      </w:r>
      <w:r w:rsidRPr="00ED18C1">
        <w:rPr>
          <w:szCs w:val="26"/>
        </w:rPr>
        <w:t xml:space="preserve"> and “</w:t>
      </w:r>
      <w:proofErr w:type="spellStart"/>
      <w:r w:rsidRPr="00ED18C1">
        <w:rPr>
          <w:szCs w:val="26"/>
        </w:rPr>
        <w:t>invigorat</w:t>
      </w:r>
      <w:proofErr w:type="spellEnd"/>
      <w:r w:rsidRPr="00ED18C1">
        <w:rPr>
          <w:szCs w:val="26"/>
        </w:rPr>
        <w:t>[es] [FERC’s] oversight of transmission spending,” thereby “protect[</w:t>
      </w:r>
      <w:proofErr w:type="spellStart"/>
      <w:r w:rsidRPr="00ED18C1">
        <w:rPr>
          <w:szCs w:val="26"/>
        </w:rPr>
        <w:t>ing</w:t>
      </w:r>
      <w:proofErr w:type="spellEnd"/>
      <w:r w:rsidRPr="00ED18C1">
        <w:rPr>
          <w:szCs w:val="26"/>
        </w:rPr>
        <w:t>] customers from excessive rates and charges.”</w:t>
      </w:r>
      <w:r w:rsidRPr="00ED18C1">
        <w:rPr>
          <w:rStyle w:val="FootnoteReference"/>
          <w:sz w:val="26"/>
          <w:szCs w:val="26"/>
        </w:rPr>
        <w:footnoteReference w:id="16"/>
      </w:r>
      <w:r w:rsidRPr="00ED18C1">
        <w:rPr>
          <w:szCs w:val="26"/>
        </w:rPr>
        <w:t xml:space="preserve"> </w:t>
      </w:r>
    </w:p>
    <w:p w:rsidRPr="00ED18C1" w:rsidR="00F2051A" w:rsidP="00B34239" w:rsidRDefault="00F2051A" w14:paraId="64AEB057" w14:textId="77777777">
      <w:pPr>
        <w:pStyle w:val="BodyText"/>
        <w:spacing w:after="0"/>
        <w:rPr>
          <w:szCs w:val="26"/>
        </w:rPr>
      </w:pPr>
    </w:p>
    <w:p w:rsidRPr="00ED18C1" w:rsidR="006A2FF8" w:rsidP="00B34239" w:rsidRDefault="00107D3A" w14:paraId="2733480A" w14:textId="729D8F37">
      <w:pPr>
        <w:pStyle w:val="BodyText"/>
        <w:spacing w:after="0"/>
        <w:rPr>
          <w:szCs w:val="26"/>
        </w:rPr>
      </w:pPr>
      <w:r w:rsidRPr="00ED18C1">
        <w:rPr>
          <w:szCs w:val="26"/>
        </w:rPr>
        <w:t xml:space="preserve">Comments on the ANOPR are </w:t>
      </w:r>
      <w:r w:rsidRPr="00ED18C1" w:rsidR="001D1801">
        <w:rPr>
          <w:szCs w:val="26"/>
        </w:rPr>
        <w:t>due October 12, 2021</w:t>
      </w:r>
      <w:r w:rsidRPr="00ED18C1" w:rsidR="00C73CDA">
        <w:rPr>
          <w:szCs w:val="26"/>
        </w:rPr>
        <w:t>,</w:t>
      </w:r>
      <w:r w:rsidRPr="00ED18C1" w:rsidR="001D1801">
        <w:rPr>
          <w:szCs w:val="26"/>
        </w:rPr>
        <w:t xml:space="preserve"> and Reply Comments are due November </w:t>
      </w:r>
      <w:r w:rsidRPr="00ED18C1" w:rsidR="00957F25">
        <w:rPr>
          <w:szCs w:val="26"/>
        </w:rPr>
        <w:t>30</w:t>
      </w:r>
      <w:r w:rsidRPr="00ED18C1" w:rsidR="001D1801">
        <w:rPr>
          <w:szCs w:val="26"/>
        </w:rPr>
        <w:t xml:space="preserve">, 2021.  </w:t>
      </w:r>
      <w:r w:rsidRPr="00ED18C1">
        <w:rPr>
          <w:szCs w:val="26"/>
        </w:rPr>
        <w:t xml:space="preserve">Following </w:t>
      </w:r>
      <w:r w:rsidRPr="00ED18C1" w:rsidR="00750742">
        <w:rPr>
          <w:szCs w:val="26"/>
        </w:rPr>
        <w:t xml:space="preserve">the development of the record in the ANOPR through comments, potential technical conferences, and </w:t>
      </w:r>
      <w:r w:rsidRPr="00ED18C1" w:rsidR="009343F5">
        <w:rPr>
          <w:szCs w:val="26"/>
        </w:rPr>
        <w:t>participation from the</w:t>
      </w:r>
      <w:r w:rsidRPr="00ED18C1" w:rsidR="00750742">
        <w:rPr>
          <w:szCs w:val="26"/>
        </w:rPr>
        <w:t xml:space="preserve"> </w:t>
      </w:r>
      <w:r w:rsidRPr="00ED18C1" w:rsidR="009343F5">
        <w:rPr>
          <w:szCs w:val="26"/>
        </w:rPr>
        <w:t>joint federal-</w:t>
      </w:r>
      <w:r w:rsidRPr="00ED18C1" w:rsidR="00750742">
        <w:rPr>
          <w:szCs w:val="26"/>
        </w:rPr>
        <w:t>state</w:t>
      </w:r>
      <w:r w:rsidRPr="00ED18C1" w:rsidR="009343F5">
        <w:rPr>
          <w:szCs w:val="26"/>
        </w:rPr>
        <w:t xml:space="preserve"> </w:t>
      </w:r>
      <w:r w:rsidRPr="00ED18C1" w:rsidR="00750742">
        <w:rPr>
          <w:szCs w:val="26"/>
        </w:rPr>
        <w:t>task force</w:t>
      </w:r>
      <w:r w:rsidRPr="00ED18C1">
        <w:rPr>
          <w:szCs w:val="26"/>
        </w:rPr>
        <w:t>,</w:t>
      </w:r>
      <w:r w:rsidRPr="00ED18C1" w:rsidR="00750742">
        <w:rPr>
          <w:rStyle w:val="FootnoteReference"/>
          <w:sz w:val="26"/>
          <w:szCs w:val="26"/>
        </w:rPr>
        <w:footnoteReference w:id="17"/>
      </w:r>
      <w:r w:rsidRPr="00ED18C1">
        <w:rPr>
          <w:szCs w:val="26"/>
        </w:rPr>
        <w:t xml:space="preserve"> FERC may consider whether to issue a formal Notice of Proposed Rulemaking, which would precede any final rule on these issues.</w:t>
      </w:r>
    </w:p>
    <w:p w:rsidRPr="00ED18C1" w:rsidR="006A2FF8" w:rsidP="006A2FF8" w:rsidRDefault="006A2FF8" w14:paraId="221A9DC0" w14:textId="19F43AA9">
      <w:pPr>
        <w:pStyle w:val="StyleHeading113ptBold"/>
        <w:rPr>
          <w:szCs w:val="26"/>
        </w:rPr>
      </w:pPr>
      <w:r w:rsidRPr="00ED18C1">
        <w:rPr>
          <w:szCs w:val="26"/>
        </w:rPr>
        <w:lastRenderedPageBreak/>
        <w:t xml:space="preserve">DISCUSSION </w:t>
      </w:r>
    </w:p>
    <w:p w:rsidRPr="00ED18C1" w:rsidR="000E3BCD" w:rsidP="000E3BCD" w:rsidRDefault="00611877" w14:paraId="6E29E898" w14:textId="61AC2908">
      <w:pPr>
        <w:pStyle w:val="BodyText"/>
        <w:spacing w:after="0"/>
        <w:rPr>
          <w:szCs w:val="26"/>
        </w:rPr>
      </w:pPr>
      <w:r w:rsidRPr="00ED18C1">
        <w:rPr>
          <w:szCs w:val="26"/>
        </w:rPr>
        <w:t xml:space="preserve">Staff agree </w:t>
      </w:r>
      <w:r w:rsidRPr="00ED18C1" w:rsidR="000E3BCD">
        <w:rPr>
          <w:szCs w:val="26"/>
        </w:rPr>
        <w:t xml:space="preserve">with FERC </w:t>
      </w:r>
      <w:r w:rsidRPr="00ED18C1">
        <w:rPr>
          <w:szCs w:val="26"/>
        </w:rPr>
        <w:t xml:space="preserve">that changes in the resource mix driven by public policy requirements require </w:t>
      </w:r>
      <w:r w:rsidR="0064262A">
        <w:rPr>
          <w:szCs w:val="26"/>
        </w:rPr>
        <w:t>FERC</w:t>
      </w:r>
      <w:r w:rsidRPr="00ED18C1">
        <w:rPr>
          <w:szCs w:val="26"/>
        </w:rPr>
        <w:t>’s reassessment of how best to facilitate the evolution and modernization of the grid.</w:t>
      </w:r>
      <w:r w:rsidRPr="00ED18C1" w:rsidR="000E3BCD">
        <w:rPr>
          <w:szCs w:val="26"/>
        </w:rPr>
        <w:t xml:space="preserve">  Staff also agree that in considering the potential need for reforms to the regional transmission planning, cost allocation, and generator interconnection processes to accommodate resource mix changes, while maintaining grid reliability, “the priority,” as the ANOPR emphasizes,</w:t>
      </w:r>
      <w:r w:rsidRPr="00ED18C1" w:rsidR="000E3BCD">
        <w:rPr>
          <w:rStyle w:val="FootnoteReference"/>
          <w:sz w:val="26"/>
          <w:szCs w:val="26"/>
        </w:rPr>
        <w:footnoteReference w:id="18"/>
      </w:r>
      <w:r w:rsidRPr="00ED18C1" w:rsidR="000E3BCD">
        <w:rPr>
          <w:szCs w:val="26"/>
        </w:rPr>
        <w:t xml:space="preserve"> and the Federal Power Act dictates,</w:t>
      </w:r>
      <w:r w:rsidRPr="00ED18C1" w:rsidR="000E3BCD">
        <w:rPr>
          <w:rStyle w:val="FootnoteReference"/>
          <w:sz w:val="26"/>
          <w:szCs w:val="26"/>
        </w:rPr>
        <w:footnoteReference w:id="19"/>
      </w:r>
      <w:r w:rsidRPr="00ED18C1" w:rsidR="000E3BCD">
        <w:rPr>
          <w:szCs w:val="26"/>
        </w:rPr>
        <w:t xml:space="preserve"> must be ensuring that the resulting rates for transmission customers are just and reasonable.</w:t>
      </w:r>
    </w:p>
    <w:p w:rsidRPr="00ED18C1" w:rsidR="000E3BCD" w:rsidP="00611877" w:rsidRDefault="00611877" w14:paraId="1862CBA0" w14:textId="454BEE31">
      <w:pPr>
        <w:pStyle w:val="BodyText"/>
        <w:spacing w:after="0"/>
        <w:rPr>
          <w:szCs w:val="26"/>
        </w:rPr>
      </w:pPr>
      <w:r w:rsidRPr="00ED18C1">
        <w:rPr>
          <w:szCs w:val="26"/>
        </w:rPr>
        <w:t xml:space="preserve">  </w:t>
      </w:r>
    </w:p>
    <w:p w:rsidRPr="00ED18C1" w:rsidR="000E3BCD" w:rsidP="00611877" w:rsidRDefault="008E0BF4" w14:paraId="0CFDBA4D" w14:textId="2F3B2F18">
      <w:pPr>
        <w:pStyle w:val="BodyText"/>
        <w:spacing w:after="0"/>
        <w:rPr>
          <w:szCs w:val="26"/>
        </w:rPr>
      </w:pPr>
      <w:r>
        <w:rPr>
          <w:szCs w:val="26"/>
        </w:rPr>
        <w:t>Guided</w:t>
      </w:r>
      <w:r w:rsidRPr="00ED18C1" w:rsidR="000E3BCD">
        <w:rPr>
          <w:szCs w:val="26"/>
        </w:rPr>
        <w:t xml:space="preserve"> by these overarching goals, Staff propose the CPUC’s comments in response to the ANOPR advocate for changes to pertinent FERC policies</w:t>
      </w:r>
      <w:r w:rsidRPr="00ED18C1" w:rsidR="00ED18C1">
        <w:rPr>
          <w:szCs w:val="26"/>
        </w:rPr>
        <w:t>, including the following</w:t>
      </w:r>
      <w:r w:rsidRPr="00ED18C1" w:rsidR="000E3BCD">
        <w:rPr>
          <w:szCs w:val="26"/>
        </w:rPr>
        <w:t>:</w:t>
      </w:r>
    </w:p>
    <w:p w:rsidRPr="00ED18C1" w:rsidR="000E3BCD" w:rsidP="00611877" w:rsidRDefault="000E3BCD" w14:paraId="765B21AC" w14:textId="77777777">
      <w:pPr>
        <w:pStyle w:val="BodyText"/>
        <w:spacing w:after="0"/>
        <w:rPr>
          <w:szCs w:val="26"/>
        </w:rPr>
      </w:pPr>
    </w:p>
    <w:p w:rsidRPr="00ED18C1" w:rsidR="000E3BCD" w:rsidP="003C46CB" w:rsidRDefault="000E3BCD" w14:paraId="4FE7BAA1" w14:textId="7AAA59BE">
      <w:pPr>
        <w:pStyle w:val="BodyText"/>
        <w:numPr>
          <w:ilvl w:val="0"/>
          <w:numId w:val="40"/>
        </w:numPr>
        <w:spacing w:after="0"/>
        <w:ind w:right="720"/>
        <w:rPr>
          <w:szCs w:val="26"/>
        </w:rPr>
      </w:pPr>
      <w:r w:rsidRPr="00ED18C1">
        <w:rPr>
          <w:szCs w:val="26"/>
        </w:rPr>
        <w:t xml:space="preserve">To improve regional transmission planning to better account for the changing resource mix, Staff recommend that FERC standardize modeling inputs used in regional transmission planning processes to assess the need for new transmission infrastructure by incorporating </w:t>
      </w:r>
      <w:bookmarkStart w:name="_Hlk83800907" w:id="0"/>
      <w:r w:rsidRPr="00ED18C1">
        <w:rPr>
          <w:szCs w:val="26"/>
        </w:rPr>
        <w:t>assessment of anticipated generation, use of longer-term forecasting periods, and probabilistic or stochastic modeling</w:t>
      </w:r>
      <w:bookmarkEnd w:id="0"/>
      <w:r w:rsidRPr="00ED18C1">
        <w:rPr>
          <w:szCs w:val="26"/>
        </w:rPr>
        <w:t>.</w:t>
      </w:r>
      <w:r w:rsidRPr="00ED18C1">
        <w:rPr>
          <w:rStyle w:val="FootnoteReference"/>
          <w:sz w:val="26"/>
          <w:szCs w:val="26"/>
        </w:rPr>
        <w:footnoteReference w:id="20"/>
      </w:r>
    </w:p>
    <w:p w:rsidRPr="00ED18C1" w:rsidR="00ED18C1" w:rsidP="003C46CB" w:rsidRDefault="00ED18C1" w14:paraId="7441BC04" w14:textId="77777777">
      <w:pPr>
        <w:pStyle w:val="BodyText"/>
        <w:spacing w:after="0"/>
        <w:ind w:left="720" w:right="720"/>
        <w:rPr>
          <w:szCs w:val="26"/>
        </w:rPr>
      </w:pPr>
    </w:p>
    <w:p w:rsidR="00ED18C1" w:rsidP="003C46CB" w:rsidRDefault="00ED18C1" w14:paraId="3E4578A8" w14:textId="095DFD5B">
      <w:pPr>
        <w:pStyle w:val="BodyText"/>
        <w:numPr>
          <w:ilvl w:val="0"/>
          <w:numId w:val="40"/>
        </w:numPr>
        <w:spacing w:after="0"/>
        <w:ind w:right="720"/>
        <w:rPr>
          <w:szCs w:val="26"/>
        </w:rPr>
      </w:pPr>
      <w:r w:rsidRPr="00ED18C1">
        <w:rPr>
          <w:szCs w:val="26"/>
        </w:rPr>
        <w:t xml:space="preserve">Staff recommend that FERC further explore proposals to reduce the number of speculative interconnection requests and, potentially, fast track certain interconnection requests, particularly for resources that require a long lead time to develop.  </w:t>
      </w:r>
    </w:p>
    <w:p w:rsidRPr="00ED18C1" w:rsidR="003E783C" w:rsidP="003C46CB" w:rsidRDefault="003E783C" w14:paraId="75CD35F1" w14:textId="77777777">
      <w:pPr>
        <w:pStyle w:val="BodyText"/>
        <w:spacing w:after="0"/>
        <w:ind w:right="720"/>
        <w:rPr>
          <w:szCs w:val="26"/>
        </w:rPr>
      </w:pPr>
    </w:p>
    <w:p w:rsidR="00ED18C1" w:rsidP="003C46CB" w:rsidRDefault="00ED18C1" w14:paraId="557A1ED3" w14:textId="6654BFDE">
      <w:pPr>
        <w:pStyle w:val="BodyText"/>
        <w:numPr>
          <w:ilvl w:val="0"/>
          <w:numId w:val="40"/>
        </w:numPr>
        <w:spacing w:after="0"/>
        <w:ind w:right="720"/>
        <w:rPr>
          <w:szCs w:val="26"/>
        </w:rPr>
      </w:pPr>
      <w:r w:rsidRPr="00ED18C1">
        <w:rPr>
          <w:szCs w:val="26"/>
        </w:rPr>
        <w:t xml:space="preserve">Staff recommend that the </w:t>
      </w:r>
      <w:r w:rsidR="00721E9E">
        <w:rPr>
          <w:szCs w:val="26"/>
        </w:rPr>
        <w:t>FERC</w:t>
      </w:r>
      <w:r w:rsidRPr="00ED18C1">
        <w:rPr>
          <w:szCs w:val="26"/>
        </w:rPr>
        <w:t xml:space="preserve"> should encourage—but not require—improved interregional planning.  Any reforms to the interregional </w:t>
      </w:r>
      <w:r w:rsidRPr="00ED18C1">
        <w:rPr>
          <w:szCs w:val="26"/>
        </w:rPr>
        <w:lastRenderedPageBreak/>
        <w:t xml:space="preserve">coordination process must provide clear, substantial roles for states and state policies, incorporate flexibility by, among other things, considering the unique circumstances in different geographic zones, and recognize that transmission plans will evolve.  </w:t>
      </w:r>
    </w:p>
    <w:p w:rsidRPr="00ED18C1" w:rsidR="008E0BF4" w:rsidP="003C46CB" w:rsidRDefault="008E0BF4" w14:paraId="485EBEBB" w14:textId="77777777">
      <w:pPr>
        <w:pStyle w:val="BodyText"/>
        <w:spacing w:after="0"/>
        <w:ind w:left="720" w:right="720"/>
        <w:rPr>
          <w:szCs w:val="26"/>
        </w:rPr>
      </w:pPr>
    </w:p>
    <w:p w:rsidR="00ED18C1" w:rsidP="003C46CB" w:rsidRDefault="00682B34" w14:paraId="5C10EE05" w14:textId="2D8E607A">
      <w:pPr>
        <w:pStyle w:val="BodyText"/>
        <w:numPr>
          <w:ilvl w:val="0"/>
          <w:numId w:val="40"/>
        </w:numPr>
        <w:spacing w:after="0"/>
        <w:ind w:right="720"/>
        <w:rPr>
          <w:szCs w:val="26"/>
        </w:rPr>
      </w:pPr>
      <w:r>
        <w:rPr>
          <w:szCs w:val="26"/>
        </w:rPr>
        <w:t xml:space="preserve">Staff recommend that </w:t>
      </w:r>
      <w:r w:rsidR="001D70DE">
        <w:rPr>
          <w:szCs w:val="26"/>
        </w:rPr>
        <w:t>FERC</w:t>
      </w:r>
      <w:r w:rsidR="00227AB5">
        <w:rPr>
          <w:szCs w:val="26"/>
        </w:rPr>
        <w:t xml:space="preserve"> </w:t>
      </w:r>
      <w:r>
        <w:rPr>
          <w:szCs w:val="26"/>
        </w:rPr>
        <w:t>correct its contradictory position on Order 890</w:t>
      </w:r>
      <w:r w:rsidR="008845A0">
        <w:rPr>
          <w:szCs w:val="26"/>
        </w:rPr>
        <w:t xml:space="preserve">’s transmission planning requirements by clarifying that </w:t>
      </w:r>
      <w:r w:rsidR="00B577C6">
        <w:rPr>
          <w:szCs w:val="26"/>
        </w:rPr>
        <w:t xml:space="preserve">such requirements apply to all </w:t>
      </w:r>
      <w:r w:rsidR="009638EE">
        <w:rPr>
          <w:szCs w:val="26"/>
        </w:rPr>
        <w:t xml:space="preserve">asset repair and replacement projects, </w:t>
      </w:r>
      <w:r w:rsidR="00B577C6">
        <w:rPr>
          <w:szCs w:val="26"/>
        </w:rPr>
        <w:t xml:space="preserve">including transmission </w:t>
      </w:r>
      <w:r w:rsidR="00B24391">
        <w:rPr>
          <w:szCs w:val="26"/>
        </w:rPr>
        <w:t xml:space="preserve">capital </w:t>
      </w:r>
      <w:r w:rsidR="00B577C6">
        <w:rPr>
          <w:szCs w:val="26"/>
        </w:rPr>
        <w:t>projects</w:t>
      </w:r>
      <w:r w:rsidR="005F7790">
        <w:rPr>
          <w:szCs w:val="26"/>
        </w:rPr>
        <w:t xml:space="preserve"> that </w:t>
      </w:r>
      <w:r w:rsidR="000B0820">
        <w:rPr>
          <w:szCs w:val="26"/>
        </w:rPr>
        <w:t xml:space="preserve">do not expand the </w:t>
      </w:r>
      <w:r w:rsidR="009638EE">
        <w:rPr>
          <w:szCs w:val="26"/>
        </w:rPr>
        <w:t xml:space="preserve">capacity of the </w:t>
      </w:r>
      <w:r w:rsidR="000B0820">
        <w:rPr>
          <w:szCs w:val="26"/>
        </w:rPr>
        <w:t>grid</w:t>
      </w:r>
      <w:r w:rsidR="00B577C6">
        <w:rPr>
          <w:szCs w:val="26"/>
        </w:rPr>
        <w:t>.</w:t>
      </w:r>
    </w:p>
    <w:p w:rsidRPr="00ED18C1" w:rsidR="008E0BF4" w:rsidP="003C46CB" w:rsidRDefault="008E0BF4" w14:paraId="16E7B980" w14:textId="77777777">
      <w:pPr>
        <w:pStyle w:val="BodyText"/>
        <w:spacing w:after="0"/>
        <w:ind w:left="720" w:right="720"/>
        <w:rPr>
          <w:szCs w:val="26"/>
        </w:rPr>
      </w:pPr>
    </w:p>
    <w:p w:rsidRPr="00ED18C1" w:rsidR="00ED18C1" w:rsidP="003C46CB" w:rsidRDefault="00ED18C1" w14:paraId="254CD1FC" w14:textId="1918E29D">
      <w:pPr>
        <w:pStyle w:val="ListParagraph"/>
        <w:numPr>
          <w:ilvl w:val="0"/>
          <w:numId w:val="40"/>
        </w:numPr>
        <w:ind w:right="720"/>
        <w:rPr>
          <w:sz w:val="26"/>
          <w:szCs w:val="26"/>
        </w:rPr>
      </w:pPr>
      <w:r w:rsidRPr="00ED18C1">
        <w:rPr>
          <w:sz w:val="26"/>
          <w:szCs w:val="26"/>
        </w:rPr>
        <w:t>Staff recommend that refinement of Order 1000 to expand the use of open competitive procurement solicitations by, among other things, eliminating the right of first refusal for local transmission facilities, would increase investment in forward-looking transmission infrastructure and lower costs to consumers.</w:t>
      </w:r>
      <w:r>
        <w:rPr>
          <w:rStyle w:val="FootnoteReference"/>
          <w:szCs w:val="26"/>
        </w:rPr>
        <w:footnoteReference w:id="21"/>
      </w:r>
    </w:p>
    <w:p w:rsidRPr="00ED18C1" w:rsidR="00ED18C1" w:rsidP="003C46CB" w:rsidRDefault="00ED18C1" w14:paraId="0218F180" w14:textId="0F20721D">
      <w:pPr>
        <w:pStyle w:val="BodyText"/>
        <w:spacing w:after="0"/>
        <w:ind w:left="720" w:right="720"/>
        <w:rPr>
          <w:szCs w:val="26"/>
        </w:rPr>
      </w:pPr>
    </w:p>
    <w:p w:rsidRPr="003E783C" w:rsidR="003E783C" w:rsidP="003C46CB" w:rsidRDefault="001D70DE" w14:paraId="209B2711" w14:textId="77777777">
      <w:pPr>
        <w:pStyle w:val="BodyText"/>
        <w:numPr>
          <w:ilvl w:val="0"/>
          <w:numId w:val="40"/>
        </w:numPr>
        <w:spacing w:after="0"/>
        <w:ind w:right="720"/>
        <w:rPr>
          <w:bCs/>
          <w:szCs w:val="26"/>
        </w:rPr>
      </w:pPr>
      <w:r w:rsidRPr="00935E3C">
        <w:rPr>
          <w:szCs w:val="26"/>
        </w:rPr>
        <w:t>Staff recommend</w:t>
      </w:r>
      <w:r w:rsidRPr="001E2934">
        <w:rPr>
          <w:szCs w:val="26"/>
        </w:rPr>
        <w:t xml:space="preserve"> that </w:t>
      </w:r>
      <w:r>
        <w:rPr>
          <w:szCs w:val="26"/>
        </w:rPr>
        <w:t>FERC</w:t>
      </w:r>
      <w:r w:rsidRPr="001E2934">
        <w:rPr>
          <w:szCs w:val="26"/>
        </w:rPr>
        <w:t xml:space="preserve"> require that independent transmission moni</w:t>
      </w:r>
      <w:r w:rsidRPr="00C0476F">
        <w:rPr>
          <w:szCs w:val="26"/>
        </w:rPr>
        <w:t xml:space="preserve">tors (ITM) be established to oversee transmission spending and </w:t>
      </w:r>
      <w:r w:rsidRPr="008E1995">
        <w:rPr>
          <w:szCs w:val="26"/>
        </w:rPr>
        <w:t xml:space="preserve">ensure that </w:t>
      </w:r>
      <w:r>
        <w:rPr>
          <w:szCs w:val="26"/>
        </w:rPr>
        <w:t xml:space="preserve">the </w:t>
      </w:r>
      <w:r w:rsidRPr="00C0476F">
        <w:rPr>
          <w:szCs w:val="26"/>
        </w:rPr>
        <w:t xml:space="preserve">future buildout of the grid is accomplished in the most cost-effective manner. </w:t>
      </w:r>
      <w:r>
        <w:rPr>
          <w:szCs w:val="26"/>
        </w:rPr>
        <w:t xml:space="preserve"> </w:t>
      </w:r>
    </w:p>
    <w:p w:rsidRPr="00ED18C1" w:rsidR="00FB00D0" w:rsidP="003E783C" w:rsidRDefault="001D70DE" w14:paraId="5045E2DC" w14:textId="4CE5A296">
      <w:pPr>
        <w:pStyle w:val="BodyText"/>
        <w:spacing w:after="0"/>
        <w:rPr>
          <w:bCs/>
          <w:szCs w:val="26"/>
        </w:rPr>
      </w:pPr>
      <w:r>
        <w:rPr>
          <w:szCs w:val="26"/>
        </w:rPr>
        <w:t xml:space="preserve"> </w:t>
      </w:r>
    </w:p>
    <w:p w:rsidRPr="00ED18C1" w:rsidR="006A2FF8" w:rsidP="006A2FF8" w:rsidRDefault="006A2FF8" w14:paraId="0D999E3B" w14:textId="48D821AD">
      <w:pPr>
        <w:pStyle w:val="StyleHeading113ptBold"/>
        <w:rPr>
          <w:szCs w:val="26"/>
        </w:rPr>
      </w:pPr>
      <w:r w:rsidRPr="00ED18C1">
        <w:rPr>
          <w:szCs w:val="26"/>
        </w:rPr>
        <w:t xml:space="preserve">CONCLUSION </w:t>
      </w:r>
    </w:p>
    <w:p w:rsidRPr="00ED18C1" w:rsidR="006A2FF8" w:rsidP="00611877" w:rsidRDefault="006A2FF8" w14:paraId="595804D7" w14:textId="6D3CF9C4">
      <w:pPr>
        <w:pStyle w:val="BodyText"/>
        <w:spacing w:after="0"/>
        <w:rPr>
          <w:bCs/>
          <w:szCs w:val="26"/>
        </w:rPr>
      </w:pPr>
      <w:r w:rsidRPr="00ED18C1">
        <w:rPr>
          <w:bCs/>
          <w:szCs w:val="26"/>
        </w:rPr>
        <w:t xml:space="preserve">Staff seek </w:t>
      </w:r>
      <w:r w:rsidRPr="00ED18C1" w:rsidR="00ED18C1">
        <w:rPr>
          <w:bCs/>
          <w:szCs w:val="26"/>
        </w:rPr>
        <w:t xml:space="preserve">the Commission’s approval to </w:t>
      </w:r>
      <w:r w:rsidRPr="00ED18C1">
        <w:rPr>
          <w:bCs/>
          <w:szCs w:val="26"/>
        </w:rPr>
        <w:t xml:space="preserve">file comments in response to the </w:t>
      </w:r>
      <w:r w:rsidRPr="00ED18C1" w:rsidR="00ED18C1">
        <w:rPr>
          <w:bCs/>
          <w:szCs w:val="26"/>
        </w:rPr>
        <w:t>A</w:t>
      </w:r>
      <w:r w:rsidRPr="00ED18C1">
        <w:rPr>
          <w:bCs/>
          <w:szCs w:val="26"/>
        </w:rPr>
        <w:t xml:space="preserve">NOPR </w:t>
      </w:r>
      <w:r w:rsidRPr="00ED18C1" w:rsidR="00ED18C1">
        <w:rPr>
          <w:bCs/>
          <w:szCs w:val="26"/>
        </w:rPr>
        <w:t xml:space="preserve">consistent with the positions outlined above </w:t>
      </w:r>
      <w:r w:rsidRPr="00ED18C1">
        <w:rPr>
          <w:bCs/>
          <w:szCs w:val="26"/>
        </w:rPr>
        <w:t xml:space="preserve">and authority to </w:t>
      </w:r>
      <w:r w:rsidRPr="00ED18C1">
        <w:rPr>
          <w:szCs w:val="26"/>
        </w:rPr>
        <w:t xml:space="preserve">respond to other stakeholders’ initial comments.   </w:t>
      </w:r>
      <w:r w:rsidRPr="00ED18C1">
        <w:rPr>
          <w:bCs/>
          <w:szCs w:val="26"/>
        </w:rPr>
        <w:t xml:space="preserve">  </w:t>
      </w:r>
    </w:p>
    <w:p w:rsidRPr="00ED18C1" w:rsidR="006A2FF8" w:rsidP="00FB00D0" w:rsidRDefault="006A2FF8" w14:paraId="5CB457D0" w14:textId="77777777">
      <w:pPr>
        <w:rPr>
          <w:b/>
          <w:sz w:val="26"/>
          <w:szCs w:val="26"/>
          <w:u w:val="single"/>
        </w:rPr>
      </w:pPr>
    </w:p>
    <w:p w:rsidRPr="00ED18C1" w:rsidR="00FB00D0" w:rsidP="00FB00D0" w:rsidRDefault="00FB00D0" w14:paraId="241D03D1" w14:textId="746A1BA6">
      <w:pPr>
        <w:rPr>
          <w:sz w:val="26"/>
          <w:szCs w:val="26"/>
        </w:rPr>
      </w:pPr>
      <w:r w:rsidRPr="00ED18C1">
        <w:rPr>
          <w:b/>
          <w:sz w:val="26"/>
          <w:szCs w:val="26"/>
          <w:u w:val="single"/>
        </w:rPr>
        <w:t>ASSIGNED STAFF</w:t>
      </w:r>
      <w:r w:rsidRPr="00ED18C1">
        <w:rPr>
          <w:b/>
          <w:sz w:val="26"/>
          <w:szCs w:val="26"/>
        </w:rPr>
        <w:t xml:space="preserve">: </w:t>
      </w:r>
      <w:r w:rsidRPr="00ED18C1">
        <w:rPr>
          <w:sz w:val="26"/>
          <w:szCs w:val="26"/>
        </w:rPr>
        <w:t xml:space="preserve">Legal Division, </w:t>
      </w:r>
      <w:r w:rsidRPr="00ED18C1" w:rsidR="00957F25">
        <w:rPr>
          <w:sz w:val="26"/>
          <w:szCs w:val="26"/>
        </w:rPr>
        <w:t xml:space="preserve">Christine Hammond, </w:t>
      </w:r>
      <w:r w:rsidR="00134473">
        <w:rPr>
          <w:sz w:val="26"/>
          <w:szCs w:val="26"/>
        </w:rPr>
        <w:t xml:space="preserve">(415) </w:t>
      </w:r>
      <w:r w:rsidRPr="00ED18C1" w:rsidR="00957F25">
        <w:rPr>
          <w:sz w:val="26"/>
          <w:szCs w:val="26"/>
        </w:rPr>
        <w:t xml:space="preserve">703-2682, Jonathan Knapp, </w:t>
      </w:r>
      <w:r w:rsidR="00134473">
        <w:rPr>
          <w:sz w:val="26"/>
          <w:szCs w:val="26"/>
        </w:rPr>
        <w:t xml:space="preserve">(415) </w:t>
      </w:r>
      <w:r w:rsidRPr="00ED18C1" w:rsidR="00957F25">
        <w:rPr>
          <w:sz w:val="26"/>
          <w:szCs w:val="26"/>
        </w:rPr>
        <w:t xml:space="preserve">703-1626, Sushil Jacob </w:t>
      </w:r>
      <w:r w:rsidR="00134473">
        <w:rPr>
          <w:sz w:val="26"/>
          <w:szCs w:val="26"/>
        </w:rPr>
        <w:t xml:space="preserve">(415) </w:t>
      </w:r>
      <w:r w:rsidRPr="00ED18C1" w:rsidR="00957F25">
        <w:rPr>
          <w:sz w:val="26"/>
          <w:szCs w:val="26"/>
        </w:rPr>
        <w:t xml:space="preserve">696-7365, Marybelle Ang </w:t>
      </w:r>
      <w:r w:rsidR="00134473">
        <w:rPr>
          <w:sz w:val="26"/>
          <w:szCs w:val="26"/>
        </w:rPr>
        <w:t xml:space="preserve">(415) </w:t>
      </w:r>
      <w:r w:rsidRPr="00ED18C1" w:rsidR="00957F25">
        <w:rPr>
          <w:sz w:val="26"/>
          <w:szCs w:val="26"/>
        </w:rPr>
        <w:t>696-732</w:t>
      </w:r>
      <w:r w:rsidR="001D70DE">
        <w:rPr>
          <w:sz w:val="26"/>
          <w:szCs w:val="26"/>
        </w:rPr>
        <w:t>9</w:t>
      </w:r>
      <w:r w:rsidRPr="00ED18C1">
        <w:rPr>
          <w:sz w:val="26"/>
          <w:szCs w:val="26"/>
        </w:rPr>
        <w:t>; Energy Division: Elaine Sison-Lebrilla (916) 823-4808; Simon Hurd (415) 703-</w:t>
      </w:r>
      <w:r w:rsidRPr="00ED18C1" w:rsidR="001804AB">
        <w:rPr>
          <w:sz w:val="26"/>
          <w:szCs w:val="26"/>
        </w:rPr>
        <w:t>2503</w:t>
      </w:r>
      <w:r w:rsidRPr="00ED18C1">
        <w:rPr>
          <w:sz w:val="26"/>
          <w:szCs w:val="26"/>
        </w:rPr>
        <w:t>.</w:t>
      </w:r>
    </w:p>
    <w:p w:rsidRPr="00ED18C1" w:rsidR="003559F2" w:rsidP="003559F2" w:rsidRDefault="003559F2" w14:paraId="08282000" w14:textId="77777777">
      <w:pPr>
        <w:pStyle w:val="BodyText"/>
        <w:spacing w:after="0"/>
        <w:rPr>
          <w:bCs/>
          <w:szCs w:val="26"/>
        </w:rPr>
      </w:pPr>
      <w:r w:rsidRPr="00ED18C1">
        <w:rPr>
          <w:bCs/>
          <w:szCs w:val="26"/>
        </w:rPr>
        <w:t xml:space="preserve"> </w:t>
      </w:r>
    </w:p>
    <w:sectPr w:rsidRPr="00ED18C1" w:rsidR="003559F2" w:rsidSect="00AB4A96">
      <w:headerReference w:type="default" r:id="rId8"/>
      <w:footerReference w:type="first" r:id="rId9"/>
      <w:pgSz w:w="12240" w:h="15840" w:code="1"/>
      <w:pgMar w:top="1440" w:right="1440" w:bottom="1440" w:left="1440"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1572" w14:textId="77777777" w:rsidR="00767DAC" w:rsidRDefault="00767DAC">
      <w:r>
        <w:separator/>
      </w:r>
    </w:p>
  </w:endnote>
  <w:endnote w:type="continuationSeparator" w:id="0">
    <w:p w14:paraId="6213BC0D" w14:textId="77777777" w:rsidR="00767DAC" w:rsidRDefault="0076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Bold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B175" w14:textId="0CFB0712" w:rsidR="000B0684" w:rsidRDefault="000B0684">
    <w:pPr>
      <w:pStyle w:val="Footer"/>
    </w:pPr>
    <w:r w:rsidRPr="000B0684">
      <w:t>411454892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4EC" w14:textId="77777777" w:rsidR="00767DAC" w:rsidRDefault="00767DAC">
      <w:r>
        <w:separator/>
      </w:r>
    </w:p>
  </w:footnote>
  <w:footnote w:type="continuationSeparator" w:id="0">
    <w:p w14:paraId="63F79C24" w14:textId="77777777" w:rsidR="00767DAC" w:rsidRDefault="00767DAC">
      <w:r>
        <w:continuationSeparator/>
      </w:r>
    </w:p>
  </w:footnote>
  <w:footnote w:id="1">
    <w:p w14:paraId="23C18859" w14:textId="39E70BA4" w:rsidR="006A2FF8" w:rsidRPr="002B1822" w:rsidRDefault="006A2FF8"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Advanced Notice of Proposed Rulemaking to Consider Potential Transmission Reforms: </w:t>
      </w:r>
      <w:r w:rsidRPr="002B1822">
        <w:rPr>
          <w:i/>
          <w:iCs/>
          <w:sz w:val="22"/>
          <w:szCs w:val="22"/>
        </w:rPr>
        <w:t>Building for the Future Through Electric Regional Transmission Planning and Cost Allocation and Generator Interconnection</w:t>
      </w:r>
      <w:r w:rsidRPr="002B1822">
        <w:rPr>
          <w:sz w:val="22"/>
          <w:szCs w:val="22"/>
        </w:rPr>
        <w:t xml:space="preserve"> (July 15, 2021) 176 FERC ¶ 61,024 (“ANOPR”).</w:t>
      </w:r>
    </w:p>
  </w:footnote>
  <w:footnote w:id="2">
    <w:p w14:paraId="5944DC3A" w14:textId="12DA1B96" w:rsidR="003C570D" w:rsidRPr="002B1822" w:rsidRDefault="003C570D"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w:t>
      </w:r>
      <w:r w:rsidR="006A2FF8" w:rsidRPr="002B1822">
        <w:rPr>
          <w:sz w:val="22"/>
          <w:szCs w:val="22"/>
        </w:rPr>
        <w:t xml:space="preserve"> </w:t>
      </w:r>
      <w:r w:rsidRPr="002B1822">
        <w:rPr>
          <w:sz w:val="22"/>
          <w:szCs w:val="22"/>
        </w:rPr>
        <w:t>at PP 1, 5.</w:t>
      </w:r>
    </w:p>
  </w:footnote>
  <w:footnote w:id="3">
    <w:p w14:paraId="26DFDE51" w14:textId="7B00326B" w:rsidR="00A42156" w:rsidRPr="002B1822" w:rsidRDefault="00A42156"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PP 3-4.</w:t>
      </w:r>
    </w:p>
  </w:footnote>
  <w:footnote w:id="4">
    <w:p w14:paraId="5FF0EC46" w14:textId="2E401BC4" w:rsidR="001D1801" w:rsidRPr="002B1822" w:rsidRDefault="001D1801"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46.</w:t>
      </w:r>
    </w:p>
  </w:footnote>
  <w:footnote w:id="5">
    <w:p w14:paraId="4961D249" w14:textId="49098836" w:rsidR="00A23E72" w:rsidRPr="002B1822" w:rsidRDefault="00A23E72"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xml:space="preserve">. at P 153.  See also </w:t>
      </w:r>
      <w:r w:rsidRPr="002B1822">
        <w:rPr>
          <w:i/>
          <w:iCs/>
          <w:sz w:val="22"/>
          <w:szCs w:val="22"/>
        </w:rPr>
        <w:t>id</w:t>
      </w:r>
      <w:r w:rsidRPr="002B1822">
        <w:rPr>
          <w:sz w:val="22"/>
          <w:szCs w:val="22"/>
        </w:rPr>
        <w:t xml:space="preserve">. at P 135 (where FERC proposes a non-refundable fee for submission of an interconnection request, which </w:t>
      </w:r>
      <w:r w:rsidR="00F2051A" w:rsidRPr="002B1822">
        <w:rPr>
          <w:sz w:val="22"/>
          <w:szCs w:val="22"/>
        </w:rPr>
        <w:t>may discourage speculative interconnection requests)</w:t>
      </w:r>
      <w:r w:rsidRPr="002B1822">
        <w:rPr>
          <w:sz w:val="22"/>
          <w:szCs w:val="22"/>
        </w:rPr>
        <w:t>.</w:t>
      </w:r>
    </w:p>
  </w:footnote>
  <w:footnote w:id="6">
    <w:p w14:paraId="6A1E2FBF" w14:textId="672CB687" w:rsidR="00F2051A" w:rsidRPr="002B1822" w:rsidRDefault="00F2051A"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PP 155-157.</w:t>
      </w:r>
    </w:p>
  </w:footnote>
  <w:footnote w:id="7">
    <w:p w14:paraId="73E208C3" w14:textId="3190770D" w:rsidR="00F2051A" w:rsidRPr="002B1822" w:rsidRDefault="00F2051A"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62.</w:t>
      </w:r>
    </w:p>
  </w:footnote>
  <w:footnote w:id="8">
    <w:p w14:paraId="4016B898" w14:textId="716041CE" w:rsidR="001F359B" w:rsidRPr="002B1822" w:rsidRDefault="001F359B"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161.</w:t>
      </w:r>
    </w:p>
  </w:footnote>
  <w:footnote w:id="9">
    <w:p w14:paraId="35497DB0" w14:textId="5FCB592B" w:rsidR="001F359B" w:rsidRPr="002B1822" w:rsidRDefault="001F359B" w:rsidP="002B1822">
      <w:pPr>
        <w:pStyle w:val="FootnoteText"/>
        <w:spacing w:after="120" w:line="240" w:lineRule="exact"/>
        <w:ind w:right="90"/>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37</w:t>
      </w:r>
      <w:r w:rsidR="00254398" w:rsidRPr="002B1822">
        <w:rPr>
          <w:sz w:val="22"/>
          <w:szCs w:val="22"/>
        </w:rPr>
        <w:t>.</w:t>
      </w:r>
    </w:p>
  </w:footnote>
  <w:footnote w:id="10">
    <w:p w14:paraId="1B955268" w14:textId="22884AED" w:rsidR="00A23E72" w:rsidRPr="002B1822" w:rsidRDefault="00A23E72"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 at P 171 (emphasis added) (“we seek comment on whether individual transmission provider practices regarding retirement and replacement of transmission facilities sufficiently align with the directive to ensure evaluation of alternative transmission solutions and whether these practices sufficiently consider the more efficient or cost-effective ways to serve future needs.</w:t>
      </w:r>
      <w:r w:rsidR="008E0BF4" w:rsidRPr="002B1822">
        <w:rPr>
          <w:sz w:val="22"/>
          <w:szCs w:val="22"/>
        </w:rPr>
        <w:t>”</w:t>
      </w:r>
      <w:r w:rsidRPr="002B1822">
        <w:rPr>
          <w:sz w:val="22"/>
          <w:szCs w:val="22"/>
        </w:rPr>
        <w:t xml:space="preserve">).  </w:t>
      </w:r>
    </w:p>
  </w:footnote>
  <w:footnote w:id="11">
    <w:p w14:paraId="46DAC60E" w14:textId="77777777" w:rsidR="001F359B" w:rsidRPr="002B1822" w:rsidRDefault="001F359B"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 at P 37.</w:t>
      </w:r>
    </w:p>
  </w:footnote>
  <w:footnote w:id="12">
    <w:p w14:paraId="14B6DB69" w14:textId="77777777" w:rsidR="001F359B" w:rsidRPr="002B1822" w:rsidRDefault="001F359B"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 at PP 163-175.</w:t>
      </w:r>
    </w:p>
  </w:footnote>
  <w:footnote w:id="13">
    <w:p w14:paraId="460BF4BB" w14:textId="77777777" w:rsidR="001F359B" w:rsidRPr="002B1822" w:rsidRDefault="001F359B"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164.</w:t>
      </w:r>
    </w:p>
  </w:footnote>
  <w:footnote w:id="14">
    <w:p w14:paraId="5A3E0D37" w14:textId="1C1BC1A3" w:rsidR="0018365C" w:rsidRPr="002B1822" w:rsidRDefault="0018365C"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 Chairman Glick and Commissioner Clements, concurrence at P 2 (“we believe that the </w:t>
      </w:r>
      <w:r w:rsidRPr="002B1822">
        <w:rPr>
          <w:i/>
          <w:iCs/>
          <w:sz w:val="22"/>
          <w:szCs w:val="22"/>
        </w:rPr>
        <w:t>status quo</w:t>
      </w:r>
      <w:r w:rsidRPr="002B1822">
        <w:rPr>
          <w:sz w:val="22"/>
          <w:szCs w:val="22"/>
        </w:rPr>
        <w:t xml:space="preserve"> approach to planning and allocating the costs of transmission facilities may lead to an inefficient, piecemeal expansion of the transmission grid that would ultimately be far more expensive for customers than a more forward-looking, holistic approach that proactively plans for the transmission needs of the changing resource mix. A myopic transmission development process that leaves customers paying more than necessary to meet their transmission needs is not just and reasonable.”).</w:t>
      </w:r>
    </w:p>
  </w:footnote>
  <w:footnote w:id="15">
    <w:p w14:paraId="565DBA32" w14:textId="051A959B" w:rsidR="005F7D7F" w:rsidRPr="002B1822" w:rsidRDefault="005F7D7F"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8.</w:t>
      </w:r>
    </w:p>
  </w:footnote>
  <w:footnote w:id="16">
    <w:p w14:paraId="3CBBDB08" w14:textId="29D1E248" w:rsidR="00F2051A" w:rsidRPr="002B1822" w:rsidRDefault="00F2051A"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11 (citation omitted).</w:t>
      </w:r>
    </w:p>
  </w:footnote>
  <w:footnote w:id="17">
    <w:p w14:paraId="446EEC03" w14:textId="38D7E56D" w:rsidR="00750742" w:rsidRPr="002B1822" w:rsidRDefault="00750742"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 Chairman Glick and Commissioner Clements, concurrence at </w:t>
      </w:r>
      <w:r w:rsidR="0018365C" w:rsidRPr="002B1822">
        <w:rPr>
          <w:sz w:val="22"/>
          <w:szCs w:val="22"/>
        </w:rPr>
        <w:t xml:space="preserve">P 3 </w:t>
      </w:r>
      <w:r w:rsidR="009343F5" w:rsidRPr="002B1822">
        <w:rPr>
          <w:sz w:val="22"/>
          <w:szCs w:val="22"/>
        </w:rPr>
        <w:t xml:space="preserve">(citation omitted) (emphasis added) </w:t>
      </w:r>
      <w:r w:rsidRPr="002B1822">
        <w:rPr>
          <w:sz w:val="22"/>
          <w:szCs w:val="22"/>
        </w:rPr>
        <w:t>(</w:t>
      </w:r>
      <w:r w:rsidR="009343F5" w:rsidRPr="002B1822">
        <w:rPr>
          <w:sz w:val="22"/>
          <w:szCs w:val="22"/>
        </w:rPr>
        <w:t xml:space="preserve">stating that </w:t>
      </w:r>
      <w:r w:rsidRPr="002B1822">
        <w:rPr>
          <w:sz w:val="22"/>
          <w:szCs w:val="22"/>
        </w:rPr>
        <w:t>“</w:t>
      </w:r>
      <w:r w:rsidR="009343F5" w:rsidRPr="002B1822">
        <w:rPr>
          <w:sz w:val="22"/>
          <w:szCs w:val="22"/>
        </w:rPr>
        <w:t>[w]</w:t>
      </w:r>
      <w:r w:rsidRPr="002B1822">
        <w:rPr>
          <w:sz w:val="22"/>
          <w:szCs w:val="22"/>
        </w:rPr>
        <w:t xml:space="preserve">e anticipate that this effort will be </w:t>
      </w:r>
      <w:r w:rsidR="009343F5" w:rsidRPr="002B1822">
        <w:rPr>
          <w:sz w:val="22"/>
          <w:szCs w:val="22"/>
        </w:rPr>
        <w:t>[FERC’s]</w:t>
      </w:r>
      <w:r w:rsidRPr="002B1822">
        <w:rPr>
          <w:sz w:val="22"/>
          <w:szCs w:val="22"/>
        </w:rPr>
        <w:t xml:space="preserve"> principal focus in the months to come. </w:t>
      </w:r>
      <w:r w:rsidR="009343F5" w:rsidRPr="002B1822">
        <w:rPr>
          <w:sz w:val="22"/>
          <w:szCs w:val="22"/>
        </w:rPr>
        <w:t xml:space="preserve"> </w:t>
      </w:r>
      <w:r w:rsidRPr="002B1822">
        <w:rPr>
          <w:sz w:val="22"/>
          <w:szCs w:val="22"/>
        </w:rPr>
        <w:t xml:space="preserve">In addition to reviewing the record assembled in response to today’s order, </w:t>
      </w:r>
      <w:r w:rsidRPr="002B1822">
        <w:rPr>
          <w:i/>
          <w:iCs/>
          <w:sz w:val="22"/>
          <w:szCs w:val="22"/>
        </w:rPr>
        <w:t>we intend to explore technical conferences and other avenues for augmenting that record—including through the joint federal-state task force</w:t>
      </w:r>
      <w:r w:rsidRPr="002B1822">
        <w:rPr>
          <w:sz w:val="22"/>
          <w:szCs w:val="22"/>
        </w:rPr>
        <w:t>—before proceeding to reform our rules and regulations.</w:t>
      </w:r>
      <w:r w:rsidR="009343F5" w:rsidRPr="002B1822">
        <w:rPr>
          <w:sz w:val="22"/>
          <w:szCs w:val="22"/>
        </w:rPr>
        <w:t>”)</w:t>
      </w:r>
      <w:r w:rsidR="007C7547" w:rsidRPr="002B1822">
        <w:rPr>
          <w:sz w:val="22"/>
          <w:szCs w:val="22"/>
        </w:rPr>
        <w:t xml:space="preserve">; see </w:t>
      </w:r>
      <w:r w:rsidR="007C7547" w:rsidRPr="002B1822">
        <w:rPr>
          <w:i/>
          <w:iCs/>
          <w:sz w:val="22"/>
          <w:szCs w:val="22"/>
        </w:rPr>
        <w:t>Order Establishing Task Force and Solicitating Nominations</w:t>
      </w:r>
      <w:r w:rsidR="007C7547" w:rsidRPr="002B1822">
        <w:rPr>
          <w:sz w:val="22"/>
          <w:szCs w:val="22"/>
        </w:rPr>
        <w:t xml:space="preserve">, Docket No. AD21-15-000 (June 17, 2021) at 3, 6 (explaining that “[t]he Task Force will be comprised of all FERC Commissioners as well as representatives from 10 state commissions,” and “will focus on topics related to efficiently and fairly planning and paying for transmission, including transmission to facilitate generator interconnection, that provides benefits from a federal and state perspective.”); </w:t>
      </w:r>
      <w:r w:rsidR="007C7547" w:rsidRPr="002B1822">
        <w:rPr>
          <w:i/>
          <w:iCs/>
          <w:sz w:val="22"/>
          <w:szCs w:val="22"/>
        </w:rPr>
        <w:t>Order Listing Members, Announcing Meeting, and Inviting Agenda Topics</w:t>
      </w:r>
      <w:r w:rsidR="007C7547" w:rsidRPr="002B1822">
        <w:rPr>
          <w:sz w:val="22"/>
          <w:szCs w:val="22"/>
        </w:rPr>
        <w:t>, Docket No. AD21-15-000 (August 30, 2021) at P 4 (identifying members of Task Force, including CPUC Commissioner Clifford Rechtschaffen as one of two Western Conference of Public Service Commissioners)</w:t>
      </w:r>
    </w:p>
  </w:footnote>
  <w:footnote w:id="18">
    <w:p w14:paraId="4C5FC4CB" w14:textId="6E81E991" w:rsidR="000E3BCD" w:rsidRPr="002B1822" w:rsidRDefault="000E3BCD"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00150A32" w:rsidRPr="002B1822">
        <w:rPr>
          <w:sz w:val="22"/>
          <w:szCs w:val="22"/>
        </w:rPr>
        <w:t>ANOPR</w:t>
      </w:r>
      <w:r w:rsidRPr="002B1822">
        <w:rPr>
          <w:sz w:val="22"/>
          <w:szCs w:val="22"/>
        </w:rPr>
        <w:t xml:space="preserve"> at PP 3, 43.  See also </w:t>
      </w:r>
      <w:r w:rsidRPr="002B1822">
        <w:rPr>
          <w:i/>
          <w:iCs/>
          <w:sz w:val="22"/>
          <w:szCs w:val="22"/>
        </w:rPr>
        <w:t>id</w:t>
      </w:r>
      <w:r w:rsidRPr="002B1822">
        <w:rPr>
          <w:sz w:val="22"/>
          <w:szCs w:val="22"/>
        </w:rPr>
        <w:t>. at PP 41, 84, 99, 122.</w:t>
      </w:r>
    </w:p>
  </w:footnote>
  <w:footnote w:id="19">
    <w:p w14:paraId="110D7EC2" w14:textId="77777777" w:rsidR="000E3BCD" w:rsidRPr="002B1822" w:rsidRDefault="000E3BCD"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See</w:t>
      </w:r>
      <w:r w:rsidRPr="002B1822">
        <w:rPr>
          <w:sz w:val="22"/>
          <w:szCs w:val="22"/>
        </w:rPr>
        <w:t xml:space="preserve"> ANOPR, Chairman Glick and Commissioner Clements concurrence at P 11 (citing </w:t>
      </w:r>
      <w:r w:rsidRPr="002B1822">
        <w:rPr>
          <w:i/>
          <w:iCs/>
          <w:sz w:val="22"/>
          <w:szCs w:val="22"/>
        </w:rPr>
        <w:t>California ex rel. Lockyer v. FERC</w:t>
      </w:r>
      <w:r w:rsidRPr="002B1822">
        <w:rPr>
          <w:sz w:val="22"/>
          <w:szCs w:val="22"/>
        </w:rPr>
        <w:t xml:space="preserve">, 383 F.3d 1006, 1017 (9th Cir. 2004); </w:t>
      </w:r>
      <w:r w:rsidRPr="002B1822">
        <w:rPr>
          <w:i/>
          <w:iCs/>
          <w:sz w:val="22"/>
          <w:szCs w:val="22"/>
        </w:rPr>
        <w:t>City of Chicago v. FPC</w:t>
      </w:r>
      <w:r w:rsidRPr="002B1822">
        <w:rPr>
          <w:sz w:val="22"/>
          <w:szCs w:val="22"/>
        </w:rPr>
        <w:t xml:space="preserve">, 458 F.2d 731, 751 (D.C. Cir. 1971) (“[t]he Commission must vigorously oversee the rules governing how transmission projects are planned and paid for if we are to satisfy our responsibility to protect customers from excessive rates and charges.”); ANOPR, Commissioner Danly concurrence at P 4 (“[n]o proposed policy, however worthy, can evade our statutory duty to ensure that rates are just and reasonable.”); ANOPR, Commissioner Christie concurrence at P 3 (same). </w:t>
      </w:r>
    </w:p>
  </w:footnote>
  <w:footnote w:id="20">
    <w:p w14:paraId="07EFA19C" w14:textId="7C3D6168" w:rsidR="000E3BCD" w:rsidRPr="002B1822" w:rsidRDefault="000E3BCD"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00ED18C1" w:rsidRPr="002B1822">
        <w:rPr>
          <w:i/>
          <w:iCs/>
          <w:sz w:val="22"/>
          <w:szCs w:val="22"/>
        </w:rPr>
        <w:t>See</w:t>
      </w:r>
      <w:r w:rsidR="00ED18C1" w:rsidRPr="002B1822">
        <w:rPr>
          <w:sz w:val="22"/>
          <w:szCs w:val="22"/>
        </w:rPr>
        <w:t xml:space="preserve"> </w:t>
      </w:r>
      <w:r w:rsidRPr="002B1822">
        <w:rPr>
          <w:sz w:val="22"/>
          <w:szCs w:val="22"/>
        </w:rPr>
        <w:t xml:space="preserve">ANOPR at P 46.  Probabilistic </w:t>
      </w:r>
      <w:r w:rsidR="00ED18C1" w:rsidRPr="002B1822">
        <w:rPr>
          <w:sz w:val="22"/>
          <w:szCs w:val="22"/>
        </w:rPr>
        <w:t xml:space="preserve">or </w:t>
      </w:r>
      <w:r w:rsidRPr="002B1822">
        <w:rPr>
          <w:sz w:val="22"/>
          <w:szCs w:val="22"/>
        </w:rPr>
        <w:t>stochastic modeling. which estimates the probability of various outcomes while allowing for randomness in one or more inputs over time, produces an ensemble of different outputs, thus allowing examination of a wide variety of system conditions.  By contrast, in deterministic models, the output of the model is fully determined by the parameter values and the initial conditions.</w:t>
      </w:r>
    </w:p>
  </w:footnote>
  <w:footnote w:id="21">
    <w:p w14:paraId="6ABA5B1A" w14:textId="21E79D1D" w:rsidR="00ED18C1" w:rsidRPr="002B1822" w:rsidRDefault="00ED18C1"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See</w:t>
      </w:r>
      <w:r w:rsidRPr="002B1822">
        <w:rPr>
          <w:sz w:val="22"/>
          <w:szCs w:val="22"/>
        </w:rPr>
        <w:t xml:space="preserve"> </w:t>
      </w:r>
      <w:r w:rsidR="00254398" w:rsidRPr="002B1822">
        <w:rPr>
          <w:sz w:val="22"/>
          <w:szCs w:val="22"/>
        </w:rPr>
        <w:t>ANOPR at P 37 (where FERC states “[w]e seek to better understand how the reforms of the federal right of first refusal in Order No. 1000 have shaped the type and characteristics of transmission facilities developed through regional and local transmission planning processes, such as a relative increase in investment in local transmission facilities or the diversity of projects resulting from competitive bidding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6277" w14:textId="77777777" w:rsidR="009E62A5" w:rsidRPr="00900FD5" w:rsidRDefault="009E62A5" w:rsidP="00DB2955">
    <w:pPr>
      <w:pStyle w:val="Header"/>
      <w:tabs>
        <w:tab w:val="clear" w:pos="4320"/>
        <w:tab w:val="clear" w:pos="8640"/>
      </w:tabs>
      <w:jc w:val="center"/>
      <w:rPr>
        <w:sz w:val="24"/>
        <w:szCs w:val="24"/>
      </w:rPr>
    </w:pPr>
    <w:r w:rsidRPr="00900FD5">
      <w:rPr>
        <w:sz w:val="24"/>
        <w:szCs w:val="24"/>
      </w:rPr>
      <w:t>-</w:t>
    </w:r>
    <w:r w:rsidRPr="00900FD5">
      <w:rPr>
        <w:sz w:val="24"/>
        <w:szCs w:val="24"/>
      </w:rPr>
      <w:fldChar w:fldCharType="begin"/>
    </w:r>
    <w:r w:rsidRPr="00900FD5">
      <w:rPr>
        <w:sz w:val="24"/>
        <w:szCs w:val="24"/>
      </w:rPr>
      <w:instrText xml:space="preserve"> PAGE   \* MERGEFORMAT </w:instrText>
    </w:r>
    <w:r w:rsidRPr="00900FD5">
      <w:rPr>
        <w:sz w:val="24"/>
        <w:szCs w:val="24"/>
      </w:rPr>
      <w:fldChar w:fldCharType="separate"/>
    </w:r>
    <w:r w:rsidR="0023599C" w:rsidRPr="00900FD5">
      <w:rPr>
        <w:noProof/>
        <w:sz w:val="24"/>
        <w:szCs w:val="24"/>
      </w:rPr>
      <w:t>8</w:t>
    </w:r>
    <w:r w:rsidRPr="00900FD5">
      <w:rPr>
        <w:noProof/>
        <w:sz w:val="24"/>
        <w:szCs w:val="24"/>
      </w:rPr>
      <w:fldChar w:fldCharType="end"/>
    </w:r>
    <w:r w:rsidRPr="00900FD5">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4CC4FC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724DFB"/>
    <w:multiLevelType w:val="hybridMultilevel"/>
    <w:tmpl w:val="71E2465A"/>
    <w:lvl w:ilvl="0" w:tplc="8C96FE4A">
      <w:start w:val="1"/>
      <w:numFmt w:val="decimal"/>
      <w:lvlText w:val="%1."/>
      <w:lvlJc w:val="left"/>
      <w:pPr>
        <w:ind w:left="864" w:hanging="360"/>
      </w:pPr>
      <w:rPr>
        <w:rFonts w:hint="default"/>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5B04E53"/>
    <w:multiLevelType w:val="hybridMultilevel"/>
    <w:tmpl w:val="4310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6FE7"/>
    <w:multiLevelType w:val="hybridMultilevel"/>
    <w:tmpl w:val="969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30B27"/>
    <w:multiLevelType w:val="hybridMultilevel"/>
    <w:tmpl w:val="365E332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0C1363A0"/>
    <w:multiLevelType w:val="hybridMultilevel"/>
    <w:tmpl w:val="F8C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7361"/>
    <w:multiLevelType w:val="hybridMultilevel"/>
    <w:tmpl w:val="1D4E9E1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0E0D439E"/>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737AA"/>
    <w:multiLevelType w:val="hybridMultilevel"/>
    <w:tmpl w:val="44721A7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1D545211"/>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30C8D"/>
    <w:multiLevelType w:val="hybridMultilevel"/>
    <w:tmpl w:val="714AA5A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1D9047B4"/>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242CF"/>
    <w:multiLevelType w:val="hybridMultilevel"/>
    <w:tmpl w:val="71E2465A"/>
    <w:lvl w:ilvl="0" w:tplc="8C96FE4A">
      <w:start w:val="1"/>
      <w:numFmt w:val="decimal"/>
      <w:lvlText w:val="%1."/>
      <w:lvlJc w:val="left"/>
      <w:pPr>
        <w:ind w:left="864" w:hanging="360"/>
      </w:pPr>
      <w:rPr>
        <w:rFonts w:hint="default"/>
        <w:b/>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62E650B"/>
    <w:multiLevelType w:val="hybridMultilevel"/>
    <w:tmpl w:val="7D20DBF0"/>
    <w:lvl w:ilvl="0" w:tplc="58148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80333E"/>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D01E4"/>
    <w:multiLevelType w:val="hybridMultilevel"/>
    <w:tmpl w:val="6844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26CD2"/>
    <w:multiLevelType w:val="hybridMultilevel"/>
    <w:tmpl w:val="192E71B8"/>
    <w:lvl w:ilvl="0" w:tplc="020270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51709"/>
    <w:multiLevelType w:val="hybridMultilevel"/>
    <w:tmpl w:val="DF10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42D1E"/>
    <w:multiLevelType w:val="hybridMultilevel"/>
    <w:tmpl w:val="39F4CB10"/>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3A742188"/>
    <w:multiLevelType w:val="hybridMultilevel"/>
    <w:tmpl w:val="4E2C7C82"/>
    <w:lvl w:ilvl="0" w:tplc="C28E4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E75F64"/>
    <w:multiLevelType w:val="hybridMultilevel"/>
    <w:tmpl w:val="099E47E6"/>
    <w:lvl w:ilvl="0" w:tplc="8C96FE4A">
      <w:start w:val="1"/>
      <w:numFmt w:val="decimal"/>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3BB7284D"/>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76E2E"/>
    <w:multiLevelType w:val="hybridMultilevel"/>
    <w:tmpl w:val="C70EE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A33FAE"/>
    <w:multiLevelType w:val="hybridMultilevel"/>
    <w:tmpl w:val="8A30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87F47"/>
    <w:multiLevelType w:val="hybridMultilevel"/>
    <w:tmpl w:val="2B7EC90E"/>
    <w:lvl w:ilvl="0" w:tplc="A06E166A">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71521"/>
    <w:multiLevelType w:val="hybridMultilevel"/>
    <w:tmpl w:val="84AE9D72"/>
    <w:lvl w:ilvl="0" w:tplc="04090013">
      <w:start w:val="1"/>
      <w:numFmt w:val="upperRoman"/>
      <w:lvlText w:val="%1."/>
      <w:lvlJc w:val="right"/>
      <w:pPr>
        <w:ind w:left="720" w:hanging="360"/>
      </w:pPr>
      <w:rPr>
        <w:rFonts w:hint="default"/>
      </w:rPr>
    </w:lvl>
    <w:lvl w:ilvl="1" w:tplc="A06E166A">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A5C5A"/>
    <w:multiLevelType w:val="hybridMultilevel"/>
    <w:tmpl w:val="429254E8"/>
    <w:lvl w:ilvl="0" w:tplc="FFA64E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202F6"/>
    <w:multiLevelType w:val="hybridMultilevel"/>
    <w:tmpl w:val="A712CC6E"/>
    <w:lvl w:ilvl="0" w:tplc="35847A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0715D2"/>
    <w:multiLevelType w:val="hybridMultilevel"/>
    <w:tmpl w:val="56B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D6221"/>
    <w:multiLevelType w:val="hybridMultilevel"/>
    <w:tmpl w:val="ED848280"/>
    <w:lvl w:ilvl="0" w:tplc="F6EA219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09671B"/>
    <w:multiLevelType w:val="hybridMultilevel"/>
    <w:tmpl w:val="174E87B8"/>
    <w:lvl w:ilvl="0" w:tplc="23D873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A38B1"/>
    <w:multiLevelType w:val="hybridMultilevel"/>
    <w:tmpl w:val="25B023B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2" w15:restartNumberingAfterBreak="0">
    <w:nsid w:val="762F3B93"/>
    <w:multiLevelType w:val="hybridMultilevel"/>
    <w:tmpl w:val="1E680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61ED2"/>
    <w:multiLevelType w:val="hybridMultilevel"/>
    <w:tmpl w:val="710A1230"/>
    <w:lvl w:ilvl="0" w:tplc="FA68FC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F2268"/>
    <w:multiLevelType w:val="hybridMultilevel"/>
    <w:tmpl w:val="2A520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3"/>
  </w:num>
  <w:num w:numId="3">
    <w:abstractNumId w:val="19"/>
  </w:num>
  <w:num w:numId="4">
    <w:abstractNumId w:val="30"/>
  </w:num>
  <w:num w:numId="5">
    <w:abstractNumId w:val="27"/>
  </w:num>
  <w:num w:numId="6">
    <w:abstractNumId w:val="29"/>
  </w:num>
  <w:num w:numId="7">
    <w:abstractNumId w:val="33"/>
  </w:num>
  <w:num w:numId="8">
    <w:abstractNumId w:val="3"/>
  </w:num>
  <w:num w:numId="9">
    <w:abstractNumId w:val="26"/>
  </w:num>
  <w:num w:numId="10">
    <w:abstractNumId w:val="16"/>
  </w:num>
  <w:num w:numId="11">
    <w:abstractNumId w:val="15"/>
  </w:num>
  <w:num w:numId="12">
    <w:abstractNumId w:val="2"/>
  </w:num>
  <w:num w:numId="13">
    <w:abstractNumId w:val="17"/>
  </w:num>
  <w:num w:numId="14">
    <w:abstractNumId w:val="5"/>
  </w:num>
  <w:num w:numId="15">
    <w:abstractNumId w:val="12"/>
  </w:num>
  <w:num w:numId="16">
    <w:abstractNumId w:val="20"/>
  </w:num>
  <w:num w:numId="17">
    <w:abstractNumId w:val="8"/>
  </w:num>
  <w:num w:numId="18">
    <w:abstractNumId w:val="1"/>
  </w:num>
  <w:num w:numId="19">
    <w:abstractNumId w:val="4"/>
  </w:num>
  <w:num w:numId="20">
    <w:abstractNumId w:val="31"/>
  </w:num>
  <w:num w:numId="21">
    <w:abstractNumId w:val="34"/>
  </w:num>
  <w:num w:numId="22">
    <w:abstractNumId w:val="6"/>
  </w:num>
  <w:num w:numId="23">
    <w:abstractNumId w:val="23"/>
  </w:num>
  <w:num w:numId="24">
    <w:abstractNumId w:val="10"/>
  </w:num>
  <w:num w:numId="25">
    <w:abstractNumId w:val="18"/>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9"/>
  </w:num>
  <w:num w:numId="31">
    <w:abstractNumId w:val="11"/>
  </w:num>
  <w:num w:numId="32">
    <w:abstractNumId w:val="7"/>
  </w:num>
  <w:num w:numId="33">
    <w:abstractNumId w:val="21"/>
  </w:num>
  <w:num w:numId="34">
    <w:abstractNumId w:val="32"/>
  </w:num>
  <w:num w:numId="35">
    <w:abstractNumId w:val="0"/>
  </w:num>
  <w:num w:numId="36">
    <w:abstractNumId w:val="0"/>
  </w:num>
  <w:num w:numId="37">
    <w:abstractNumId w:val="0"/>
  </w:num>
  <w:num w:numId="38">
    <w:abstractNumId w:val="0"/>
  </w:num>
  <w:num w:numId="39">
    <w:abstractNumId w:val="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37"/>
    <w:rsid w:val="00006EA6"/>
    <w:rsid w:val="00007230"/>
    <w:rsid w:val="000072D5"/>
    <w:rsid w:val="000126BA"/>
    <w:rsid w:val="000128C3"/>
    <w:rsid w:val="00016718"/>
    <w:rsid w:val="00020D9C"/>
    <w:rsid w:val="000240D8"/>
    <w:rsid w:val="00025CF0"/>
    <w:rsid w:val="00025D7C"/>
    <w:rsid w:val="00026079"/>
    <w:rsid w:val="00026B35"/>
    <w:rsid w:val="00031268"/>
    <w:rsid w:val="00032C15"/>
    <w:rsid w:val="000353A6"/>
    <w:rsid w:val="00036E44"/>
    <w:rsid w:val="00041BD8"/>
    <w:rsid w:val="00042B50"/>
    <w:rsid w:val="000456F1"/>
    <w:rsid w:val="000561FE"/>
    <w:rsid w:val="00061680"/>
    <w:rsid w:val="0006534C"/>
    <w:rsid w:val="00066C03"/>
    <w:rsid w:val="00067460"/>
    <w:rsid w:val="00067577"/>
    <w:rsid w:val="00070FA4"/>
    <w:rsid w:val="000725FE"/>
    <w:rsid w:val="000728B2"/>
    <w:rsid w:val="00077DFF"/>
    <w:rsid w:val="000834DC"/>
    <w:rsid w:val="000840C2"/>
    <w:rsid w:val="00087827"/>
    <w:rsid w:val="0009216B"/>
    <w:rsid w:val="00092F67"/>
    <w:rsid w:val="00096003"/>
    <w:rsid w:val="000969A8"/>
    <w:rsid w:val="000A1E72"/>
    <w:rsid w:val="000A4765"/>
    <w:rsid w:val="000A4FAB"/>
    <w:rsid w:val="000A5326"/>
    <w:rsid w:val="000A6253"/>
    <w:rsid w:val="000B013C"/>
    <w:rsid w:val="000B0684"/>
    <w:rsid w:val="000B0820"/>
    <w:rsid w:val="000B5934"/>
    <w:rsid w:val="000C11DA"/>
    <w:rsid w:val="000C3ACB"/>
    <w:rsid w:val="000C3B7B"/>
    <w:rsid w:val="000C46A5"/>
    <w:rsid w:val="000C4E0E"/>
    <w:rsid w:val="000C60F7"/>
    <w:rsid w:val="000C71FA"/>
    <w:rsid w:val="000C73F8"/>
    <w:rsid w:val="000D198C"/>
    <w:rsid w:val="000D2379"/>
    <w:rsid w:val="000D25D3"/>
    <w:rsid w:val="000D54C1"/>
    <w:rsid w:val="000E120F"/>
    <w:rsid w:val="000E3BCD"/>
    <w:rsid w:val="000E61AC"/>
    <w:rsid w:val="000E739D"/>
    <w:rsid w:val="000F3483"/>
    <w:rsid w:val="000F73B9"/>
    <w:rsid w:val="00101D06"/>
    <w:rsid w:val="00102558"/>
    <w:rsid w:val="0010669B"/>
    <w:rsid w:val="00107107"/>
    <w:rsid w:val="00107D3A"/>
    <w:rsid w:val="00111664"/>
    <w:rsid w:val="001117DD"/>
    <w:rsid w:val="00111FE9"/>
    <w:rsid w:val="00115025"/>
    <w:rsid w:val="001153E0"/>
    <w:rsid w:val="001171FA"/>
    <w:rsid w:val="00117DE1"/>
    <w:rsid w:val="001258CA"/>
    <w:rsid w:val="00131BBA"/>
    <w:rsid w:val="00133C28"/>
    <w:rsid w:val="00134473"/>
    <w:rsid w:val="001418FA"/>
    <w:rsid w:val="001504C6"/>
    <w:rsid w:val="00150A32"/>
    <w:rsid w:val="001535D1"/>
    <w:rsid w:val="0015508E"/>
    <w:rsid w:val="001553D1"/>
    <w:rsid w:val="001571F7"/>
    <w:rsid w:val="001608FD"/>
    <w:rsid w:val="0016152A"/>
    <w:rsid w:val="001628E5"/>
    <w:rsid w:val="00165A6D"/>
    <w:rsid w:val="00167849"/>
    <w:rsid w:val="00167C1F"/>
    <w:rsid w:val="00170CE9"/>
    <w:rsid w:val="001750C4"/>
    <w:rsid w:val="001764C8"/>
    <w:rsid w:val="001804AB"/>
    <w:rsid w:val="0018365C"/>
    <w:rsid w:val="00184C54"/>
    <w:rsid w:val="001868FD"/>
    <w:rsid w:val="001973E3"/>
    <w:rsid w:val="001A2EBE"/>
    <w:rsid w:val="001A50D4"/>
    <w:rsid w:val="001A5BD9"/>
    <w:rsid w:val="001A7312"/>
    <w:rsid w:val="001B35C6"/>
    <w:rsid w:val="001C4E5B"/>
    <w:rsid w:val="001C5227"/>
    <w:rsid w:val="001C5F06"/>
    <w:rsid w:val="001C7DF5"/>
    <w:rsid w:val="001C7FCC"/>
    <w:rsid w:val="001D060B"/>
    <w:rsid w:val="001D1801"/>
    <w:rsid w:val="001D30C0"/>
    <w:rsid w:val="001D5F10"/>
    <w:rsid w:val="001D70DE"/>
    <w:rsid w:val="001D7DD8"/>
    <w:rsid w:val="001E406F"/>
    <w:rsid w:val="001E4620"/>
    <w:rsid w:val="001F16A5"/>
    <w:rsid w:val="001F2DE6"/>
    <w:rsid w:val="001F359B"/>
    <w:rsid w:val="001F3F21"/>
    <w:rsid w:val="0020265F"/>
    <w:rsid w:val="00205172"/>
    <w:rsid w:val="00210F61"/>
    <w:rsid w:val="002116EB"/>
    <w:rsid w:val="00216267"/>
    <w:rsid w:val="00217052"/>
    <w:rsid w:val="002177C5"/>
    <w:rsid w:val="00217BB5"/>
    <w:rsid w:val="002204B5"/>
    <w:rsid w:val="002222FC"/>
    <w:rsid w:val="002239BB"/>
    <w:rsid w:val="00227AB5"/>
    <w:rsid w:val="00232E2F"/>
    <w:rsid w:val="00234287"/>
    <w:rsid w:val="0023575C"/>
    <w:rsid w:val="0023599C"/>
    <w:rsid w:val="00236DDB"/>
    <w:rsid w:val="002431D1"/>
    <w:rsid w:val="00244C2F"/>
    <w:rsid w:val="002451E1"/>
    <w:rsid w:val="002454AD"/>
    <w:rsid w:val="00250577"/>
    <w:rsid w:val="00254089"/>
    <w:rsid w:val="00254398"/>
    <w:rsid w:val="002543DB"/>
    <w:rsid w:val="00255E71"/>
    <w:rsid w:val="00257A29"/>
    <w:rsid w:val="00257A41"/>
    <w:rsid w:val="00257E3A"/>
    <w:rsid w:val="00261010"/>
    <w:rsid w:val="00261AA5"/>
    <w:rsid w:val="00263A15"/>
    <w:rsid w:val="00263D35"/>
    <w:rsid w:val="00265BAD"/>
    <w:rsid w:val="0026783D"/>
    <w:rsid w:val="0027141A"/>
    <w:rsid w:val="00271565"/>
    <w:rsid w:val="002829BA"/>
    <w:rsid w:val="002839FA"/>
    <w:rsid w:val="00284A4D"/>
    <w:rsid w:val="002900BF"/>
    <w:rsid w:val="00292187"/>
    <w:rsid w:val="002A10C9"/>
    <w:rsid w:val="002A12E5"/>
    <w:rsid w:val="002A13D1"/>
    <w:rsid w:val="002A222F"/>
    <w:rsid w:val="002A7EB7"/>
    <w:rsid w:val="002B1822"/>
    <w:rsid w:val="002B2627"/>
    <w:rsid w:val="002B351D"/>
    <w:rsid w:val="002B530D"/>
    <w:rsid w:val="002B68C3"/>
    <w:rsid w:val="002C6294"/>
    <w:rsid w:val="002C6E1D"/>
    <w:rsid w:val="002D2753"/>
    <w:rsid w:val="002D4C7D"/>
    <w:rsid w:val="002D5D17"/>
    <w:rsid w:val="002D6B64"/>
    <w:rsid w:val="002D6C01"/>
    <w:rsid w:val="002E1B29"/>
    <w:rsid w:val="002E59AB"/>
    <w:rsid w:val="002E5A47"/>
    <w:rsid w:val="002F20D0"/>
    <w:rsid w:val="0030145A"/>
    <w:rsid w:val="003023F0"/>
    <w:rsid w:val="00303255"/>
    <w:rsid w:val="00305FEB"/>
    <w:rsid w:val="0030691D"/>
    <w:rsid w:val="00312C83"/>
    <w:rsid w:val="00316E3E"/>
    <w:rsid w:val="003249DA"/>
    <w:rsid w:val="00324EAB"/>
    <w:rsid w:val="00326D50"/>
    <w:rsid w:val="00327D60"/>
    <w:rsid w:val="00330126"/>
    <w:rsid w:val="00330867"/>
    <w:rsid w:val="0033400F"/>
    <w:rsid w:val="00342A2C"/>
    <w:rsid w:val="00342CA4"/>
    <w:rsid w:val="003453DB"/>
    <w:rsid w:val="00347FF8"/>
    <w:rsid w:val="00352A32"/>
    <w:rsid w:val="00354B0A"/>
    <w:rsid w:val="00355099"/>
    <w:rsid w:val="003559F2"/>
    <w:rsid w:val="00357E41"/>
    <w:rsid w:val="00361C80"/>
    <w:rsid w:val="00362138"/>
    <w:rsid w:val="00363826"/>
    <w:rsid w:val="00364783"/>
    <w:rsid w:val="00366758"/>
    <w:rsid w:val="00367144"/>
    <w:rsid w:val="00371D00"/>
    <w:rsid w:val="003737A0"/>
    <w:rsid w:val="003766AF"/>
    <w:rsid w:val="00376A5E"/>
    <w:rsid w:val="00376E24"/>
    <w:rsid w:val="00380AD3"/>
    <w:rsid w:val="003827B9"/>
    <w:rsid w:val="0038418A"/>
    <w:rsid w:val="003937CB"/>
    <w:rsid w:val="00397864"/>
    <w:rsid w:val="003A2E2F"/>
    <w:rsid w:val="003A51D0"/>
    <w:rsid w:val="003A6B46"/>
    <w:rsid w:val="003B4676"/>
    <w:rsid w:val="003B54A9"/>
    <w:rsid w:val="003C0777"/>
    <w:rsid w:val="003C2535"/>
    <w:rsid w:val="003C3A4C"/>
    <w:rsid w:val="003C3C9A"/>
    <w:rsid w:val="003C46CB"/>
    <w:rsid w:val="003C570D"/>
    <w:rsid w:val="003C6E0E"/>
    <w:rsid w:val="003D2013"/>
    <w:rsid w:val="003D2792"/>
    <w:rsid w:val="003D332C"/>
    <w:rsid w:val="003E2285"/>
    <w:rsid w:val="003E783C"/>
    <w:rsid w:val="003F1203"/>
    <w:rsid w:val="003F2E1C"/>
    <w:rsid w:val="003F3A5D"/>
    <w:rsid w:val="003F72D1"/>
    <w:rsid w:val="003F72DC"/>
    <w:rsid w:val="00400706"/>
    <w:rsid w:val="0040095C"/>
    <w:rsid w:val="00401A25"/>
    <w:rsid w:val="00406393"/>
    <w:rsid w:val="00407553"/>
    <w:rsid w:val="004123A1"/>
    <w:rsid w:val="00416E52"/>
    <w:rsid w:val="004175E0"/>
    <w:rsid w:val="00426A80"/>
    <w:rsid w:val="00427CCD"/>
    <w:rsid w:val="004300E2"/>
    <w:rsid w:val="0043011A"/>
    <w:rsid w:val="00430ADC"/>
    <w:rsid w:val="00431939"/>
    <w:rsid w:val="004354E4"/>
    <w:rsid w:val="00440948"/>
    <w:rsid w:val="00440A65"/>
    <w:rsid w:val="00446364"/>
    <w:rsid w:val="004515DD"/>
    <w:rsid w:val="0045283D"/>
    <w:rsid w:val="00453905"/>
    <w:rsid w:val="004570B5"/>
    <w:rsid w:val="00460B92"/>
    <w:rsid w:val="00463F45"/>
    <w:rsid w:val="00464CE2"/>
    <w:rsid w:val="00467AE4"/>
    <w:rsid w:val="00470046"/>
    <w:rsid w:val="00470077"/>
    <w:rsid w:val="0047146E"/>
    <w:rsid w:val="00471599"/>
    <w:rsid w:val="00475543"/>
    <w:rsid w:val="00476637"/>
    <w:rsid w:val="00476E60"/>
    <w:rsid w:val="004770E8"/>
    <w:rsid w:val="00477814"/>
    <w:rsid w:val="00477A38"/>
    <w:rsid w:val="00477E7E"/>
    <w:rsid w:val="00480C23"/>
    <w:rsid w:val="00482513"/>
    <w:rsid w:val="00484A87"/>
    <w:rsid w:val="004857A6"/>
    <w:rsid w:val="004866AB"/>
    <w:rsid w:val="004875C7"/>
    <w:rsid w:val="00492E41"/>
    <w:rsid w:val="004A2FFC"/>
    <w:rsid w:val="004A60E9"/>
    <w:rsid w:val="004A70C6"/>
    <w:rsid w:val="004A7247"/>
    <w:rsid w:val="004B0AFE"/>
    <w:rsid w:val="004C180B"/>
    <w:rsid w:val="004C238A"/>
    <w:rsid w:val="004C7A14"/>
    <w:rsid w:val="004D0C1E"/>
    <w:rsid w:val="004D2AC2"/>
    <w:rsid w:val="004D7CFC"/>
    <w:rsid w:val="004E1FB9"/>
    <w:rsid w:val="004E21FE"/>
    <w:rsid w:val="004E607F"/>
    <w:rsid w:val="004F28A0"/>
    <w:rsid w:val="004F7364"/>
    <w:rsid w:val="00510B70"/>
    <w:rsid w:val="00511915"/>
    <w:rsid w:val="00516C77"/>
    <w:rsid w:val="00525C8B"/>
    <w:rsid w:val="00530404"/>
    <w:rsid w:val="00530B9E"/>
    <w:rsid w:val="00534464"/>
    <w:rsid w:val="0054157E"/>
    <w:rsid w:val="005425DC"/>
    <w:rsid w:val="0054397A"/>
    <w:rsid w:val="0054562A"/>
    <w:rsid w:val="00546A07"/>
    <w:rsid w:val="005474F9"/>
    <w:rsid w:val="005508FF"/>
    <w:rsid w:val="00550FD4"/>
    <w:rsid w:val="00552805"/>
    <w:rsid w:val="005535EF"/>
    <w:rsid w:val="005550F2"/>
    <w:rsid w:val="00556932"/>
    <w:rsid w:val="005606E7"/>
    <w:rsid w:val="00562EE5"/>
    <w:rsid w:val="00563EE4"/>
    <w:rsid w:val="00565801"/>
    <w:rsid w:val="00571609"/>
    <w:rsid w:val="00571835"/>
    <w:rsid w:val="00573C24"/>
    <w:rsid w:val="005753FB"/>
    <w:rsid w:val="00586A0A"/>
    <w:rsid w:val="00593A3C"/>
    <w:rsid w:val="005973AE"/>
    <w:rsid w:val="005A1113"/>
    <w:rsid w:val="005B4E52"/>
    <w:rsid w:val="005B5E85"/>
    <w:rsid w:val="005B6EA3"/>
    <w:rsid w:val="005B7951"/>
    <w:rsid w:val="005C4071"/>
    <w:rsid w:val="005C4F3A"/>
    <w:rsid w:val="005C4FCE"/>
    <w:rsid w:val="005C5824"/>
    <w:rsid w:val="005C72CA"/>
    <w:rsid w:val="005C777F"/>
    <w:rsid w:val="005D2080"/>
    <w:rsid w:val="005D2775"/>
    <w:rsid w:val="005D5DD5"/>
    <w:rsid w:val="005D6FFF"/>
    <w:rsid w:val="005D7118"/>
    <w:rsid w:val="005F0C8B"/>
    <w:rsid w:val="005F222B"/>
    <w:rsid w:val="005F5AE8"/>
    <w:rsid w:val="005F6AFC"/>
    <w:rsid w:val="005F7790"/>
    <w:rsid w:val="005F79A6"/>
    <w:rsid w:val="005F7D7F"/>
    <w:rsid w:val="00602397"/>
    <w:rsid w:val="0060271E"/>
    <w:rsid w:val="00602DB0"/>
    <w:rsid w:val="0060494B"/>
    <w:rsid w:val="00605517"/>
    <w:rsid w:val="00606F58"/>
    <w:rsid w:val="00611877"/>
    <w:rsid w:val="00615D58"/>
    <w:rsid w:val="00616914"/>
    <w:rsid w:val="00616E67"/>
    <w:rsid w:val="006208BE"/>
    <w:rsid w:val="0062282F"/>
    <w:rsid w:val="0062529A"/>
    <w:rsid w:val="00630C04"/>
    <w:rsid w:val="00634274"/>
    <w:rsid w:val="0063606A"/>
    <w:rsid w:val="00640420"/>
    <w:rsid w:val="0064262A"/>
    <w:rsid w:val="00644FBB"/>
    <w:rsid w:val="00651378"/>
    <w:rsid w:val="00651841"/>
    <w:rsid w:val="00656F9A"/>
    <w:rsid w:val="0065798D"/>
    <w:rsid w:val="00661CF1"/>
    <w:rsid w:val="00674CAF"/>
    <w:rsid w:val="00682B34"/>
    <w:rsid w:val="00683E17"/>
    <w:rsid w:val="00685A08"/>
    <w:rsid w:val="00685E23"/>
    <w:rsid w:val="00687AF8"/>
    <w:rsid w:val="0069066D"/>
    <w:rsid w:val="006908F8"/>
    <w:rsid w:val="006967A1"/>
    <w:rsid w:val="0069708F"/>
    <w:rsid w:val="006979BF"/>
    <w:rsid w:val="00697CC8"/>
    <w:rsid w:val="006A002B"/>
    <w:rsid w:val="006A2317"/>
    <w:rsid w:val="006A2D3B"/>
    <w:rsid w:val="006A2FF8"/>
    <w:rsid w:val="006A742A"/>
    <w:rsid w:val="006B6984"/>
    <w:rsid w:val="006B6D15"/>
    <w:rsid w:val="006C14F5"/>
    <w:rsid w:val="006D1340"/>
    <w:rsid w:val="006D3713"/>
    <w:rsid w:val="006D466B"/>
    <w:rsid w:val="006E0B0E"/>
    <w:rsid w:val="006E35CE"/>
    <w:rsid w:val="006E455D"/>
    <w:rsid w:val="006E5A35"/>
    <w:rsid w:val="006F116A"/>
    <w:rsid w:val="006F127A"/>
    <w:rsid w:val="006F3AB2"/>
    <w:rsid w:val="006F5519"/>
    <w:rsid w:val="00707594"/>
    <w:rsid w:val="00712DB9"/>
    <w:rsid w:val="00713B54"/>
    <w:rsid w:val="007144EC"/>
    <w:rsid w:val="00720A95"/>
    <w:rsid w:val="00721E5E"/>
    <w:rsid w:val="00721E9E"/>
    <w:rsid w:val="00724210"/>
    <w:rsid w:val="00726485"/>
    <w:rsid w:val="00727852"/>
    <w:rsid w:val="00732412"/>
    <w:rsid w:val="007330D2"/>
    <w:rsid w:val="00736A43"/>
    <w:rsid w:val="00741232"/>
    <w:rsid w:val="00741FE1"/>
    <w:rsid w:val="00745428"/>
    <w:rsid w:val="00745BEC"/>
    <w:rsid w:val="00746824"/>
    <w:rsid w:val="00750742"/>
    <w:rsid w:val="00752423"/>
    <w:rsid w:val="00761F8F"/>
    <w:rsid w:val="00765BB4"/>
    <w:rsid w:val="00767DAC"/>
    <w:rsid w:val="007702E6"/>
    <w:rsid w:val="00771068"/>
    <w:rsid w:val="00771738"/>
    <w:rsid w:val="00771CE5"/>
    <w:rsid w:val="007729CF"/>
    <w:rsid w:val="00774599"/>
    <w:rsid w:val="00777D8B"/>
    <w:rsid w:val="00780034"/>
    <w:rsid w:val="00792343"/>
    <w:rsid w:val="00792EF0"/>
    <w:rsid w:val="007A0703"/>
    <w:rsid w:val="007A5186"/>
    <w:rsid w:val="007A6BFE"/>
    <w:rsid w:val="007B0A85"/>
    <w:rsid w:val="007B3D94"/>
    <w:rsid w:val="007B4795"/>
    <w:rsid w:val="007B4887"/>
    <w:rsid w:val="007B4CF0"/>
    <w:rsid w:val="007C175B"/>
    <w:rsid w:val="007C287E"/>
    <w:rsid w:val="007C42AF"/>
    <w:rsid w:val="007C6F35"/>
    <w:rsid w:val="007C7547"/>
    <w:rsid w:val="007C7BF8"/>
    <w:rsid w:val="007D0B0F"/>
    <w:rsid w:val="007D1EDB"/>
    <w:rsid w:val="007D7F77"/>
    <w:rsid w:val="007E4890"/>
    <w:rsid w:val="007E7EB2"/>
    <w:rsid w:val="007F2A9A"/>
    <w:rsid w:val="007F6412"/>
    <w:rsid w:val="007F6957"/>
    <w:rsid w:val="00800E95"/>
    <w:rsid w:val="008013C7"/>
    <w:rsid w:val="00805D1A"/>
    <w:rsid w:val="00807AAA"/>
    <w:rsid w:val="00810B25"/>
    <w:rsid w:val="00813E20"/>
    <w:rsid w:val="00814566"/>
    <w:rsid w:val="0081482C"/>
    <w:rsid w:val="0081493D"/>
    <w:rsid w:val="00816294"/>
    <w:rsid w:val="00816A7B"/>
    <w:rsid w:val="00821337"/>
    <w:rsid w:val="00824BBE"/>
    <w:rsid w:val="008251F3"/>
    <w:rsid w:val="0082556A"/>
    <w:rsid w:val="008265BE"/>
    <w:rsid w:val="00827212"/>
    <w:rsid w:val="008300F9"/>
    <w:rsid w:val="008307B7"/>
    <w:rsid w:val="0083267D"/>
    <w:rsid w:val="00832A43"/>
    <w:rsid w:val="00836343"/>
    <w:rsid w:val="00840B33"/>
    <w:rsid w:val="0084213D"/>
    <w:rsid w:val="008467D6"/>
    <w:rsid w:val="00846CBA"/>
    <w:rsid w:val="00853271"/>
    <w:rsid w:val="00860282"/>
    <w:rsid w:val="00861BE4"/>
    <w:rsid w:val="0086348E"/>
    <w:rsid w:val="00864659"/>
    <w:rsid w:val="00865282"/>
    <w:rsid w:val="00874717"/>
    <w:rsid w:val="008809F6"/>
    <w:rsid w:val="008810D2"/>
    <w:rsid w:val="008845A0"/>
    <w:rsid w:val="00885848"/>
    <w:rsid w:val="00885949"/>
    <w:rsid w:val="00885E7B"/>
    <w:rsid w:val="0088655D"/>
    <w:rsid w:val="00887FA9"/>
    <w:rsid w:val="00896CDE"/>
    <w:rsid w:val="008973EA"/>
    <w:rsid w:val="00897928"/>
    <w:rsid w:val="008A0E2C"/>
    <w:rsid w:val="008A1B26"/>
    <w:rsid w:val="008A1BDF"/>
    <w:rsid w:val="008A58F9"/>
    <w:rsid w:val="008B21BE"/>
    <w:rsid w:val="008B40C2"/>
    <w:rsid w:val="008B45D8"/>
    <w:rsid w:val="008C25A6"/>
    <w:rsid w:val="008C54C2"/>
    <w:rsid w:val="008C7810"/>
    <w:rsid w:val="008C7A4E"/>
    <w:rsid w:val="008D04F7"/>
    <w:rsid w:val="008D23AA"/>
    <w:rsid w:val="008D294A"/>
    <w:rsid w:val="008D5EFA"/>
    <w:rsid w:val="008D6487"/>
    <w:rsid w:val="008D6B01"/>
    <w:rsid w:val="008E0685"/>
    <w:rsid w:val="008E0BF4"/>
    <w:rsid w:val="008E373B"/>
    <w:rsid w:val="008E6DE2"/>
    <w:rsid w:val="008E74D5"/>
    <w:rsid w:val="008F2791"/>
    <w:rsid w:val="008F4AB4"/>
    <w:rsid w:val="008F565B"/>
    <w:rsid w:val="00900FD5"/>
    <w:rsid w:val="009036A8"/>
    <w:rsid w:val="009049B3"/>
    <w:rsid w:val="00906FFB"/>
    <w:rsid w:val="009114B0"/>
    <w:rsid w:val="00911736"/>
    <w:rsid w:val="0091369D"/>
    <w:rsid w:val="00917A99"/>
    <w:rsid w:val="00922B0E"/>
    <w:rsid w:val="009266A0"/>
    <w:rsid w:val="009326BB"/>
    <w:rsid w:val="0093387A"/>
    <w:rsid w:val="009341CB"/>
    <w:rsid w:val="009343F5"/>
    <w:rsid w:val="00934588"/>
    <w:rsid w:val="0093608F"/>
    <w:rsid w:val="0093728D"/>
    <w:rsid w:val="00945E4D"/>
    <w:rsid w:val="00952570"/>
    <w:rsid w:val="00953133"/>
    <w:rsid w:val="00953470"/>
    <w:rsid w:val="00953D5A"/>
    <w:rsid w:val="00957F25"/>
    <w:rsid w:val="009609E3"/>
    <w:rsid w:val="009614FE"/>
    <w:rsid w:val="009638EE"/>
    <w:rsid w:val="0096544E"/>
    <w:rsid w:val="00967D10"/>
    <w:rsid w:val="00972AB5"/>
    <w:rsid w:val="00974A5B"/>
    <w:rsid w:val="009759EA"/>
    <w:rsid w:val="009775C4"/>
    <w:rsid w:val="0097777F"/>
    <w:rsid w:val="0098052E"/>
    <w:rsid w:val="00981677"/>
    <w:rsid w:val="00987122"/>
    <w:rsid w:val="009903BD"/>
    <w:rsid w:val="00992F11"/>
    <w:rsid w:val="00993386"/>
    <w:rsid w:val="009A0395"/>
    <w:rsid w:val="009A6AAF"/>
    <w:rsid w:val="009B16E4"/>
    <w:rsid w:val="009B2FA6"/>
    <w:rsid w:val="009C1CD0"/>
    <w:rsid w:val="009C2B02"/>
    <w:rsid w:val="009C5011"/>
    <w:rsid w:val="009C6974"/>
    <w:rsid w:val="009D0E8C"/>
    <w:rsid w:val="009D0FF7"/>
    <w:rsid w:val="009D31E1"/>
    <w:rsid w:val="009E4A87"/>
    <w:rsid w:val="009E6092"/>
    <w:rsid w:val="009E62A5"/>
    <w:rsid w:val="009E6D2F"/>
    <w:rsid w:val="009F1AE5"/>
    <w:rsid w:val="009F21FB"/>
    <w:rsid w:val="009F68C6"/>
    <w:rsid w:val="009F7B5A"/>
    <w:rsid w:val="00A036CE"/>
    <w:rsid w:val="00A0671C"/>
    <w:rsid w:val="00A1065F"/>
    <w:rsid w:val="00A1283B"/>
    <w:rsid w:val="00A23CF0"/>
    <w:rsid w:val="00A23E72"/>
    <w:rsid w:val="00A26315"/>
    <w:rsid w:val="00A27145"/>
    <w:rsid w:val="00A35617"/>
    <w:rsid w:val="00A375EC"/>
    <w:rsid w:val="00A377FD"/>
    <w:rsid w:val="00A42156"/>
    <w:rsid w:val="00A42DBD"/>
    <w:rsid w:val="00A44210"/>
    <w:rsid w:val="00A4433F"/>
    <w:rsid w:val="00A457F2"/>
    <w:rsid w:val="00A555C4"/>
    <w:rsid w:val="00A61274"/>
    <w:rsid w:val="00A635DC"/>
    <w:rsid w:val="00A651AA"/>
    <w:rsid w:val="00A71E17"/>
    <w:rsid w:val="00A74FE0"/>
    <w:rsid w:val="00A82BE9"/>
    <w:rsid w:val="00A848F3"/>
    <w:rsid w:val="00A858CE"/>
    <w:rsid w:val="00A91811"/>
    <w:rsid w:val="00A92427"/>
    <w:rsid w:val="00A929FC"/>
    <w:rsid w:val="00A92C74"/>
    <w:rsid w:val="00A93BE4"/>
    <w:rsid w:val="00A97711"/>
    <w:rsid w:val="00AA362A"/>
    <w:rsid w:val="00AA3DC3"/>
    <w:rsid w:val="00AA6017"/>
    <w:rsid w:val="00AA6508"/>
    <w:rsid w:val="00AA6587"/>
    <w:rsid w:val="00AB4A96"/>
    <w:rsid w:val="00AB79A5"/>
    <w:rsid w:val="00AB7D0C"/>
    <w:rsid w:val="00AC0AAC"/>
    <w:rsid w:val="00AC0C66"/>
    <w:rsid w:val="00AC2CC9"/>
    <w:rsid w:val="00AC354F"/>
    <w:rsid w:val="00AC38A3"/>
    <w:rsid w:val="00AC4BD7"/>
    <w:rsid w:val="00AC6B65"/>
    <w:rsid w:val="00AD4B16"/>
    <w:rsid w:val="00AD4D0C"/>
    <w:rsid w:val="00AD6ED9"/>
    <w:rsid w:val="00AE189D"/>
    <w:rsid w:val="00AE5224"/>
    <w:rsid w:val="00AE5706"/>
    <w:rsid w:val="00AF481A"/>
    <w:rsid w:val="00B02F4E"/>
    <w:rsid w:val="00B06C5F"/>
    <w:rsid w:val="00B07E79"/>
    <w:rsid w:val="00B07F3D"/>
    <w:rsid w:val="00B100DE"/>
    <w:rsid w:val="00B10616"/>
    <w:rsid w:val="00B11F7A"/>
    <w:rsid w:val="00B15D9F"/>
    <w:rsid w:val="00B16F36"/>
    <w:rsid w:val="00B2290C"/>
    <w:rsid w:val="00B22D24"/>
    <w:rsid w:val="00B2351F"/>
    <w:rsid w:val="00B24391"/>
    <w:rsid w:val="00B24670"/>
    <w:rsid w:val="00B25A03"/>
    <w:rsid w:val="00B262E7"/>
    <w:rsid w:val="00B32701"/>
    <w:rsid w:val="00B33E7A"/>
    <w:rsid w:val="00B34239"/>
    <w:rsid w:val="00B40DC4"/>
    <w:rsid w:val="00B43AC6"/>
    <w:rsid w:val="00B53C1B"/>
    <w:rsid w:val="00B5700D"/>
    <w:rsid w:val="00B577C6"/>
    <w:rsid w:val="00B73BC7"/>
    <w:rsid w:val="00B949EC"/>
    <w:rsid w:val="00BA12B0"/>
    <w:rsid w:val="00BA412E"/>
    <w:rsid w:val="00BA45EF"/>
    <w:rsid w:val="00BA693C"/>
    <w:rsid w:val="00BA7936"/>
    <w:rsid w:val="00BB63A3"/>
    <w:rsid w:val="00BB65E6"/>
    <w:rsid w:val="00BB7140"/>
    <w:rsid w:val="00BB7409"/>
    <w:rsid w:val="00BB7F7B"/>
    <w:rsid w:val="00BC66A0"/>
    <w:rsid w:val="00BD00A7"/>
    <w:rsid w:val="00BD2F05"/>
    <w:rsid w:val="00BD787F"/>
    <w:rsid w:val="00BD79DC"/>
    <w:rsid w:val="00BD7D70"/>
    <w:rsid w:val="00BE07A4"/>
    <w:rsid w:val="00BE2966"/>
    <w:rsid w:val="00BE49BC"/>
    <w:rsid w:val="00BE521F"/>
    <w:rsid w:val="00BF026C"/>
    <w:rsid w:val="00BF25B7"/>
    <w:rsid w:val="00C021BE"/>
    <w:rsid w:val="00C0227A"/>
    <w:rsid w:val="00C02334"/>
    <w:rsid w:val="00C13329"/>
    <w:rsid w:val="00C1341A"/>
    <w:rsid w:val="00C1480C"/>
    <w:rsid w:val="00C23A86"/>
    <w:rsid w:val="00C24143"/>
    <w:rsid w:val="00C26209"/>
    <w:rsid w:val="00C303C8"/>
    <w:rsid w:val="00C34CF5"/>
    <w:rsid w:val="00C37EB2"/>
    <w:rsid w:val="00C5384D"/>
    <w:rsid w:val="00C53E24"/>
    <w:rsid w:val="00C5689E"/>
    <w:rsid w:val="00C61411"/>
    <w:rsid w:val="00C61E23"/>
    <w:rsid w:val="00C62AA4"/>
    <w:rsid w:val="00C62F36"/>
    <w:rsid w:val="00C642C4"/>
    <w:rsid w:val="00C65AE8"/>
    <w:rsid w:val="00C73CDA"/>
    <w:rsid w:val="00C80D25"/>
    <w:rsid w:val="00C829E3"/>
    <w:rsid w:val="00C830D6"/>
    <w:rsid w:val="00C84E28"/>
    <w:rsid w:val="00C85A16"/>
    <w:rsid w:val="00C9349F"/>
    <w:rsid w:val="00CA08E6"/>
    <w:rsid w:val="00CA26DF"/>
    <w:rsid w:val="00CA7601"/>
    <w:rsid w:val="00CB509A"/>
    <w:rsid w:val="00CC221D"/>
    <w:rsid w:val="00CC51A3"/>
    <w:rsid w:val="00CC533D"/>
    <w:rsid w:val="00CC69AE"/>
    <w:rsid w:val="00CC6E57"/>
    <w:rsid w:val="00CD2203"/>
    <w:rsid w:val="00CD4E55"/>
    <w:rsid w:val="00CE3ED6"/>
    <w:rsid w:val="00CF0392"/>
    <w:rsid w:val="00CF5DF3"/>
    <w:rsid w:val="00CF7147"/>
    <w:rsid w:val="00CF727D"/>
    <w:rsid w:val="00CF7E4F"/>
    <w:rsid w:val="00D017A8"/>
    <w:rsid w:val="00D01BE4"/>
    <w:rsid w:val="00D04F1C"/>
    <w:rsid w:val="00D05196"/>
    <w:rsid w:val="00D06DE4"/>
    <w:rsid w:val="00D07F36"/>
    <w:rsid w:val="00D115F2"/>
    <w:rsid w:val="00D1236E"/>
    <w:rsid w:val="00D14B4F"/>
    <w:rsid w:val="00D23472"/>
    <w:rsid w:val="00D259BC"/>
    <w:rsid w:val="00D27D23"/>
    <w:rsid w:val="00D332AA"/>
    <w:rsid w:val="00D514BF"/>
    <w:rsid w:val="00D51972"/>
    <w:rsid w:val="00D52F08"/>
    <w:rsid w:val="00D53885"/>
    <w:rsid w:val="00D56394"/>
    <w:rsid w:val="00D577ED"/>
    <w:rsid w:val="00D752AE"/>
    <w:rsid w:val="00D77188"/>
    <w:rsid w:val="00D8367F"/>
    <w:rsid w:val="00D95865"/>
    <w:rsid w:val="00D95E52"/>
    <w:rsid w:val="00D96FE6"/>
    <w:rsid w:val="00D9715C"/>
    <w:rsid w:val="00DA6844"/>
    <w:rsid w:val="00DA7BB4"/>
    <w:rsid w:val="00DB2955"/>
    <w:rsid w:val="00DB532C"/>
    <w:rsid w:val="00DC0F91"/>
    <w:rsid w:val="00DC20B2"/>
    <w:rsid w:val="00DC2B2A"/>
    <w:rsid w:val="00DC6582"/>
    <w:rsid w:val="00DD1BE3"/>
    <w:rsid w:val="00DD365A"/>
    <w:rsid w:val="00DD4025"/>
    <w:rsid w:val="00DD4376"/>
    <w:rsid w:val="00DE40BC"/>
    <w:rsid w:val="00DE62FB"/>
    <w:rsid w:val="00DF2405"/>
    <w:rsid w:val="00DF781B"/>
    <w:rsid w:val="00E049CA"/>
    <w:rsid w:val="00E11DE7"/>
    <w:rsid w:val="00E12EFA"/>
    <w:rsid w:val="00E1641B"/>
    <w:rsid w:val="00E16B31"/>
    <w:rsid w:val="00E201CC"/>
    <w:rsid w:val="00E2027A"/>
    <w:rsid w:val="00E24979"/>
    <w:rsid w:val="00E30F5B"/>
    <w:rsid w:val="00E343F6"/>
    <w:rsid w:val="00E40598"/>
    <w:rsid w:val="00E40C51"/>
    <w:rsid w:val="00E466F7"/>
    <w:rsid w:val="00E4676C"/>
    <w:rsid w:val="00E509B6"/>
    <w:rsid w:val="00E51E36"/>
    <w:rsid w:val="00E52029"/>
    <w:rsid w:val="00E57A6E"/>
    <w:rsid w:val="00E60079"/>
    <w:rsid w:val="00E61841"/>
    <w:rsid w:val="00E63FCB"/>
    <w:rsid w:val="00E651A7"/>
    <w:rsid w:val="00E65BCF"/>
    <w:rsid w:val="00E6707D"/>
    <w:rsid w:val="00E74772"/>
    <w:rsid w:val="00E77AC7"/>
    <w:rsid w:val="00E81774"/>
    <w:rsid w:val="00E8183A"/>
    <w:rsid w:val="00E87A2B"/>
    <w:rsid w:val="00E87BE9"/>
    <w:rsid w:val="00E927E2"/>
    <w:rsid w:val="00E96DDB"/>
    <w:rsid w:val="00EA02BB"/>
    <w:rsid w:val="00EA0307"/>
    <w:rsid w:val="00EA4245"/>
    <w:rsid w:val="00EB5F95"/>
    <w:rsid w:val="00EB69E4"/>
    <w:rsid w:val="00EC49EF"/>
    <w:rsid w:val="00EC4B21"/>
    <w:rsid w:val="00EC7EEE"/>
    <w:rsid w:val="00ED1312"/>
    <w:rsid w:val="00ED18C1"/>
    <w:rsid w:val="00ED42A3"/>
    <w:rsid w:val="00ED4E06"/>
    <w:rsid w:val="00EE0DB8"/>
    <w:rsid w:val="00EE3157"/>
    <w:rsid w:val="00EE5B4F"/>
    <w:rsid w:val="00EE5C76"/>
    <w:rsid w:val="00EE7888"/>
    <w:rsid w:val="00EE7F26"/>
    <w:rsid w:val="00EF11B0"/>
    <w:rsid w:val="00EF5848"/>
    <w:rsid w:val="00F02EE9"/>
    <w:rsid w:val="00F044B9"/>
    <w:rsid w:val="00F10B34"/>
    <w:rsid w:val="00F10EC3"/>
    <w:rsid w:val="00F14582"/>
    <w:rsid w:val="00F17061"/>
    <w:rsid w:val="00F177A8"/>
    <w:rsid w:val="00F2051A"/>
    <w:rsid w:val="00F2450F"/>
    <w:rsid w:val="00F25CF9"/>
    <w:rsid w:val="00F32203"/>
    <w:rsid w:val="00F347BC"/>
    <w:rsid w:val="00F35827"/>
    <w:rsid w:val="00F40D31"/>
    <w:rsid w:val="00F4158A"/>
    <w:rsid w:val="00F42282"/>
    <w:rsid w:val="00F5386B"/>
    <w:rsid w:val="00F53B0E"/>
    <w:rsid w:val="00F55972"/>
    <w:rsid w:val="00F613B7"/>
    <w:rsid w:val="00F660B1"/>
    <w:rsid w:val="00F704BF"/>
    <w:rsid w:val="00F712B2"/>
    <w:rsid w:val="00F72ED1"/>
    <w:rsid w:val="00F76DBB"/>
    <w:rsid w:val="00F810B4"/>
    <w:rsid w:val="00F83D5B"/>
    <w:rsid w:val="00F85432"/>
    <w:rsid w:val="00F86D88"/>
    <w:rsid w:val="00F9092F"/>
    <w:rsid w:val="00F90EEE"/>
    <w:rsid w:val="00F91180"/>
    <w:rsid w:val="00F93439"/>
    <w:rsid w:val="00F93E4E"/>
    <w:rsid w:val="00F94A3F"/>
    <w:rsid w:val="00FA06C5"/>
    <w:rsid w:val="00FA11B3"/>
    <w:rsid w:val="00FA19E8"/>
    <w:rsid w:val="00FA2317"/>
    <w:rsid w:val="00FA28A2"/>
    <w:rsid w:val="00FA5211"/>
    <w:rsid w:val="00FB00D0"/>
    <w:rsid w:val="00FB0570"/>
    <w:rsid w:val="00FC1938"/>
    <w:rsid w:val="00FC29D4"/>
    <w:rsid w:val="00FC474F"/>
    <w:rsid w:val="00FC6EF5"/>
    <w:rsid w:val="00FD57FF"/>
    <w:rsid w:val="00FD6F0D"/>
    <w:rsid w:val="00FD7128"/>
    <w:rsid w:val="00FD7E71"/>
    <w:rsid w:val="00FE098D"/>
    <w:rsid w:val="00FE153C"/>
    <w:rsid w:val="00FE197E"/>
    <w:rsid w:val="00FE2405"/>
    <w:rsid w:val="00FE63C5"/>
    <w:rsid w:val="00FE6B6D"/>
    <w:rsid w:val="00FF0036"/>
    <w:rsid w:val="00FF3FCB"/>
    <w:rsid w:val="00FF5CB1"/>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D5C41"/>
  <w15:chartTrackingRefBased/>
  <w15:docId w15:val="{9D45F843-9B0D-4A12-A4ED-199F1195BE6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BodyText"/>
    <w:next w:val="Normal"/>
    <w:autoRedefine/>
    <w:qFormat/>
    <w:pPr>
      <w:keepNext/>
      <w:numPr>
        <w:numId w:val="1"/>
      </w:numPr>
      <w:spacing w:before="240" w:after="60"/>
      <w:outlineLvl w:val="0"/>
    </w:pPr>
    <w:rPr>
      <w:kern w:val="28"/>
      <w:sz w:val="28"/>
    </w:rPr>
  </w:style>
  <w:style w:type="paragraph" w:styleId="Heading2">
    <w:name w:val="heading 2"/>
    <w:basedOn w:val="Heading1"/>
    <w:next w:val="Normal"/>
    <w:qFormat/>
    <w:pPr>
      <w:numPr>
        <w:ilvl w:val="1"/>
      </w:numPr>
      <w:outlineLvl w:val="1"/>
    </w:pPr>
    <w:rPr>
      <w:sz w:val="24"/>
    </w:rPr>
  </w:style>
  <w:style w:type="paragraph" w:styleId="Heading3">
    <w:name w:val="heading 3"/>
    <w:basedOn w:val="Heading2"/>
    <w:next w:val="Normal"/>
    <w:qFormat/>
    <w:pPr>
      <w:numPr>
        <w:ilvl w:val="2"/>
      </w:numPr>
      <w:outlineLvl w:val="2"/>
    </w:pPr>
  </w:style>
  <w:style w:type="paragraph" w:styleId="Heading4">
    <w:name w:val="heading 4"/>
    <w:basedOn w:val="Heading3"/>
    <w:next w:val="Normal"/>
    <w:qFormat/>
    <w:pPr>
      <w:numPr>
        <w:ilvl w:val="3"/>
      </w:numPr>
      <w:outlineLvl w:val="3"/>
    </w:pPr>
  </w:style>
  <w:style w:type="paragraph" w:styleId="Heading5">
    <w:name w:val="heading 5"/>
    <w:basedOn w:val="Heading4"/>
    <w:next w:val="Normal"/>
    <w:qFormat/>
    <w:pPr>
      <w:numPr>
        <w:ilvl w:val="4"/>
      </w:numPr>
      <w:outlineLvl w:val="4"/>
    </w:pPr>
    <w:rPr>
      <w:sz w:val="22"/>
    </w:r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rPr>
  </w:style>
  <w:style w:type="paragraph" w:styleId="Heading9">
    <w:name w:val="heading 9"/>
    <w:basedOn w:val="Heading8"/>
    <w:next w:val="Normal"/>
    <w:qFormat/>
    <w:pPr>
      <w:numPr>
        <w:ilvl w:val="8"/>
      </w:numPr>
      <w:tabs>
        <w:tab w:val="num" w:pos="360"/>
      </w:tabs>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480"/>
    </w:pPr>
    <w:rPr>
      <w:sz w:val="2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uotation">
    <w:name w:val="Quotation"/>
    <w:basedOn w:val="BodyText"/>
    <w:next w:val="BodyText"/>
    <w:pPr>
      <w:spacing w:after="120"/>
      <w:ind w:left="1440" w:right="1440"/>
    </w:p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qFormat/>
    <w:rsid w:val="00006EA6"/>
  </w:style>
  <w:style w:type="character" w:styleId="FootnoteReference">
    <w:name w:val="footnote reference"/>
    <w:aliases w:val="Style 13,Appel note de bas de p,Style 12,(NECG) Footnote Reference,Style 124,o,fr,Style 3,Style 17,FR,Footnote Reference/,Style 6,Style 20,o1,fr1,o2,fr2,o3,fr3,Style 15,Style 9,Style 18,Style 7,Styl,Style 8,Style 28,Style 19,Style 11"/>
    <w:qFormat/>
    <w:rsid w:val="00006EA6"/>
    <w:rPr>
      <w:rFonts w:ascii="Times New Roman" w:hAnsi="Times New Roman"/>
      <w:b/>
      <w:sz w:val="28"/>
      <w:u w:val="single"/>
      <w:vertAlign w:val="superscript"/>
    </w:rPr>
  </w:style>
  <w:style w:type="character" w:customStyle="1" w:styleId="BodyTextChar">
    <w:name w:val="Body Text Char"/>
    <w:link w:val="BodyText"/>
    <w:rsid w:val="00813E20"/>
    <w:rPr>
      <w:sz w:val="26"/>
    </w:rPr>
  </w:style>
  <w:style w:type="paragraph" w:styleId="NoSpacing">
    <w:name w:val="No Spacing"/>
    <w:uiPriority w:val="1"/>
    <w:qFormat/>
    <w:rsid w:val="00357E41"/>
  </w:style>
  <w:style w:type="character" w:customStyle="1" w:styleId="pmterms11">
    <w:name w:val="pmterms11"/>
    <w:rsid w:val="0060494B"/>
    <w:rPr>
      <w:b/>
      <w:bCs/>
      <w:i w:val="0"/>
      <w:iCs w:val="0"/>
      <w:color w:val="000000"/>
    </w:rPr>
  </w:style>
  <w:style w:type="paragraph" w:styleId="BalloonText">
    <w:name w:val="Balloon Text"/>
    <w:basedOn w:val="Normal"/>
    <w:link w:val="BalloonTextChar"/>
    <w:rsid w:val="00712DB9"/>
    <w:rPr>
      <w:rFonts w:ascii="Tahoma" w:hAnsi="Tahoma" w:cs="Tahoma"/>
      <w:sz w:val="16"/>
      <w:szCs w:val="16"/>
    </w:rPr>
  </w:style>
  <w:style w:type="character" w:customStyle="1" w:styleId="BalloonTextChar">
    <w:name w:val="Balloon Text Char"/>
    <w:link w:val="BalloonText"/>
    <w:rsid w:val="00712DB9"/>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0A1E72"/>
  </w:style>
  <w:style w:type="character" w:styleId="Hyperlink">
    <w:name w:val="Hyperlink"/>
    <w:uiPriority w:val="99"/>
    <w:unhideWhenUsed/>
    <w:rsid w:val="002C6E1D"/>
    <w:rPr>
      <w:color w:val="0563C1"/>
      <w:u w:val="single"/>
    </w:rPr>
  </w:style>
  <w:style w:type="character" w:styleId="CommentReference">
    <w:name w:val="annotation reference"/>
    <w:uiPriority w:val="99"/>
    <w:unhideWhenUsed/>
    <w:rsid w:val="002C6E1D"/>
    <w:rPr>
      <w:sz w:val="16"/>
      <w:szCs w:val="16"/>
    </w:rPr>
  </w:style>
  <w:style w:type="paragraph" w:styleId="CommentText">
    <w:name w:val="annotation text"/>
    <w:basedOn w:val="Normal"/>
    <w:link w:val="CommentTextChar"/>
    <w:uiPriority w:val="99"/>
    <w:unhideWhenUsed/>
    <w:rsid w:val="002C6E1D"/>
    <w:pPr>
      <w:spacing w:after="160"/>
    </w:pPr>
    <w:rPr>
      <w:rFonts w:ascii="Calibri" w:eastAsia="Calibri" w:hAnsi="Calibri"/>
    </w:rPr>
  </w:style>
  <w:style w:type="character" w:customStyle="1" w:styleId="CommentTextChar">
    <w:name w:val="Comment Text Char"/>
    <w:link w:val="CommentText"/>
    <w:uiPriority w:val="99"/>
    <w:rsid w:val="002C6E1D"/>
    <w:rPr>
      <w:rFonts w:ascii="Calibri" w:eastAsia="Calibri" w:hAnsi="Calibri"/>
    </w:rPr>
  </w:style>
  <w:style w:type="paragraph" w:styleId="CommentSubject">
    <w:name w:val="annotation subject"/>
    <w:basedOn w:val="CommentText"/>
    <w:next w:val="CommentText"/>
    <w:link w:val="CommentSubjectChar"/>
    <w:rsid w:val="00656F9A"/>
    <w:pPr>
      <w:spacing w:after="0"/>
    </w:pPr>
    <w:rPr>
      <w:rFonts w:ascii="Times New Roman" w:eastAsia="Times New Roman" w:hAnsi="Times New Roman"/>
      <w:b/>
      <w:bCs/>
    </w:rPr>
  </w:style>
  <w:style w:type="character" w:customStyle="1" w:styleId="CommentSubjectChar">
    <w:name w:val="Comment Subject Char"/>
    <w:link w:val="CommentSubject"/>
    <w:rsid w:val="00656F9A"/>
    <w:rPr>
      <w:rFonts w:ascii="Calibri" w:eastAsia="Calibri" w:hAnsi="Calibri"/>
      <w:b/>
      <w:bCs/>
    </w:rPr>
  </w:style>
  <w:style w:type="paragraph" w:styleId="Revision">
    <w:name w:val="Revision"/>
    <w:hidden/>
    <w:uiPriority w:val="99"/>
    <w:semiHidden/>
    <w:rsid w:val="00656F9A"/>
  </w:style>
  <w:style w:type="paragraph" w:customStyle="1" w:styleId="Default">
    <w:name w:val="Default"/>
    <w:rsid w:val="000456F1"/>
    <w:pPr>
      <w:autoSpaceDE w:val="0"/>
      <w:autoSpaceDN w:val="0"/>
      <w:adjustRightInd w:val="0"/>
    </w:pPr>
    <w:rPr>
      <w:color w:val="000000"/>
      <w:sz w:val="24"/>
      <w:szCs w:val="24"/>
    </w:rPr>
  </w:style>
  <w:style w:type="character" w:styleId="UnresolvedMention">
    <w:name w:val="Unresolved Mention"/>
    <w:uiPriority w:val="99"/>
    <w:semiHidden/>
    <w:unhideWhenUsed/>
    <w:rsid w:val="00771068"/>
    <w:rPr>
      <w:color w:val="605E5C"/>
      <w:shd w:val="clear" w:color="auto" w:fill="E1DFDD"/>
    </w:rPr>
  </w:style>
  <w:style w:type="paragraph" w:styleId="ListParagraph">
    <w:name w:val="List Paragraph"/>
    <w:basedOn w:val="Normal"/>
    <w:uiPriority w:val="34"/>
    <w:qFormat/>
    <w:rsid w:val="00F94A3F"/>
    <w:pPr>
      <w:ind w:left="720"/>
    </w:pPr>
  </w:style>
  <w:style w:type="character" w:customStyle="1" w:styleId="sssh">
    <w:name w:val="ss_sh"/>
    <w:rsid w:val="00761F8F"/>
  </w:style>
  <w:style w:type="character" w:customStyle="1" w:styleId="FooterChar">
    <w:name w:val="Footer Char"/>
    <w:link w:val="Footer"/>
    <w:uiPriority w:val="99"/>
    <w:rsid w:val="00B53C1B"/>
  </w:style>
  <w:style w:type="paragraph" w:customStyle="1" w:styleId="StyleHeading113ptBold">
    <w:name w:val="Style Heading 1 + 13 pt Bold"/>
    <w:basedOn w:val="Heading1"/>
    <w:autoRedefine/>
    <w:qFormat/>
    <w:rsid w:val="00D51972"/>
    <w:pPr>
      <w:spacing w:before="120" w:after="120"/>
    </w:pPr>
    <w:rPr>
      <w:b/>
      <w:bCs/>
      <w:sz w:val="26"/>
    </w:rPr>
  </w:style>
  <w:style w:type="paragraph" w:customStyle="1" w:styleId="StyleHeading213ptBoldBefore6ptAfter6pt">
    <w:name w:val="Style Heading 2 + 13 pt Bold Before:  6 pt After:  6 pt"/>
    <w:basedOn w:val="Heading2"/>
    <w:autoRedefine/>
    <w:qFormat/>
    <w:rsid w:val="00D51972"/>
    <w:pPr>
      <w:spacing w:before="120" w:after="120"/>
    </w:pPr>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29430">
      <w:bodyDiv w:val="1"/>
      <w:marLeft w:val="0"/>
      <w:marRight w:val="0"/>
      <w:marTop w:val="0"/>
      <w:marBottom w:val="0"/>
      <w:divBdr>
        <w:top w:val="none" w:sz="0" w:space="0" w:color="auto"/>
        <w:left w:val="none" w:sz="0" w:space="0" w:color="auto"/>
        <w:bottom w:val="none" w:sz="0" w:space="0" w:color="auto"/>
        <w:right w:val="none" w:sz="0" w:space="0" w:color="auto"/>
      </w:divBdr>
    </w:div>
    <w:div w:id="705714907">
      <w:bodyDiv w:val="1"/>
      <w:marLeft w:val="0"/>
      <w:marRight w:val="0"/>
      <w:marTop w:val="0"/>
      <w:marBottom w:val="0"/>
      <w:divBdr>
        <w:top w:val="none" w:sz="0" w:space="0" w:color="auto"/>
        <w:left w:val="none" w:sz="0" w:space="0" w:color="auto"/>
        <w:bottom w:val="none" w:sz="0" w:space="0" w:color="auto"/>
        <w:right w:val="none" w:sz="0" w:space="0" w:color="auto"/>
      </w:divBdr>
      <w:divsChild>
        <w:div w:id="1568414256">
          <w:marLeft w:val="0"/>
          <w:marRight w:val="0"/>
          <w:marTop w:val="0"/>
          <w:marBottom w:val="0"/>
          <w:divBdr>
            <w:top w:val="none" w:sz="0" w:space="0" w:color="auto"/>
            <w:left w:val="none" w:sz="0" w:space="0" w:color="auto"/>
            <w:bottom w:val="none" w:sz="0" w:space="0" w:color="auto"/>
            <w:right w:val="none" w:sz="0" w:space="0" w:color="auto"/>
          </w:divBdr>
          <w:divsChild>
            <w:div w:id="56362600">
              <w:marLeft w:val="0"/>
              <w:marRight w:val="0"/>
              <w:marTop w:val="0"/>
              <w:marBottom w:val="0"/>
              <w:divBdr>
                <w:top w:val="none" w:sz="0" w:space="0" w:color="auto"/>
                <w:left w:val="none" w:sz="0" w:space="0" w:color="auto"/>
                <w:bottom w:val="none" w:sz="0" w:space="0" w:color="auto"/>
                <w:right w:val="none" w:sz="0" w:space="0" w:color="auto"/>
              </w:divBdr>
              <w:divsChild>
                <w:div w:id="17903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7460">
      <w:bodyDiv w:val="1"/>
      <w:marLeft w:val="0"/>
      <w:marRight w:val="0"/>
      <w:marTop w:val="0"/>
      <w:marBottom w:val="0"/>
      <w:divBdr>
        <w:top w:val="none" w:sz="0" w:space="0" w:color="auto"/>
        <w:left w:val="none" w:sz="0" w:space="0" w:color="auto"/>
        <w:bottom w:val="none" w:sz="0" w:space="0" w:color="auto"/>
        <w:right w:val="none" w:sz="0" w:space="0" w:color="auto"/>
      </w:divBdr>
    </w:div>
    <w:div w:id="855000999">
      <w:bodyDiv w:val="1"/>
      <w:marLeft w:val="0"/>
      <w:marRight w:val="0"/>
      <w:marTop w:val="0"/>
      <w:marBottom w:val="0"/>
      <w:divBdr>
        <w:top w:val="none" w:sz="0" w:space="0" w:color="auto"/>
        <w:left w:val="none" w:sz="0" w:space="0" w:color="auto"/>
        <w:bottom w:val="none" w:sz="0" w:space="0" w:color="auto"/>
        <w:right w:val="none" w:sz="0" w:space="0" w:color="auto"/>
      </w:divBdr>
    </w:div>
    <w:div w:id="1373270245">
      <w:bodyDiv w:val="1"/>
      <w:marLeft w:val="0"/>
      <w:marRight w:val="0"/>
      <w:marTop w:val="0"/>
      <w:marBottom w:val="0"/>
      <w:divBdr>
        <w:top w:val="none" w:sz="0" w:space="0" w:color="auto"/>
        <w:left w:val="none" w:sz="0" w:space="0" w:color="auto"/>
        <w:bottom w:val="none" w:sz="0" w:space="0" w:color="auto"/>
        <w:right w:val="none" w:sz="0" w:space="0" w:color="auto"/>
      </w:divBdr>
    </w:div>
    <w:div w:id="1920022390">
      <w:bodyDiv w:val="1"/>
      <w:marLeft w:val="0"/>
      <w:marRight w:val="0"/>
      <w:marTop w:val="0"/>
      <w:marBottom w:val="0"/>
      <w:divBdr>
        <w:top w:val="none" w:sz="0" w:space="0" w:color="auto"/>
        <w:left w:val="none" w:sz="0" w:space="0" w:color="auto"/>
        <w:bottom w:val="none" w:sz="0" w:space="0" w:color="auto"/>
        <w:right w:val="none" w:sz="0" w:space="0" w:color="auto"/>
      </w:divBdr>
      <w:divsChild>
        <w:div w:id="829247967">
          <w:marLeft w:val="0"/>
          <w:marRight w:val="0"/>
          <w:marTop w:val="0"/>
          <w:marBottom w:val="0"/>
          <w:divBdr>
            <w:top w:val="none" w:sz="0" w:space="0" w:color="auto"/>
            <w:left w:val="none" w:sz="0" w:space="0" w:color="auto"/>
            <w:bottom w:val="none" w:sz="0" w:space="0" w:color="auto"/>
            <w:right w:val="none" w:sz="0" w:space="0" w:color="auto"/>
          </w:divBdr>
          <w:divsChild>
            <w:div w:id="1385523969">
              <w:marLeft w:val="0"/>
              <w:marRight w:val="0"/>
              <w:marTop w:val="0"/>
              <w:marBottom w:val="0"/>
              <w:divBdr>
                <w:top w:val="none" w:sz="0" w:space="0" w:color="auto"/>
                <w:left w:val="none" w:sz="0" w:space="0" w:color="auto"/>
                <w:bottom w:val="none" w:sz="0" w:space="0" w:color="auto"/>
                <w:right w:val="none" w:sz="0" w:space="0" w:color="auto"/>
              </w:divBdr>
            </w:div>
          </w:divsChild>
        </w:div>
        <w:div w:id="1537355842">
          <w:marLeft w:val="0"/>
          <w:marRight w:val="0"/>
          <w:marTop w:val="0"/>
          <w:marBottom w:val="0"/>
          <w:divBdr>
            <w:top w:val="none" w:sz="0" w:space="0" w:color="auto"/>
            <w:left w:val="none" w:sz="0" w:space="0" w:color="auto"/>
            <w:bottom w:val="none" w:sz="0" w:space="0" w:color="auto"/>
            <w:right w:val="none" w:sz="0" w:space="0" w:color="auto"/>
          </w:divBdr>
          <w:divsChild>
            <w:div w:id="2068185801">
              <w:marLeft w:val="0"/>
              <w:marRight w:val="0"/>
              <w:marTop w:val="0"/>
              <w:marBottom w:val="0"/>
              <w:divBdr>
                <w:top w:val="none" w:sz="0" w:space="0" w:color="auto"/>
                <w:left w:val="none" w:sz="0" w:space="0" w:color="auto"/>
                <w:bottom w:val="none" w:sz="0" w:space="0" w:color="auto"/>
                <w:right w:val="none" w:sz="0" w:space="0" w:color="auto"/>
              </w:divBdr>
              <w:divsChild>
                <w:div w:id="531918779">
                  <w:marLeft w:val="0"/>
                  <w:marRight w:val="0"/>
                  <w:marTop w:val="0"/>
                  <w:marBottom w:val="0"/>
                  <w:divBdr>
                    <w:top w:val="none" w:sz="0" w:space="0" w:color="auto"/>
                    <w:left w:val="none" w:sz="0" w:space="0" w:color="auto"/>
                    <w:bottom w:val="none" w:sz="0" w:space="0" w:color="auto"/>
                    <w:right w:val="none" w:sz="0" w:space="0" w:color="auto"/>
                  </w:divBdr>
                  <w:divsChild>
                    <w:div w:id="1358920233">
                      <w:marLeft w:val="0"/>
                      <w:marRight w:val="0"/>
                      <w:marTop w:val="0"/>
                      <w:marBottom w:val="0"/>
                      <w:divBdr>
                        <w:top w:val="none" w:sz="0" w:space="0" w:color="auto"/>
                        <w:left w:val="none" w:sz="0" w:space="0" w:color="auto"/>
                        <w:bottom w:val="none" w:sz="0" w:space="0" w:color="auto"/>
                        <w:right w:val="none" w:sz="0" w:space="0" w:color="auto"/>
                      </w:divBdr>
                      <w:divsChild>
                        <w:div w:id="539056863">
                          <w:marLeft w:val="0"/>
                          <w:marRight w:val="0"/>
                          <w:marTop w:val="0"/>
                          <w:marBottom w:val="0"/>
                          <w:divBdr>
                            <w:top w:val="none" w:sz="0" w:space="0" w:color="auto"/>
                            <w:left w:val="none" w:sz="0" w:space="0" w:color="auto"/>
                            <w:bottom w:val="none" w:sz="0" w:space="0" w:color="auto"/>
                            <w:right w:val="none" w:sz="0" w:space="0" w:color="auto"/>
                          </w:divBdr>
                          <w:divsChild>
                            <w:div w:id="20018736">
                              <w:marLeft w:val="0"/>
                              <w:marRight w:val="0"/>
                              <w:marTop w:val="0"/>
                              <w:marBottom w:val="0"/>
                              <w:divBdr>
                                <w:top w:val="none" w:sz="0" w:space="0" w:color="auto"/>
                                <w:left w:val="none" w:sz="0" w:space="0" w:color="auto"/>
                                <w:bottom w:val="none" w:sz="0" w:space="0" w:color="auto"/>
                                <w:right w:val="none" w:sz="0" w:space="0" w:color="auto"/>
                              </w:divBdr>
                            </w:div>
                            <w:div w:id="1044134483">
                              <w:marLeft w:val="0"/>
                              <w:marRight w:val="0"/>
                              <w:marTop w:val="0"/>
                              <w:marBottom w:val="0"/>
                              <w:divBdr>
                                <w:top w:val="none" w:sz="0" w:space="0" w:color="auto"/>
                                <w:left w:val="none" w:sz="0" w:space="0" w:color="auto"/>
                                <w:bottom w:val="single" w:sz="6" w:space="0" w:color="D6D7D9"/>
                                <w:right w:val="none" w:sz="0" w:space="0" w:color="auto"/>
                              </w:divBdr>
                              <w:divsChild>
                                <w:div w:id="1931309089">
                                  <w:marLeft w:val="0"/>
                                  <w:marRight w:val="0"/>
                                  <w:marTop w:val="0"/>
                                  <w:marBottom w:val="0"/>
                                  <w:divBdr>
                                    <w:top w:val="none" w:sz="0" w:space="0" w:color="auto"/>
                                    <w:left w:val="none" w:sz="0" w:space="0" w:color="auto"/>
                                    <w:bottom w:val="none" w:sz="0" w:space="0" w:color="auto"/>
                                    <w:right w:val="none" w:sz="0" w:space="0" w:color="auto"/>
                                  </w:divBdr>
                                  <w:divsChild>
                                    <w:div w:id="457457341">
                                      <w:marLeft w:val="0"/>
                                      <w:marRight w:val="0"/>
                                      <w:marTop w:val="0"/>
                                      <w:marBottom w:val="0"/>
                                      <w:divBdr>
                                        <w:top w:val="none" w:sz="0" w:space="0" w:color="auto"/>
                                        <w:left w:val="none" w:sz="0" w:space="0" w:color="auto"/>
                                        <w:bottom w:val="none" w:sz="0" w:space="0" w:color="auto"/>
                                        <w:right w:val="none" w:sz="0" w:space="0" w:color="auto"/>
                                      </w:divBdr>
                                      <w:divsChild>
                                        <w:div w:id="769470657">
                                          <w:marLeft w:val="0"/>
                                          <w:marRight w:val="0"/>
                                          <w:marTop w:val="0"/>
                                          <w:marBottom w:val="0"/>
                                          <w:divBdr>
                                            <w:top w:val="none" w:sz="0" w:space="0" w:color="auto"/>
                                            <w:left w:val="none" w:sz="0" w:space="0" w:color="auto"/>
                                            <w:bottom w:val="none" w:sz="0" w:space="0" w:color="auto"/>
                                            <w:right w:val="none" w:sz="0" w:space="0" w:color="auto"/>
                                          </w:divBdr>
                                        </w:div>
                                        <w:div w:id="1937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5487">
                              <w:marLeft w:val="0"/>
                              <w:marRight w:val="0"/>
                              <w:marTop w:val="0"/>
                              <w:marBottom w:val="0"/>
                              <w:divBdr>
                                <w:top w:val="none" w:sz="0" w:space="0" w:color="auto"/>
                                <w:left w:val="none" w:sz="0" w:space="0" w:color="auto"/>
                                <w:bottom w:val="single" w:sz="6" w:space="0" w:color="D6D7D9"/>
                                <w:right w:val="none" w:sz="0" w:space="0" w:color="auto"/>
                              </w:divBdr>
                              <w:divsChild>
                                <w:div w:id="986592647">
                                  <w:marLeft w:val="0"/>
                                  <w:marRight w:val="0"/>
                                  <w:marTop w:val="0"/>
                                  <w:marBottom w:val="0"/>
                                  <w:divBdr>
                                    <w:top w:val="none" w:sz="0" w:space="0" w:color="auto"/>
                                    <w:left w:val="none" w:sz="0" w:space="0" w:color="auto"/>
                                    <w:bottom w:val="none" w:sz="0" w:space="0" w:color="auto"/>
                                    <w:right w:val="none" w:sz="0" w:space="0" w:color="auto"/>
                                  </w:divBdr>
                                  <w:divsChild>
                                    <w:div w:id="520125887">
                                      <w:marLeft w:val="0"/>
                                      <w:marRight w:val="0"/>
                                      <w:marTop w:val="0"/>
                                      <w:marBottom w:val="0"/>
                                      <w:divBdr>
                                        <w:top w:val="none" w:sz="0" w:space="0" w:color="auto"/>
                                        <w:left w:val="none" w:sz="0" w:space="0" w:color="auto"/>
                                        <w:bottom w:val="none" w:sz="0" w:space="0" w:color="auto"/>
                                        <w:right w:val="none" w:sz="0" w:space="0" w:color="auto"/>
                                      </w:divBdr>
                                      <w:divsChild>
                                        <w:div w:id="311328140">
                                          <w:marLeft w:val="0"/>
                                          <w:marRight w:val="0"/>
                                          <w:marTop w:val="0"/>
                                          <w:marBottom w:val="0"/>
                                          <w:divBdr>
                                            <w:top w:val="none" w:sz="0" w:space="0" w:color="auto"/>
                                            <w:left w:val="none" w:sz="0" w:space="0" w:color="auto"/>
                                            <w:bottom w:val="none" w:sz="0" w:space="0" w:color="auto"/>
                                            <w:right w:val="none" w:sz="0" w:space="0" w:color="auto"/>
                                          </w:divBdr>
                                        </w:div>
                                        <w:div w:id="3294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368">
                              <w:marLeft w:val="0"/>
                              <w:marRight w:val="0"/>
                              <w:marTop w:val="0"/>
                              <w:marBottom w:val="0"/>
                              <w:divBdr>
                                <w:top w:val="none" w:sz="0" w:space="0" w:color="auto"/>
                                <w:left w:val="none" w:sz="0" w:space="0" w:color="auto"/>
                                <w:bottom w:val="single" w:sz="6" w:space="0" w:color="D6D7D9"/>
                                <w:right w:val="none" w:sz="0" w:space="0" w:color="auto"/>
                              </w:divBdr>
                              <w:divsChild>
                                <w:div w:id="299117623">
                                  <w:marLeft w:val="0"/>
                                  <w:marRight w:val="0"/>
                                  <w:marTop w:val="0"/>
                                  <w:marBottom w:val="0"/>
                                  <w:divBdr>
                                    <w:top w:val="none" w:sz="0" w:space="0" w:color="auto"/>
                                    <w:left w:val="none" w:sz="0" w:space="0" w:color="auto"/>
                                    <w:bottom w:val="none" w:sz="0" w:space="0" w:color="auto"/>
                                    <w:right w:val="none" w:sz="0" w:space="0" w:color="auto"/>
                                  </w:divBdr>
                                  <w:divsChild>
                                    <w:div w:id="247353437">
                                      <w:marLeft w:val="0"/>
                                      <w:marRight w:val="0"/>
                                      <w:marTop w:val="0"/>
                                      <w:marBottom w:val="0"/>
                                      <w:divBdr>
                                        <w:top w:val="none" w:sz="0" w:space="0" w:color="auto"/>
                                        <w:left w:val="none" w:sz="0" w:space="0" w:color="auto"/>
                                        <w:bottom w:val="none" w:sz="0" w:space="0" w:color="auto"/>
                                        <w:right w:val="none" w:sz="0" w:space="0" w:color="auto"/>
                                      </w:divBdr>
                                      <w:divsChild>
                                        <w:div w:id="826744854">
                                          <w:marLeft w:val="0"/>
                                          <w:marRight w:val="0"/>
                                          <w:marTop w:val="0"/>
                                          <w:marBottom w:val="0"/>
                                          <w:divBdr>
                                            <w:top w:val="none" w:sz="0" w:space="0" w:color="auto"/>
                                            <w:left w:val="none" w:sz="0" w:space="0" w:color="auto"/>
                                            <w:bottom w:val="none" w:sz="0" w:space="0" w:color="auto"/>
                                            <w:right w:val="none" w:sz="0" w:space="0" w:color="auto"/>
                                          </w:divBdr>
                                        </w:div>
                                        <w:div w:id="2778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2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71C3-B4AE-433A-9929-2A3DD6AC85F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1435</ap:Words>
  <ap:Characters>8182</ap:Characters>
  <ap:Application>Microsoft Office Word</ap:Application>
  <ap:DocSecurity>0</ap:DocSecurity>
  <ap:Lines>68</ap:Lines>
  <ap:Paragraphs>19</ap:Paragraphs>
  <ap:ScaleCrop>false</ap:ScaleCrop>
  <ap:HeadingPairs>
    <vt:vector baseType="variant" size="2">
      <vt:variant>
        <vt:lpstr>Title</vt:lpstr>
      </vt:variant>
      <vt:variant>
        <vt:i4>1</vt:i4>
      </vt:variant>
    </vt:vector>
  </ap:HeadingPairs>
  <ap:TitlesOfParts>
    <vt:vector baseType="lpstr" size="1">
      <vt:lpstr>State of California</vt:lpstr>
    </vt:vector>
  </ap:TitlesOfParts>
  <ap:Company/>
  <ap:LinksUpToDate>false</ap:LinksUpToDate>
  <ap:CharactersWithSpaces>9598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2021-07-27T22:21:00Z</cp:lastPrinted>
  <dcterms:created xsi:type="dcterms:W3CDTF">2021-10-11T17:35:11Z</dcterms:created>
  <dcterms:modified xsi:type="dcterms:W3CDTF">2021-10-11T17:35:11Z</dcterms:modified>
</cp:coreProperties>
</file>