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1DBD" w:rsidP="00A622F6" w:rsidRDefault="003B1DBD" w14:paraId="398CC33F" w14:textId="77777777">
      <w:pPr>
        <w:pStyle w:val="Title"/>
        <w:rPr>
          <w:rFonts w:ascii="Palatino Linotype" w:hAnsi="Palatino Linotype"/>
        </w:rPr>
      </w:pPr>
    </w:p>
    <w:p w:rsidR="003B1DBD" w:rsidP="00A622F6" w:rsidRDefault="003B1DBD" w14:paraId="682B15E3" w14:textId="77777777">
      <w:pPr>
        <w:pStyle w:val="Title"/>
        <w:rPr>
          <w:rFonts w:ascii="Palatino Linotype" w:hAnsi="Palatino Linotype"/>
        </w:rPr>
      </w:pPr>
    </w:p>
    <w:p w:rsidRPr="00825ECD" w:rsidR="003B1DBD" w:rsidP="00A622F6" w:rsidRDefault="003B1DBD" w14:paraId="57F382AD" w14:textId="77777777">
      <w:pPr>
        <w:pStyle w:val="Title"/>
        <w:rPr>
          <w:rFonts w:ascii="Palatino Linotype" w:hAnsi="Palatino Linotype"/>
        </w:rPr>
      </w:pPr>
      <w:r w:rsidRPr="00825ECD">
        <w:rPr>
          <w:rFonts w:ascii="Palatino Linotype" w:hAnsi="Palatino Linotype"/>
        </w:rPr>
        <w:t>PUBLIC UTILITIES COMMISSION OF THE STATE OF CALIFORNIA</w:t>
      </w:r>
    </w:p>
    <w:p w:rsidR="003B1DBD" w:rsidP="00A622F6" w:rsidRDefault="003B1DBD" w14:paraId="33E8FF30" w14:textId="77777777">
      <w:pPr>
        <w:rPr>
          <w:rFonts w:ascii="Palatino Linotype" w:hAnsi="Palatino Linotype"/>
        </w:rPr>
      </w:pPr>
    </w:p>
    <w:p w:rsidRPr="00825ECD" w:rsidR="003B1DBD" w:rsidP="001716EC" w:rsidRDefault="003B1DBD" w14:paraId="0C92B433" w14:textId="77777777">
      <w:pPr>
        <w:rPr>
          <w:rFonts w:ascii="Palatino Linotype" w:hAnsi="Palatino Linotype"/>
        </w:rPr>
      </w:pPr>
    </w:p>
    <w:p w:rsidRPr="00825ECD" w:rsidR="003B1DBD" w:rsidP="003B1DBD" w:rsidRDefault="003B1DBD" w14:paraId="7317C13F" w14:textId="598F950A">
      <w:pPr>
        <w:tabs>
          <w:tab w:val="right" w:pos="9360"/>
        </w:tabs>
        <w:rPr>
          <w:rFonts w:ascii="Palatino Linotype" w:hAnsi="Palatino Linotype"/>
          <w:b/>
        </w:rPr>
      </w:pPr>
      <w:r w:rsidRPr="00825ECD">
        <w:rPr>
          <w:rFonts w:ascii="Palatino Linotype" w:hAnsi="Palatino Linotype"/>
          <w:b/>
        </w:rPr>
        <w:t>Communications Division</w:t>
      </w:r>
      <w:r w:rsidRPr="00825ECD">
        <w:rPr>
          <w:rFonts w:ascii="Palatino Linotype" w:hAnsi="Palatino Linotype"/>
          <w:b/>
        </w:rPr>
        <w:tab/>
        <w:t xml:space="preserve">RESOLUTION </w:t>
      </w:r>
      <w:r w:rsidR="0085799D">
        <w:rPr>
          <w:rFonts w:ascii="Palatino Linotype" w:hAnsi="Palatino Linotype"/>
          <w:b/>
        </w:rPr>
        <w:t>T-17741</w:t>
      </w:r>
    </w:p>
    <w:p w:rsidRPr="00825ECD" w:rsidR="00183268" w:rsidP="003B1DBD" w:rsidRDefault="005C28A4" w14:paraId="6962D261" w14:textId="5D0EB805">
      <w:pPr>
        <w:tabs>
          <w:tab w:val="right" w:pos="9360"/>
        </w:tabs>
        <w:rPr>
          <w:rFonts w:ascii="Palatino Linotype" w:hAnsi="Palatino Linotype"/>
          <w:b/>
        </w:rPr>
      </w:pPr>
      <w:r>
        <w:rPr>
          <w:rFonts w:ascii="Palatino Linotype" w:hAnsi="Palatino Linotype"/>
          <w:b/>
        </w:rPr>
        <w:t xml:space="preserve">Consumer </w:t>
      </w:r>
      <w:r w:rsidR="006C0400">
        <w:rPr>
          <w:rFonts w:ascii="Palatino Linotype" w:hAnsi="Palatino Linotype"/>
          <w:b/>
        </w:rPr>
        <w:t>Programs Branch</w:t>
      </w:r>
      <w:r w:rsidRPr="00825ECD" w:rsidR="003B1DBD">
        <w:rPr>
          <w:rFonts w:ascii="Palatino Linotype" w:hAnsi="Palatino Linotype"/>
          <w:b/>
        </w:rPr>
        <w:tab/>
      </w:r>
      <w:r w:rsidRPr="00E24CF6" w:rsidR="00011ADF">
        <w:rPr>
          <w:rFonts w:ascii="Palatino Linotype" w:hAnsi="Palatino Linotype"/>
          <w:b/>
        </w:rPr>
        <w:t>November 18, 2021</w:t>
      </w:r>
    </w:p>
    <w:p w:rsidR="003D675D" w:rsidP="001716EC" w:rsidRDefault="003D675D" w14:paraId="39360FCB" w14:textId="77777777">
      <w:pPr>
        <w:tabs>
          <w:tab w:val="left" w:pos="6210"/>
        </w:tabs>
        <w:rPr>
          <w:rFonts w:ascii="Palatino Linotype" w:hAnsi="Palatino Linotype"/>
          <w:b/>
        </w:rPr>
      </w:pPr>
    </w:p>
    <w:p w:rsidRPr="00825ECD" w:rsidR="003B1DBD" w:rsidP="001716EC" w:rsidRDefault="003B1DBD" w14:paraId="2A43DB02" w14:textId="1D434836">
      <w:pPr>
        <w:tabs>
          <w:tab w:val="left" w:pos="6210"/>
        </w:tabs>
        <w:rPr>
          <w:rFonts w:ascii="Palatino Linotype" w:hAnsi="Palatino Linotype"/>
          <w:i/>
          <w:sz w:val="20"/>
        </w:rPr>
      </w:pPr>
      <w:r>
        <w:rPr>
          <w:rFonts w:ascii="Palatino Linotype" w:hAnsi="Palatino Linotype"/>
          <w:b/>
        </w:rPr>
        <w:tab/>
      </w:r>
    </w:p>
    <w:p w:rsidRPr="00A647B5" w:rsidR="003B1DBD" w:rsidP="003B1DBD" w:rsidRDefault="003B1DBD" w14:paraId="0BF6F638" w14:textId="77777777">
      <w:pPr>
        <w:tabs>
          <w:tab w:val="right" w:pos="10080"/>
        </w:tabs>
        <w:jc w:val="center"/>
        <w:rPr>
          <w:rFonts w:ascii="Palatino Linotype" w:hAnsi="Palatino Linotype"/>
          <w:b/>
          <w:u w:val="single"/>
        </w:rPr>
      </w:pPr>
      <w:r w:rsidRPr="00A647B5">
        <w:rPr>
          <w:rFonts w:ascii="Palatino Linotype" w:hAnsi="Palatino Linotype"/>
          <w:b/>
          <w:u w:val="single"/>
        </w:rPr>
        <w:t>R E S O L U T I O N</w:t>
      </w:r>
    </w:p>
    <w:p w:rsidR="003B1DBD" w:rsidP="003B1DBD" w:rsidRDefault="003B1DBD" w14:paraId="55630F5B" w14:textId="6A089FDB">
      <w:pPr>
        <w:tabs>
          <w:tab w:val="right" w:pos="10080"/>
        </w:tabs>
        <w:rPr>
          <w:rFonts w:ascii="Palatino Linotype" w:hAnsi="Palatino Linotype"/>
        </w:rPr>
      </w:pPr>
    </w:p>
    <w:p w:rsidRPr="00825ECD" w:rsidR="003D675D" w:rsidP="003B1DBD" w:rsidRDefault="003D675D" w14:paraId="67E98ED7" w14:textId="77777777">
      <w:pPr>
        <w:tabs>
          <w:tab w:val="right" w:pos="10080"/>
        </w:tabs>
        <w:rPr>
          <w:rFonts w:ascii="Palatino Linotype" w:hAnsi="Palatino Linotype"/>
        </w:rPr>
      </w:pPr>
    </w:p>
    <w:p w:rsidRPr="00E24CF6" w:rsidR="003B1DBD" w:rsidP="006C0400" w:rsidRDefault="003B1DBD" w14:paraId="43BEF1CF" w14:textId="0C786D20">
      <w:pPr>
        <w:tabs>
          <w:tab w:val="right" w:pos="10080"/>
        </w:tabs>
        <w:rPr>
          <w:rFonts w:ascii="Palatino Linotype" w:hAnsi="Palatino Linotype"/>
          <w:b/>
        </w:rPr>
      </w:pPr>
      <w:r w:rsidRPr="00520FD8">
        <w:rPr>
          <w:rFonts w:ascii="Palatino Linotype" w:hAnsi="Palatino Linotype"/>
          <w:b/>
        </w:rPr>
        <w:t xml:space="preserve">RESOLUTION </w:t>
      </w:r>
      <w:r w:rsidR="0085799D">
        <w:rPr>
          <w:rFonts w:ascii="Palatino Linotype" w:hAnsi="Palatino Linotype"/>
          <w:b/>
        </w:rPr>
        <w:t>T-17741</w:t>
      </w:r>
      <w:r w:rsidRPr="00520FD8">
        <w:rPr>
          <w:rFonts w:ascii="Palatino Linotype" w:hAnsi="Palatino Linotype"/>
          <w:b/>
        </w:rPr>
        <w:t xml:space="preserve"> </w:t>
      </w:r>
      <w:r w:rsidR="006C0400">
        <w:rPr>
          <w:rFonts w:ascii="Palatino Linotype" w:hAnsi="Palatino Linotype"/>
          <w:b/>
        </w:rPr>
        <w:t xml:space="preserve">Approval of the </w:t>
      </w:r>
      <w:r w:rsidRPr="00F43261" w:rsidR="00F43261">
        <w:rPr>
          <w:rFonts w:ascii="Palatino Linotype" w:hAnsi="Palatino Linotype"/>
          <w:b/>
        </w:rPr>
        <w:t xml:space="preserve">Deaf and Disabled Telecommunications Program Fund Surcharge Rate of </w:t>
      </w:r>
      <w:r w:rsidR="00EA0919">
        <w:rPr>
          <w:rFonts w:ascii="Palatino Linotype" w:hAnsi="Palatino Linotype"/>
          <w:b/>
        </w:rPr>
        <w:t>1</w:t>
      </w:r>
      <w:r w:rsidR="00544E60">
        <w:rPr>
          <w:rFonts w:ascii="Palatino Linotype" w:hAnsi="Palatino Linotype"/>
          <w:b/>
        </w:rPr>
        <w:t>.11%</w:t>
      </w:r>
      <w:r w:rsidRPr="00E24CF6" w:rsidR="00F43261">
        <w:rPr>
          <w:rFonts w:ascii="Palatino Linotype" w:hAnsi="Palatino Linotype"/>
          <w:b/>
        </w:rPr>
        <w:t xml:space="preserve"> </w:t>
      </w:r>
      <w:r w:rsidRPr="00E24CF6" w:rsidR="006C0400">
        <w:rPr>
          <w:rFonts w:ascii="Palatino Linotype" w:hAnsi="Palatino Linotype"/>
          <w:b/>
        </w:rPr>
        <w:t xml:space="preserve">Effective </w:t>
      </w:r>
      <w:r w:rsidRPr="00E24CF6" w:rsidR="00011ADF">
        <w:rPr>
          <w:rFonts w:ascii="Palatino Linotype" w:hAnsi="Palatino Linotype"/>
          <w:b/>
        </w:rPr>
        <w:t>January 1, 2022</w:t>
      </w:r>
      <w:r w:rsidRPr="00E24CF6" w:rsidR="006C0400">
        <w:rPr>
          <w:rFonts w:ascii="Palatino Linotype" w:hAnsi="Palatino Linotype"/>
          <w:b/>
        </w:rPr>
        <w:t>.</w:t>
      </w:r>
    </w:p>
    <w:p w:rsidR="003B1DBD" w:rsidP="001716EC" w:rsidRDefault="003B1DBD" w14:paraId="73865D99" w14:textId="0619B8BB">
      <w:pPr>
        <w:rPr>
          <w:rFonts w:ascii="Palatino Linotype" w:hAnsi="Palatino Linotype"/>
          <w:b/>
          <w:u w:val="single"/>
        </w:rPr>
      </w:pPr>
    </w:p>
    <w:p w:rsidRPr="00825ECD" w:rsidR="003D675D" w:rsidP="001716EC" w:rsidRDefault="003D675D" w14:paraId="23D0A39E" w14:textId="77777777">
      <w:pPr>
        <w:rPr>
          <w:rFonts w:ascii="Palatino Linotype" w:hAnsi="Palatino Linotype"/>
          <w:b/>
          <w:u w:val="single"/>
        </w:rPr>
      </w:pPr>
    </w:p>
    <w:p w:rsidRPr="00520FD8" w:rsidR="003B1DBD" w:rsidP="00426552" w:rsidRDefault="003B1DBD" w14:paraId="04C1A481" w14:textId="77777777">
      <w:pPr>
        <w:keepNext/>
        <w:rPr>
          <w:rFonts w:ascii="Palatino Linotype" w:hAnsi="Palatino Linotype"/>
          <w:b/>
          <w:u w:val="single"/>
        </w:rPr>
      </w:pPr>
      <w:r w:rsidRPr="00520FD8">
        <w:rPr>
          <w:rFonts w:ascii="Palatino Linotype" w:hAnsi="Palatino Linotype"/>
          <w:b/>
          <w:u w:val="single"/>
        </w:rPr>
        <w:t>SUMMARY</w:t>
      </w:r>
    </w:p>
    <w:p w:rsidR="003B1DBD" w:rsidP="00426552" w:rsidRDefault="003B1DBD" w14:paraId="13D0AE53" w14:textId="2CA90A9A">
      <w:pPr>
        <w:keepNext/>
        <w:rPr>
          <w:rFonts w:ascii="Palatino Linotype" w:hAnsi="Palatino Linotype"/>
          <w:u w:val="single"/>
        </w:rPr>
      </w:pPr>
    </w:p>
    <w:p w:rsidRPr="00835F17" w:rsidR="00426552" w:rsidP="00426552" w:rsidRDefault="00574080" w14:paraId="6C088704" w14:textId="4B958FDD">
      <w:pPr>
        <w:keepNext/>
        <w:rPr>
          <w:rFonts w:ascii="Palatino Linotype" w:hAnsi="Palatino Linotype"/>
        </w:rPr>
      </w:pPr>
      <w:r w:rsidRPr="00835F17">
        <w:rPr>
          <w:rFonts w:ascii="Palatino Linotype" w:hAnsi="Palatino Linotype"/>
        </w:rPr>
        <w:t xml:space="preserve">This resolution adopts a </w:t>
      </w:r>
      <w:r w:rsidRPr="00F43261" w:rsidR="00F43261">
        <w:rPr>
          <w:rFonts w:ascii="Palatino Linotype" w:hAnsi="Palatino Linotype"/>
        </w:rPr>
        <w:t>Deaf and Disabled Telecommunications Program (DDTP) Fund</w:t>
      </w:r>
      <w:r w:rsidRPr="00835F17">
        <w:rPr>
          <w:rFonts w:ascii="Palatino Linotype" w:hAnsi="Palatino Linotype"/>
        </w:rPr>
        <w:t xml:space="preserve"> surcharge rate of </w:t>
      </w:r>
      <w:r w:rsidR="00CF5349">
        <w:rPr>
          <w:rFonts w:ascii="Palatino Linotype" w:hAnsi="Palatino Linotype"/>
        </w:rPr>
        <w:t>1</w:t>
      </w:r>
      <w:r w:rsidR="00544E60">
        <w:rPr>
          <w:rFonts w:ascii="Palatino Linotype" w:hAnsi="Palatino Linotype"/>
        </w:rPr>
        <w:t>.11%</w:t>
      </w:r>
      <w:r w:rsidRPr="00E24CF6">
        <w:rPr>
          <w:rFonts w:ascii="Palatino Linotype" w:hAnsi="Palatino Linotype"/>
        </w:rPr>
        <w:t xml:space="preserve">, effective </w:t>
      </w:r>
      <w:r w:rsidRPr="00E24CF6" w:rsidR="00011ADF">
        <w:rPr>
          <w:rFonts w:ascii="Palatino Linotype" w:hAnsi="Palatino Linotype"/>
        </w:rPr>
        <w:t>January 1, 2022</w:t>
      </w:r>
      <w:r w:rsidRPr="00E24CF6">
        <w:rPr>
          <w:rFonts w:ascii="Palatino Linotype" w:hAnsi="Palatino Linotype"/>
        </w:rPr>
        <w:t>, until further revised by the California Public Utilities Commission (Commission)</w:t>
      </w:r>
      <w:r w:rsidRPr="00E24CF6" w:rsidR="00946E84">
        <w:rPr>
          <w:rFonts w:ascii="Palatino Linotype" w:hAnsi="Palatino Linotype"/>
        </w:rPr>
        <w:t xml:space="preserve">. </w:t>
      </w:r>
      <w:r w:rsidRPr="00E24CF6">
        <w:rPr>
          <w:rFonts w:ascii="Palatino Linotype" w:hAnsi="Palatino Linotype"/>
        </w:rPr>
        <w:t xml:space="preserve">All telecommunications carriers and interconnected Voice over Internet Protocol (VOIP) service providers shall change the </w:t>
      </w:r>
      <w:r w:rsidRPr="00E24CF6" w:rsidR="00F43261">
        <w:rPr>
          <w:rFonts w:ascii="Palatino Linotype" w:hAnsi="Palatino Linotype"/>
        </w:rPr>
        <w:t>DDTP</w:t>
      </w:r>
      <w:r w:rsidRPr="00E24CF6">
        <w:rPr>
          <w:rFonts w:ascii="Palatino Linotype" w:hAnsi="Palatino Linotype"/>
        </w:rPr>
        <w:t xml:space="preserve"> surcharge rate assessed on revenues collected from end users for intrastate telecommunications services subject to surcharge from 0</w:t>
      </w:r>
      <w:r w:rsidRPr="00E24CF6" w:rsidR="00F43261">
        <w:rPr>
          <w:rFonts w:ascii="Palatino Linotype" w:hAnsi="Palatino Linotype"/>
        </w:rPr>
        <w:t>.50</w:t>
      </w:r>
      <w:r w:rsidRPr="00E24CF6">
        <w:rPr>
          <w:rFonts w:ascii="Palatino Linotype" w:hAnsi="Palatino Linotype"/>
        </w:rPr>
        <w:t xml:space="preserve">% to </w:t>
      </w:r>
      <w:r w:rsidR="00EA0919">
        <w:rPr>
          <w:rFonts w:ascii="Palatino Linotype" w:hAnsi="Palatino Linotype"/>
        </w:rPr>
        <w:t>1</w:t>
      </w:r>
      <w:r w:rsidR="00544E60">
        <w:rPr>
          <w:rFonts w:ascii="Palatino Linotype" w:hAnsi="Palatino Linotype"/>
        </w:rPr>
        <w:t>.11%</w:t>
      </w:r>
      <w:r w:rsidRPr="00E24CF6">
        <w:rPr>
          <w:rFonts w:ascii="Palatino Linotype" w:hAnsi="Palatino Linotype"/>
        </w:rPr>
        <w:t xml:space="preserve"> effective </w:t>
      </w:r>
      <w:r w:rsidRPr="00E24CF6" w:rsidR="00011ADF">
        <w:rPr>
          <w:rFonts w:ascii="Palatino Linotype" w:hAnsi="Palatino Linotype"/>
        </w:rPr>
        <w:t>January 1, 2022</w:t>
      </w:r>
      <w:r w:rsidRPr="00E24CF6">
        <w:rPr>
          <w:rFonts w:ascii="Palatino Linotype" w:hAnsi="Palatino Linotype"/>
        </w:rPr>
        <w:t>, and thereafter.</w:t>
      </w:r>
    </w:p>
    <w:p w:rsidR="003B1DBD" w:rsidP="001716EC" w:rsidRDefault="003B1DBD" w14:paraId="47BC683D" w14:textId="73AD911E">
      <w:pPr>
        <w:rPr>
          <w:rFonts w:ascii="Palatino Linotype" w:hAnsi="Palatino Linotype"/>
        </w:rPr>
      </w:pPr>
    </w:p>
    <w:p w:rsidRPr="00520FD8" w:rsidR="003B1DBD" w:rsidP="00426552" w:rsidRDefault="003B1DBD" w14:paraId="21F7CDF2" w14:textId="0BE27CF9">
      <w:pPr>
        <w:keepNext/>
        <w:rPr>
          <w:rFonts w:ascii="Palatino Linotype" w:hAnsi="Palatino Linotype"/>
          <w:b/>
          <w:u w:val="single"/>
        </w:rPr>
      </w:pPr>
      <w:r w:rsidRPr="00520FD8">
        <w:rPr>
          <w:rFonts w:ascii="Palatino Linotype" w:hAnsi="Palatino Linotype"/>
          <w:b/>
          <w:u w:val="single"/>
        </w:rPr>
        <w:t>BACKGROUND</w:t>
      </w:r>
    </w:p>
    <w:p w:rsidRPr="00825ECD" w:rsidR="003B1DBD" w:rsidP="00426552" w:rsidRDefault="003B1DBD" w14:paraId="3AA471F7" w14:textId="77777777">
      <w:pPr>
        <w:keepNext/>
        <w:tabs>
          <w:tab w:val="right" w:pos="10080"/>
        </w:tabs>
        <w:rPr>
          <w:rFonts w:ascii="Palatino Linotype" w:hAnsi="Palatino Linotype"/>
        </w:rPr>
      </w:pPr>
    </w:p>
    <w:p w:rsidRPr="00F43261" w:rsidR="00F43261" w:rsidP="00F43261" w:rsidRDefault="00F43261" w14:paraId="5BC9E35B" w14:textId="69C5E72C">
      <w:pPr>
        <w:tabs>
          <w:tab w:val="right" w:pos="10080"/>
        </w:tabs>
        <w:rPr>
          <w:rFonts w:ascii="Palatino Linotype" w:hAnsi="Palatino Linotype"/>
        </w:rPr>
      </w:pPr>
      <w:r w:rsidRPr="00F43261">
        <w:rPr>
          <w:rFonts w:ascii="Palatino Linotype" w:hAnsi="Palatino Linotype"/>
        </w:rPr>
        <w:t>The C</w:t>
      </w:r>
      <w:r w:rsidR="00185C23">
        <w:rPr>
          <w:rFonts w:ascii="Palatino Linotype" w:hAnsi="Palatino Linotype"/>
        </w:rPr>
        <w:t>ommission</w:t>
      </w:r>
      <w:r w:rsidRPr="00F43261">
        <w:rPr>
          <w:rFonts w:ascii="Palatino Linotype" w:hAnsi="Palatino Linotype"/>
        </w:rPr>
        <w:t xml:space="preserve"> established a program to provide specialized equipment to the deaf and hard of hearing through C</w:t>
      </w:r>
      <w:r w:rsidR="00185C23">
        <w:rPr>
          <w:rFonts w:ascii="Palatino Linotype" w:hAnsi="Palatino Linotype"/>
        </w:rPr>
        <w:t>ommi</w:t>
      </w:r>
      <w:r w:rsidR="005A6E99">
        <w:rPr>
          <w:rFonts w:ascii="Palatino Linotype" w:hAnsi="Palatino Linotype"/>
        </w:rPr>
        <w:t>s</w:t>
      </w:r>
      <w:r w:rsidR="00185C23">
        <w:rPr>
          <w:rFonts w:ascii="Palatino Linotype" w:hAnsi="Palatino Linotype"/>
        </w:rPr>
        <w:t>sion</w:t>
      </w:r>
      <w:r w:rsidRPr="00F43261">
        <w:rPr>
          <w:rFonts w:ascii="Palatino Linotype" w:hAnsi="Palatino Linotype"/>
        </w:rPr>
        <w:t xml:space="preserve"> decisions issued in the 1980’s.</w:t>
      </w:r>
      <w:r w:rsidRPr="00F43261">
        <w:rPr>
          <w:rFonts w:ascii="Palatino Linotype" w:hAnsi="Palatino Linotype"/>
          <w:vertAlign w:val="superscript"/>
        </w:rPr>
        <w:footnoteReference w:id="2"/>
      </w:r>
      <w:r w:rsidRPr="00F43261">
        <w:rPr>
          <w:rFonts w:ascii="Palatino Linotype" w:hAnsi="Palatino Linotype"/>
        </w:rPr>
        <w:t xml:space="preserve">  Subsequently, the Legislature codified the program through passage of several provisions contained in Public Utilities (PU) Code sections 2881 </w:t>
      </w:r>
      <w:r w:rsidRPr="00F43261">
        <w:rPr>
          <w:rFonts w:ascii="Palatino Linotype" w:hAnsi="Palatino Linotype"/>
          <w:i/>
        </w:rPr>
        <w:t>et seq</w:t>
      </w:r>
      <w:r w:rsidRPr="00F43261">
        <w:rPr>
          <w:rFonts w:ascii="Palatino Linotype" w:hAnsi="Palatino Linotype"/>
        </w:rPr>
        <w:t>.  To implement the three legislative mandates at that time, the C</w:t>
      </w:r>
      <w:r w:rsidR="00185C23">
        <w:rPr>
          <w:rFonts w:ascii="Palatino Linotype" w:hAnsi="Palatino Linotype"/>
        </w:rPr>
        <w:t>ommiss</w:t>
      </w:r>
      <w:r w:rsidR="005A6E99">
        <w:rPr>
          <w:rFonts w:ascii="Palatino Linotype" w:hAnsi="Palatino Linotype"/>
        </w:rPr>
        <w:t>i</w:t>
      </w:r>
      <w:r w:rsidR="00185C23">
        <w:rPr>
          <w:rFonts w:ascii="Palatino Linotype" w:hAnsi="Palatino Linotype"/>
        </w:rPr>
        <w:t>on</w:t>
      </w:r>
      <w:r w:rsidRPr="00F43261">
        <w:rPr>
          <w:rFonts w:ascii="Palatino Linotype" w:hAnsi="Palatino Linotype"/>
        </w:rPr>
        <w:t xml:space="preserve"> created </w:t>
      </w:r>
      <w:r w:rsidR="008D2238">
        <w:rPr>
          <w:rFonts w:ascii="Palatino Linotype" w:hAnsi="Palatino Linotype"/>
        </w:rPr>
        <w:t xml:space="preserve">the </w:t>
      </w:r>
      <w:r w:rsidRPr="00F43261">
        <w:rPr>
          <w:rFonts w:ascii="Palatino Linotype" w:hAnsi="Palatino Linotype"/>
        </w:rPr>
        <w:t>DDTP and its advisory committees.</w:t>
      </w:r>
      <w:r w:rsidRPr="00F43261">
        <w:rPr>
          <w:rFonts w:ascii="Palatino Linotype" w:hAnsi="Palatino Linotype"/>
          <w:vertAlign w:val="superscript"/>
        </w:rPr>
        <w:footnoteReference w:id="3"/>
      </w:r>
      <w:r w:rsidRPr="00F43261">
        <w:rPr>
          <w:rFonts w:ascii="Palatino Linotype" w:hAnsi="Palatino Linotype"/>
        </w:rPr>
        <w:t xml:space="preserve">  The legislative mandates currently governing the DDTP are as follows:  PU Code section 2881(a) which authorizes the provision of Teletypewriters (TTYs) to Deaf or </w:t>
      </w:r>
      <w:r w:rsidRPr="00F43261">
        <w:rPr>
          <w:rFonts w:ascii="Palatino Linotype" w:hAnsi="Palatino Linotype"/>
        </w:rPr>
        <w:lastRenderedPageBreak/>
        <w:t xml:space="preserve">Hard of Hearing individuals; PU Code section 2881(b) which uses third-party intervention, also known as the California Relay Service (CRS) to connect by telephone consumers who are deaf, hard of hearing, or </w:t>
      </w:r>
      <w:r w:rsidR="00D9298C">
        <w:rPr>
          <w:rFonts w:ascii="Palatino Linotype" w:hAnsi="Palatino Linotype"/>
        </w:rPr>
        <w:t xml:space="preserve">with </w:t>
      </w:r>
      <w:r w:rsidRPr="00F43261">
        <w:rPr>
          <w:rFonts w:ascii="Palatino Linotype" w:hAnsi="Palatino Linotype"/>
        </w:rPr>
        <w:t>speech</w:t>
      </w:r>
      <w:r w:rsidR="00D9298C">
        <w:rPr>
          <w:rFonts w:ascii="Palatino Linotype" w:hAnsi="Palatino Linotype"/>
        </w:rPr>
        <w:t xml:space="preserve"> disability</w:t>
      </w:r>
      <w:r w:rsidRPr="00F43261">
        <w:rPr>
          <w:rFonts w:ascii="Palatino Linotype" w:hAnsi="Palatino Linotype"/>
        </w:rPr>
        <w:t xml:space="preserve"> with other parties; PU Code section 2881(c) which authorizes the provision of other specialized telecommunications equipment to consumers with hearing, vision, mobility, speech, and/or cognitive disabilities</w:t>
      </w:r>
      <w:r w:rsidR="00D37969">
        <w:rPr>
          <w:rFonts w:ascii="Palatino Linotype" w:hAnsi="Palatino Linotype"/>
        </w:rPr>
        <w:t xml:space="preserve">; and </w:t>
      </w:r>
      <w:r w:rsidRPr="00F43261" w:rsidR="00D37969">
        <w:rPr>
          <w:rFonts w:ascii="Palatino Linotype" w:hAnsi="Palatino Linotype"/>
        </w:rPr>
        <w:t xml:space="preserve">PU Code section </w:t>
      </w:r>
      <w:r w:rsidRPr="00D37969" w:rsidR="00D37969">
        <w:rPr>
          <w:rFonts w:ascii="Palatino Linotype" w:hAnsi="Palatino Linotype"/>
        </w:rPr>
        <w:t>2881 (d) and (e)(1) which authorizes the provision of speech generating devices as the provider of last resort and adds speech language pathologists as a DDTP certifying agent.</w:t>
      </w:r>
    </w:p>
    <w:p w:rsidRPr="00F43261" w:rsidR="00F43261" w:rsidP="00F43261" w:rsidRDefault="00F43261" w14:paraId="6B23FEFC" w14:textId="77777777">
      <w:pPr>
        <w:tabs>
          <w:tab w:val="right" w:pos="10080"/>
        </w:tabs>
        <w:rPr>
          <w:rFonts w:ascii="Palatino Linotype" w:hAnsi="Palatino Linotype"/>
        </w:rPr>
      </w:pPr>
    </w:p>
    <w:p w:rsidRPr="00F43261" w:rsidR="00F43261" w:rsidP="00F43261" w:rsidRDefault="00F43261" w14:paraId="5EF9FD16" w14:textId="6BE9F25A">
      <w:pPr>
        <w:tabs>
          <w:tab w:val="right" w:pos="10080"/>
        </w:tabs>
        <w:rPr>
          <w:rFonts w:ascii="Palatino Linotype" w:hAnsi="Palatino Linotype"/>
        </w:rPr>
      </w:pPr>
      <w:r w:rsidRPr="00F43261">
        <w:rPr>
          <w:rFonts w:ascii="Palatino Linotype" w:hAnsi="Palatino Linotype"/>
        </w:rPr>
        <w:t>Senate Bill 669 (Ch. 677, 1999) created a special fund dedicated to the DDTP whose funds are maintained in the State Treasury. The DDTP is funded via a surcharge assessed against all charges for all intrastate services on end-user telephone bills in California.</w:t>
      </w:r>
      <w:r w:rsidRPr="00F43261">
        <w:rPr>
          <w:rFonts w:ascii="Palatino Linotype" w:hAnsi="Palatino Linotype"/>
          <w:vertAlign w:val="superscript"/>
        </w:rPr>
        <w:footnoteReference w:id="4"/>
      </w:r>
      <w:r w:rsidRPr="00F43261">
        <w:rPr>
          <w:rFonts w:ascii="Palatino Linotype" w:hAnsi="Palatino Linotype"/>
        </w:rPr>
        <w:t xml:space="preserve"> The current DDTP surcharge rate is 0.</w:t>
      </w:r>
      <w:r w:rsidR="00D37969">
        <w:rPr>
          <w:rFonts w:ascii="Palatino Linotype" w:hAnsi="Palatino Linotype"/>
        </w:rPr>
        <w:t>5</w:t>
      </w:r>
      <w:r w:rsidRPr="00F43261">
        <w:rPr>
          <w:rFonts w:ascii="Palatino Linotype" w:hAnsi="Palatino Linotype"/>
        </w:rPr>
        <w:t>0%</w:t>
      </w:r>
      <w:r w:rsidR="00966BBE">
        <w:rPr>
          <w:rFonts w:ascii="Palatino Linotype" w:hAnsi="Palatino Linotype"/>
        </w:rPr>
        <w:t>, which was set in statute until AB 14 was signed by the Governor on October 8, 2021</w:t>
      </w:r>
      <w:r w:rsidRPr="00F43261">
        <w:rPr>
          <w:rFonts w:ascii="Palatino Linotype" w:hAnsi="Palatino Linotype"/>
        </w:rPr>
        <w:t>.</w:t>
      </w:r>
    </w:p>
    <w:p w:rsidRPr="00F43261" w:rsidR="00F43261" w:rsidP="00F43261" w:rsidRDefault="00F43261" w14:paraId="376F126E" w14:textId="77777777">
      <w:pPr>
        <w:tabs>
          <w:tab w:val="right" w:pos="10080"/>
        </w:tabs>
        <w:rPr>
          <w:rFonts w:ascii="Palatino Linotype" w:hAnsi="Palatino Linotype"/>
        </w:rPr>
      </w:pPr>
    </w:p>
    <w:p w:rsidRPr="00F43261" w:rsidR="00F43261" w:rsidP="00F43261" w:rsidRDefault="00F43261" w14:paraId="3B22CCD8" w14:textId="41295CDD">
      <w:pPr>
        <w:tabs>
          <w:tab w:val="right" w:pos="10080"/>
        </w:tabs>
        <w:rPr>
          <w:rFonts w:ascii="Palatino Linotype" w:hAnsi="Palatino Linotype"/>
        </w:rPr>
      </w:pPr>
      <w:r w:rsidRPr="00F43261">
        <w:rPr>
          <w:rFonts w:ascii="Palatino Linotype" w:hAnsi="Palatino Linotype"/>
        </w:rPr>
        <w:t>Pursuant to PU Code section 2881, the C</w:t>
      </w:r>
      <w:r w:rsidR="00185C23">
        <w:rPr>
          <w:rFonts w:ascii="Palatino Linotype" w:hAnsi="Palatino Linotype"/>
        </w:rPr>
        <w:t>ommission</w:t>
      </w:r>
      <w:r w:rsidRPr="00F43261">
        <w:rPr>
          <w:rFonts w:ascii="Palatino Linotype" w:hAnsi="Palatino Linotype"/>
        </w:rPr>
        <w:t xml:space="preserve"> administers and adopts policies which govern the DDTP. The C</w:t>
      </w:r>
      <w:r w:rsidR="00185C23">
        <w:rPr>
          <w:rFonts w:ascii="Palatino Linotype" w:hAnsi="Palatino Linotype"/>
        </w:rPr>
        <w:t>ommission</w:t>
      </w:r>
      <w:r w:rsidRPr="00F43261">
        <w:rPr>
          <w:rFonts w:ascii="Palatino Linotype" w:hAnsi="Palatino Linotype"/>
        </w:rPr>
        <w:t xml:space="preserve"> has </w:t>
      </w:r>
      <w:r w:rsidR="00482BB7">
        <w:rPr>
          <w:rFonts w:ascii="Palatino Linotype" w:hAnsi="Palatino Linotype"/>
        </w:rPr>
        <w:t>assigned</w:t>
      </w:r>
      <w:r w:rsidRPr="00F43261">
        <w:rPr>
          <w:rFonts w:ascii="Palatino Linotype" w:hAnsi="Palatino Linotype"/>
        </w:rPr>
        <w:t xml:space="preserve"> its Communications Division (CD) staff with the task of monitoring the administration of the DDTP. The</w:t>
      </w:r>
      <w:r w:rsidR="003B1986">
        <w:rPr>
          <w:rFonts w:ascii="Palatino Linotype" w:hAnsi="Palatino Linotype"/>
        </w:rPr>
        <w:t xml:space="preserve"> </w:t>
      </w:r>
      <w:r w:rsidRPr="00F43261">
        <w:rPr>
          <w:rFonts w:ascii="Palatino Linotype" w:hAnsi="Palatino Linotype"/>
        </w:rPr>
        <w:t>C</w:t>
      </w:r>
      <w:r w:rsidR="00D44151">
        <w:rPr>
          <w:rFonts w:ascii="Palatino Linotype" w:hAnsi="Palatino Linotype"/>
        </w:rPr>
        <w:t>ommi</w:t>
      </w:r>
      <w:r w:rsidR="005A6E99">
        <w:rPr>
          <w:rFonts w:ascii="Palatino Linotype" w:hAnsi="Palatino Linotype"/>
        </w:rPr>
        <w:t>s</w:t>
      </w:r>
      <w:r w:rsidR="00D44151">
        <w:rPr>
          <w:rFonts w:ascii="Palatino Linotype" w:hAnsi="Palatino Linotype"/>
        </w:rPr>
        <w:t>sion</w:t>
      </w:r>
      <w:r w:rsidRPr="00F43261">
        <w:rPr>
          <w:rFonts w:ascii="Palatino Linotype" w:hAnsi="Palatino Linotype"/>
        </w:rPr>
        <w:t xml:space="preserve">’s Primary Program and Contract Administrator </w:t>
      </w:r>
      <w:r w:rsidR="003B1986">
        <w:rPr>
          <w:rFonts w:ascii="Palatino Linotype" w:hAnsi="Palatino Linotype"/>
        </w:rPr>
        <w:t xml:space="preserve">(PPCA) </w:t>
      </w:r>
      <w:r w:rsidRPr="00F43261">
        <w:rPr>
          <w:rFonts w:ascii="Palatino Linotype" w:hAnsi="Palatino Linotype"/>
        </w:rPr>
        <w:t>for the DDTP</w:t>
      </w:r>
      <w:r w:rsidR="003B1986">
        <w:rPr>
          <w:rFonts w:ascii="Palatino Linotype" w:hAnsi="Palatino Linotype"/>
        </w:rPr>
        <w:t>,</w:t>
      </w:r>
      <w:r w:rsidRPr="00F43261">
        <w:rPr>
          <w:rFonts w:ascii="Palatino Linotype" w:hAnsi="Palatino Linotype"/>
        </w:rPr>
        <w:t xml:space="preserve"> provid</w:t>
      </w:r>
      <w:r w:rsidR="003B1986">
        <w:rPr>
          <w:rFonts w:ascii="Palatino Linotype" w:hAnsi="Palatino Linotype"/>
        </w:rPr>
        <w:t>es</w:t>
      </w:r>
      <w:r w:rsidRPr="00F43261">
        <w:rPr>
          <w:rFonts w:ascii="Palatino Linotype" w:hAnsi="Palatino Linotype"/>
        </w:rPr>
        <w:t xml:space="preserve"> equipment </w:t>
      </w:r>
      <w:r w:rsidR="003B1986">
        <w:rPr>
          <w:rFonts w:ascii="Palatino Linotype" w:hAnsi="Palatino Linotype"/>
        </w:rPr>
        <w:t>and</w:t>
      </w:r>
      <w:r w:rsidRPr="00F43261">
        <w:rPr>
          <w:rFonts w:ascii="Palatino Linotype" w:hAnsi="Palatino Linotype"/>
        </w:rPr>
        <w:t xml:space="preserve"> services to the DDTP do so under contract to the State/</w:t>
      </w:r>
      <w:r w:rsidR="00D44151">
        <w:rPr>
          <w:rFonts w:ascii="Palatino Linotype" w:hAnsi="Palatino Linotype"/>
        </w:rPr>
        <w:t>Commission</w:t>
      </w:r>
      <w:r w:rsidRPr="00F43261">
        <w:rPr>
          <w:rFonts w:ascii="Palatino Linotype" w:hAnsi="Palatino Linotype"/>
        </w:rPr>
        <w:t>, pursuant to state contracting and procurement rules.</w:t>
      </w:r>
    </w:p>
    <w:p w:rsidRPr="00F43261" w:rsidR="00F43261" w:rsidP="00F43261" w:rsidRDefault="00F43261" w14:paraId="41194DDD" w14:textId="77777777">
      <w:pPr>
        <w:tabs>
          <w:tab w:val="right" w:pos="10080"/>
        </w:tabs>
        <w:rPr>
          <w:rFonts w:ascii="Palatino Linotype" w:hAnsi="Palatino Linotype"/>
        </w:rPr>
      </w:pPr>
    </w:p>
    <w:p w:rsidR="00F43261" w:rsidP="00F43261" w:rsidRDefault="00F43261" w14:paraId="02CCF77F" w14:textId="56C2DA9D">
      <w:pPr>
        <w:tabs>
          <w:tab w:val="right" w:pos="10080"/>
        </w:tabs>
        <w:rPr>
          <w:rFonts w:ascii="Palatino Linotype" w:hAnsi="Palatino Linotype"/>
        </w:rPr>
      </w:pPr>
      <w:r w:rsidRPr="00F43261">
        <w:rPr>
          <w:rFonts w:ascii="Palatino Linotype" w:hAnsi="Palatino Linotype"/>
        </w:rPr>
        <w:t>In addition to the DDTP Administrative Contractor, the C</w:t>
      </w:r>
      <w:r w:rsidR="00D44151">
        <w:rPr>
          <w:rFonts w:ascii="Palatino Linotype" w:hAnsi="Palatino Linotype"/>
        </w:rPr>
        <w:t>ommission</w:t>
      </w:r>
      <w:r w:rsidRPr="00F43261">
        <w:rPr>
          <w:rFonts w:ascii="Palatino Linotype" w:hAnsi="Palatino Linotype"/>
        </w:rPr>
        <w:t xml:space="preserve"> contracts for services with </w:t>
      </w:r>
      <w:r w:rsidRPr="00F43261" w:rsidR="00482BB7">
        <w:rPr>
          <w:rFonts w:ascii="Palatino Linotype" w:hAnsi="Palatino Linotype"/>
        </w:rPr>
        <w:t>several</w:t>
      </w:r>
      <w:r w:rsidRPr="00F43261">
        <w:rPr>
          <w:rFonts w:ascii="Palatino Linotype" w:hAnsi="Palatino Linotype"/>
        </w:rPr>
        <w:t xml:space="preserve"> other vendors including the following:  sign language interpreters, foreign language translators, captioners, voicers, personal attendants, marketing vendors, equipment vendors, contact center</w:t>
      </w:r>
      <w:r w:rsidR="00D37969">
        <w:rPr>
          <w:rFonts w:ascii="Palatino Linotype" w:hAnsi="Palatino Linotype"/>
        </w:rPr>
        <w:t xml:space="preserve"> services</w:t>
      </w:r>
      <w:r w:rsidRPr="00F43261">
        <w:rPr>
          <w:rFonts w:ascii="Palatino Linotype" w:hAnsi="Palatino Linotype"/>
        </w:rPr>
        <w:t xml:space="preserve">, </w:t>
      </w:r>
      <w:r w:rsidR="00D37969">
        <w:rPr>
          <w:rFonts w:ascii="Palatino Linotype" w:hAnsi="Palatino Linotype"/>
        </w:rPr>
        <w:t>distribution center services</w:t>
      </w:r>
      <w:r w:rsidRPr="00F43261">
        <w:rPr>
          <w:rFonts w:ascii="Palatino Linotype" w:hAnsi="Palatino Linotype"/>
        </w:rPr>
        <w:t>, and relay providers.</w:t>
      </w:r>
    </w:p>
    <w:p w:rsidR="00BE3108" w:rsidP="00F43261" w:rsidRDefault="00BE3108" w14:paraId="43E4662F" w14:textId="2C30F0D1">
      <w:pPr>
        <w:tabs>
          <w:tab w:val="right" w:pos="10080"/>
        </w:tabs>
        <w:rPr>
          <w:rFonts w:ascii="Palatino Linotype" w:hAnsi="Palatino Linotype"/>
        </w:rPr>
      </w:pPr>
    </w:p>
    <w:p w:rsidRPr="00E24CF6" w:rsidR="00BE3108" w:rsidP="00F43261" w:rsidRDefault="00BE3108" w14:paraId="6C93504C" w14:textId="70227575">
      <w:pPr>
        <w:tabs>
          <w:tab w:val="right" w:pos="10080"/>
        </w:tabs>
        <w:rPr>
          <w:rFonts w:ascii="Palatino Linotype" w:hAnsi="Palatino Linotype"/>
        </w:rPr>
      </w:pPr>
      <w:r>
        <w:rPr>
          <w:rFonts w:ascii="Palatino Linotype" w:hAnsi="Palatino Linotype"/>
        </w:rPr>
        <w:t>DDTP is funded by a surcharge assessed on revenues collected from intrastate telecommunications services subject to surcharge.  Intrastate services are referred to internally as the “billing base” reported for all carriers, with associated surcharges billed to and collected from end users, then remitted by carriers monthly to the Commission.  The Commission periodically reviews public purpose program fund balances and adjusts surcharge rates to ensure that the programs are sufficiently funding.  Historically, the DDTP surcharge rates since 1/1/2010 are available online at</w:t>
      </w:r>
      <w:r w:rsidR="00E96A23">
        <w:rPr>
          <w:rFonts w:ascii="Palatino Linotype" w:hAnsi="Palatino Linotype"/>
        </w:rPr>
        <w:t xml:space="preserve"> </w:t>
      </w:r>
      <w:hyperlink w:history="1" r:id="rId8">
        <w:r w:rsidRPr="00482BB7" w:rsidR="00E96A23">
          <w:rPr>
            <w:rStyle w:val="Hyperlink"/>
            <w:rFonts w:ascii="Palatino Linotype" w:hAnsi="Palatino Linotype"/>
          </w:rPr>
          <w:t>https://www.cpuc.ca.gov/industries-and-topics/internet-and-phone/telecommunications-surcharges-and-user-fees/surcharge-rates</w:t>
        </w:r>
      </w:hyperlink>
      <w:hyperlink w:history="1"/>
      <w:r w:rsidRPr="00E24CF6">
        <w:rPr>
          <w:rStyle w:val="Hyperlink"/>
          <w:rFonts w:ascii="Palatino Linotype" w:hAnsi="Palatino Linotype"/>
          <w:color w:val="4472C4" w:themeColor="accent1"/>
        </w:rPr>
        <w:t>.</w:t>
      </w:r>
    </w:p>
    <w:p w:rsidRPr="00E24CF6" w:rsidR="00F43261" w:rsidP="00F43261" w:rsidRDefault="00F43261" w14:paraId="0C3F7F4F" w14:textId="77777777">
      <w:pPr>
        <w:tabs>
          <w:tab w:val="right" w:pos="10080"/>
        </w:tabs>
        <w:rPr>
          <w:rFonts w:ascii="Palatino Linotype" w:hAnsi="Palatino Linotype"/>
        </w:rPr>
      </w:pPr>
    </w:p>
    <w:p w:rsidRPr="00E24CF6" w:rsidR="003B1DBD" w:rsidP="00426552" w:rsidRDefault="003B1DBD" w14:paraId="224D4F18" w14:textId="0CEB0252">
      <w:pPr>
        <w:keepNext/>
        <w:tabs>
          <w:tab w:val="right" w:pos="10080"/>
        </w:tabs>
        <w:jc w:val="both"/>
        <w:rPr>
          <w:rFonts w:ascii="Palatino Linotype" w:hAnsi="Palatino Linotype"/>
          <w:b/>
          <w:u w:val="single"/>
        </w:rPr>
      </w:pPr>
      <w:r w:rsidRPr="00E24CF6">
        <w:rPr>
          <w:rFonts w:ascii="Palatino Linotype" w:hAnsi="Palatino Linotype"/>
          <w:b/>
          <w:u w:val="single"/>
        </w:rPr>
        <w:lastRenderedPageBreak/>
        <w:t>DISCUSSION</w:t>
      </w:r>
    </w:p>
    <w:p w:rsidRPr="00E24CF6" w:rsidR="00185C23" w:rsidP="00426552" w:rsidRDefault="00185C23" w14:paraId="2EC4C474" w14:textId="4DB1669D">
      <w:pPr>
        <w:keepNext/>
        <w:tabs>
          <w:tab w:val="right" w:pos="10080"/>
        </w:tabs>
        <w:jc w:val="both"/>
        <w:rPr>
          <w:rFonts w:ascii="Palatino Linotype" w:hAnsi="Palatino Linotype"/>
          <w:b/>
          <w:u w:val="single"/>
        </w:rPr>
      </w:pPr>
    </w:p>
    <w:p w:rsidR="002F1F2A" w:rsidP="00D44151" w:rsidRDefault="00185C23" w14:paraId="7C5FE215" w14:textId="77777777">
      <w:pPr>
        <w:keepNext/>
        <w:tabs>
          <w:tab w:val="right" w:pos="10080"/>
        </w:tabs>
        <w:rPr>
          <w:rFonts w:ascii="Palatino Linotype" w:hAnsi="Palatino Linotype"/>
          <w:bCs/>
        </w:rPr>
      </w:pPr>
      <w:r w:rsidRPr="00E24CF6">
        <w:rPr>
          <w:rFonts w:ascii="Palatino Linotype" w:hAnsi="Palatino Linotype"/>
          <w:bCs/>
        </w:rPr>
        <w:t xml:space="preserve">In this Resolution, the </w:t>
      </w:r>
      <w:r w:rsidRPr="00E24CF6" w:rsidR="00D44151">
        <w:rPr>
          <w:rFonts w:ascii="Palatino Linotype" w:hAnsi="Palatino Linotype"/>
          <w:bCs/>
        </w:rPr>
        <w:t>Commission increases the DDTP surcharge rate from 0.</w:t>
      </w:r>
      <w:r w:rsidRPr="00E24CF6" w:rsidR="005758BB">
        <w:rPr>
          <w:rFonts w:ascii="Palatino Linotype" w:hAnsi="Palatino Linotype"/>
          <w:bCs/>
        </w:rPr>
        <w:t>50</w:t>
      </w:r>
      <w:r w:rsidRPr="00E24CF6" w:rsidR="00D44151">
        <w:rPr>
          <w:rFonts w:ascii="Palatino Linotype" w:hAnsi="Palatino Linotype"/>
          <w:bCs/>
        </w:rPr>
        <w:t xml:space="preserve">% to </w:t>
      </w:r>
      <w:r w:rsidR="00EA0919">
        <w:rPr>
          <w:rFonts w:ascii="Palatino Linotype" w:hAnsi="Palatino Linotype"/>
          <w:bCs/>
        </w:rPr>
        <w:t>1</w:t>
      </w:r>
      <w:r w:rsidR="00544E60">
        <w:rPr>
          <w:rFonts w:ascii="Palatino Linotype" w:hAnsi="Palatino Linotype"/>
          <w:bCs/>
        </w:rPr>
        <w:t>.11%</w:t>
      </w:r>
      <w:r w:rsidRPr="00E24CF6" w:rsidR="00D44151">
        <w:rPr>
          <w:rFonts w:ascii="Palatino Linotype" w:hAnsi="Palatino Linotype"/>
          <w:bCs/>
        </w:rPr>
        <w:t xml:space="preserve">, effective </w:t>
      </w:r>
      <w:r w:rsidRPr="00E24CF6" w:rsidR="00011ADF">
        <w:rPr>
          <w:rFonts w:ascii="Palatino Linotype" w:hAnsi="Palatino Linotype"/>
          <w:bCs/>
        </w:rPr>
        <w:t>January 1, 2022</w:t>
      </w:r>
      <w:r w:rsidRPr="00E24CF6" w:rsidR="00D44151">
        <w:rPr>
          <w:rFonts w:ascii="Palatino Linotype" w:hAnsi="Palatino Linotype"/>
          <w:bCs/>
        </w:rPr>
        <w:t xml:space="preserve">, </w:t>
      </w:r>
      <w:r w:rsidR="00D44151">
        <w:rPr>
          <w:rFonts w:ascii="Palatino Linotype" w:hAnsi="Palatino Linotype"/>
          <w:bCs/>
        </w:rPr>
        <w:t xml:space="preserve">until further revised by the Commission.  </w:t>
      </w:r>
      <w:r w:rsidR="00011ADF">
        <w:rPr>
          <w:rFonts w:ascii="Palatino Linotype" w:hAnsi="Palatino Linotype"/>
          <w:bCs/>
        </w:rPr>
        <w:t>DDTP must have a positive fund balance.  At the current 0.5</w:t>
      </w:r>
      <w:r w:rsidR="00EA0919">
        <w:rPr>
          <w:rFonts w:ascii="Palatino Linotype" w:hAnsi="Palatino Linotype"/>
          <w:bCs/>
        </w:rPr>
        <w:t>0</w:t>
      </w:r>
      <w:r w:rsidR="00011ADF">
        <w:rPr>
          <w:rFonts w:ascii="Palatino Linotype" w:hAnsi="Palatino Linotype"/>
          <w:bCs/>
        </w:rPr>
        <w:t>% surcharge rate, DDT</w:t>
      </w:r>
      <w:r w:rsidR="00E96A23">
        <w:rPr>
          <w:rFonts w:ascii="Palatino Linotype" w:hAnsi="Palatino Linotype"/>
          <w:bCs/>
        </w:rPr>
        <w:t>P</w:t>
      </w:r>
      <w:r w:rsidR="00011ADF">
        <w:rPr>
          <w:rFonts w:ascii="Palatino Linotype" w:hAnsi="Palatino Linotype"/>
          <w:bCs/>
        </w:rPr>
        <w:t xml:space="preserve"> would have a </w:t>
      </w:r>
    </w:p>
    <w:p w:rsidR="002F1F2A" w:rsidP="00D44151" w:rsidRDefault="00011ADF" w14:paraId="6A01A346" w14:textId="5BE1B169">
      <w:pPr>
        <w:keepNext/>
        <w:tabs>
          <w:tab w:val="right" w:pos="10080"/>
        </w:tabs>
        <w:rPr>
          <w:rFonts w:ascii="Palatino Linotype" w:hAnsi="Palatino Linotype"/>
          <w:bCs/>
        </w:rPr>
      </w:pPr>
      <w:r>
        <w:rPr>
          <w:rFonts w:ascii="Palatino Linotype" w:hAnsi="Palatino Linotype"/>
          <w:bCs/>
        </w:rPr>
        <w:t xml:space="preserve">negative fund balance by end of Fiscal </w:t>
      </w:r>
      <w:r w:rsidR="006E609C">
        <w:rPr>
          <w:rFonts w:ascii="Palatino Linotype" w:hAnsi="Palatino Linotype"/>
          <w:bCs/>
        </w:rPr>
        <w:t>Y</w:t>
      </w:r>
      <w:r>
        <w:rPr>
          <w:rFonts w:ascii="Palatino Linotype" w:hAnsi="Palatino Linotype"/>
          <w:bCs/>
        </w:rPr>
        <w:t xml:space="preserve">ear 21-22.  To offset the negative fund balance, the </w:t>
      </w:r>
      <w:proofErr w:type="spellStart"/>
      <w:r>
        <w:rPr>
          <w:rFonts w:ascii="Palatino Linotype" w:hAnsi="Palatino Linotype"/>
          <w:bCs/>
        </w:rPr>
        <w:t>LifeLine</w:t>
      </w:r>
      <w:proofErr w:type="spellEnd"/>
      <w:r>
        <w:rPr>
          <w:rFonts w:ascii="Palatino Linotype" w:hAnsi="Palatino Linotype"/>
          <w:bCs/>
        </w:rPr>
        <w:t xml:space="preserve"> program loaned $25 million to DDTP.  However, this loan </w:t>
      </w:r>
      <w:r w:rsidR="00E96A23">
        <w:rPr>
          <w:rFonts w:ascii="Palatino Linotype" w:hAnsi="Palatino Linotype"/>
          <w:bCs/>
        </w:rPr>
        <w:t xml:space="preserve">balance must be </w:t>
      </w:r>
    </w:p>
    <w:p w:rsidRPr="00185C23" w:rsidR="00185C23" w:rsidP="00D44151" w:rsidRDefault="00E96A23" w14:paraId="29BA7206" w14:textId="4E6A95CC">
      <w:pPr>
        <w:keepNext/>
        <w:tabs>
          <w:tab w:val="right" w:pos="10080"/>
        </w:tabs>
        <w:rPr>
          <w:rFonts w:ascii="Palatino Linotype" w:hAnsi="Palatino Linotype"/>
          <w:bCs/>
        </w:rPr>
      </w:pPr>
      <w:r>
        <w:rPr>
          <w:rFonts w:ascii="Palatino Linotype" w:hAnsi="Palatino Linotype"/>
          <w:bCs/>
        </w:rPr>
        <w:t xml:space="preserve">paid back to the </w:t>
      </w:r>
      <w:proofErr w:type="spellStart"/>
      <w:r>
        <w:rPr>
          <w:rFonts w:ascii="Palatino Linotype" w:hAnsi="Palatino Linotype"/>
          <w:bCs/>
        </w:rPr>
        <w:t>LifeLine</w:t>
      </w:r>
      <w:proofErr w:type="spellEnd"/>
      <w:r>
        <w:rPr>
          <w:rFonts w:ascii="Palatino Linotype" w:hAnsi="Palatino Linotype"/>
          <w:bCs/>
        </w:rPr>
        <w:t xml:space="preserve"> program.  Therefore, the CPUC has decided to set a surcharge rate equal to its appropriations level.  </w:t>
      </w:r>
    </w:p>
    <w:p w:rsidR="003B1DBD" w:rsidP="00D44151" w:rsidRDefault="003B1DBD" w14:paraId="0AE021D1" w14:textId="026189E0">
      <w:pPr>
        <w:keepNext/>
        <w:tabs>
          <w:tab w:val="right" w:pos="10080"/>
        </w:tabs>
        <w:rPr>
          <w:rFonts w:ascii="Palatino Linotype" w:hAnsi="Palatino Linotype"/>
          <w:u w:val="single"/>
        </w:rPr>
      </w:pPr>
    </w:p>
    <w:p w:rsidR="002F1F2A" w:rsidP="00905137" w:rsidRDefault="00D44151" w14:paraId="570C8971" w14:textId="77777777">
      <w:pPr>
        <w:keepNext/>
        <w:tabs>
          <w:tab w:val="right" w:pos="9360"/>
        </w:tabs>
        <w:rPr>
          <w:rFonts w:ascii="Palatino Linotype" w:hAnsi="Palatino Linotype"/>
        </w:rPr>
      </w:pPr>
      <w:r>
        <w:rPr>
          <w:rFonts w:ascii="Palatino Linotype" w:hAnsi="Palatino Linotype"/>
        </w:rPr>
        <w:t>For the past several years, the intrastate billing base has declined significantly</w:t>
      </w:r>
      <w:r>
        <w:rPr>
          <w:rStyle w:val="FootnoteReference"/>
          <w:rFonts w:ascii="Palatino Linotype" w:hAnsi="Palatino Linotype"/>
        </w:rPr>
        <w:footnoteReference w:id="5"/>
      </w:r>
      <w:r>
        <w:rPr>
          <w:rFonts w:ascii="Palatino Linotype" w:hAnsi="Palatino Linotype"/>
        </w:rPr>
        <w:t>, resulting in lower surcharge revenue collected for the DDTP.</w:t>
      </w:r>
      <w:r w:rsidR="005D0711">
        <w:rPr>
          <w:rFonts w:ascii="Palatino Linotype" w:hAnsi="Palatino Linotype"/>
        </w:rPr>
        <w:t xml:space="preserve">  While the rate of decline </w:t>
      </w:r>
    </w:p>
    <w:p w:rsidR="002F1F2A" w:rsidP="00905137" w:rsidRDefault="005D0711" w14:paraId="68825A42" w14:textId="52530C52">
      <w:pPr>
        <w:keepNext/>
        <w:tabs>
          <w:tab w:val="right" w:pos="9360"/>
        </w:tabs>
        <w:rPr>
          <w:rFonts w:ascii="Palatino Linotype" w:hAnsi="Palatino Linotype"/>
        </w:rPr>
      </w:pPr>
      <w:r>
        <w:rPr>
          <w:rFonts w:ascii="Palatino Linotype" w:hAnsi="Palatino Linotype"/>
        </w:rPr>
        <w:t xml:space="preserve">has slowed in the past year, CD projects that the billing base will continue to decline over the next several years.  For FY 20-21, average monthly expenditures have been at </w:t>
      </w:r>
    </w:p>
    <w:p w:rsidR="002F1F2A" w:rsidP="00D44151" w:rsidRDefault="005D0711" w14:paraId="2D7C2148" w14:textId="3662B3DD">
      <w:pPr>
        <w:keepNext/>
        <w:tabs>
          <w:tab w:val="right" w:pos="10080"/>
        </w:tabs>
        <w:rPr>
          <w:rFonts w:ascii="Palatino Linotype" w:hAnsi="Palatino Linotype"/>
        </w:rPr>
      </w:pPr>
      <w:r>
        <w:rPr>
          <w:rFonts w:ascii="Palatino Linotype" w:hAnsi="Palatino Linotype"/>
        </w:rPr>
        <w:t xml:space="preserve">.7 million while average monthly revenues </w:t>
      </w:r>
      <w:r w:rsidR="004D330F">
        <w:rPr>
          <w:rFonts w:ascii="Palatino Linotype" w:hAnsi="Palatino Linotype"/>
        </w:rPr>
        <w:t>are</w:t>
      </w:r>
      <w:r>
        <w:rPr>
          <w:rFonts w:ascii="Palatino Linotype" w:hAnsi="Palatino Linotype"/>
        </w:rPr>
        <w:t xml:space="preserve"> lower at $2.6 million.  If the DDTP surcharge rate remains at 0.</w:t>
      </w:r>
      <w:r w:rsidR="005758BB">
        <w:rPr>
          <w:rFonts w:ascii="Palatino Linotype" w:hAnsi="Palatino Linotype"/>
        </w:rPr>
        <w:t>50</w:t>
      </w:r>
      <w:r>
        <w:rPr>
          <w:rFonts w:ascii="Palatino Linotype" w:hAnsi="Palatino Linotype"/>
        </w:rPr>
        <w:t>%, CD project that the DDTP fund balance would be</w:t>
      </w:r>
      <w:r w:rsidR="00EA0919">
        <w:rPr>
          <w:rFonts w:ascii="Palatino Linotype" w:hAnsi="Palatino Linotype"/>
        </w:rPr>
        <w:t>come</w:t>
      </w:r>
      <w:r>
        <w:rPr>
          <w:rFonts w:ascii="Palatino Linotype" w:hAnsi="Palatino Linotype"/>
        </w:rPr>
        <w:t xml:space="preserve"> </w:t>
      </w:r>
    </w:p>
    <w:p w:rsidR="00D44151" w:rsidP="00D44151" w:rsidRDefault="005D0711" w14:paraId="72F30C78" w14:textId="5265FBDD">
      <w:pPr>
        <w:keepNext/>
        <w:tabs>
          <w:tab w:val="right" w:pos="10080"/>
        </w:tabs>
        <w:rPr>
          <w:rFonts w:ascii="Palatino Linotype" w:hAnsi="Palatino Linotype"/>
        </w:rPr>
      </w:pPr>
      <w:r>
        <w:rPr>
          <w:rFonts w:ascii="Palatino Linotype" w:hAnsi="Palatino Linotype"/>
        </w:rPr>
        <w:t>negative in Fiscal Year (F</w:t>
      </w:r>
      <w:r w:rsidR="004D330F">
        <w:rPr>
          <w:rFonts w:ascii="Palatino Linotype" w:hAnsi="Palatino Linotype"/>
        </w:rPr>
        <w:t>Y</w:t>
      </w:r>
      <w:r>
        <w:rPr>
          <w:rFonts w:ascii="Palatino Linotype" w:hAnsi="Palatino Linotype"/>
        </w:rPr>
        <w:t>) 2</w:t>
      </w:r>
      <w:r w:rsidR="004D330F">
        <w:rPr>
          <w:rFonts w:ascii="Palatino Linotype" w:hAnsi="Palatino Linotype"/>
        </w:rPr>
        <w:t>02</w:t>
      </w:r>
      <w:r>
        <w:rPr>
          <w:rFonts w:ascii="Palatino Linotype" w:hAnsi="Palatino Linotype"/>
        </w:rPr>
        <w:t xml:space="preserve">1-22.  The projected DDTP fund balance as of June 30, </w:t>
      </w:r>
      <w:proofErr w:type="gramStart"/>
      <w:r>
        <w:rPr>
          <w:rFonts w:ascii="Palatino Linotype" w:hAnsi="Palatino Linotype"/>
        </w:rPr>
        <w:t>202</w:t>
      </w:r>
      <w:r w:rsidR="004D330F">
        <w:rPr>
          <w:rFonts w:ascii="Palatino Linotype" w:hAnsi="Palatino Linotype"/>
        </w:rPr>
        <w:t>2</w:t>
      </w:r>
      <w:proofErr w:type="gramEnd"/>
      <w:r>
        <w:rPr>
          <w:rFonts w:ascii="Palatino Linotype" w:hAnsi="Palatino Linotype"/>
        </w:rPr>
        <w:t xml:space="preserve"> </w:t>
      </w:r>
      <w:r w:rsidR="00A403C1">
        <w:rPr>
          <w:rFonts w:ascii="Palatino Linotype" w:hAnsi="Palatino Linotype"/>
        </w:rPr>
        <w:t xml:space="preserve">is </w:t>
      </w:r>
      <w:r w:rsidR="00EA0919">
        <w:rPr>
          <w:rFonts w:ascii="Palatino Linotype" w:hAnsi="Palatino Linotype"/>
        </w:rPr>
        <w:t>project</w:t>
      </w:r>
      <w:r w:rsidR="00A403C1">
        <w:rPr>
          <w:rFonts w:ascii="Palatino Linotype" w:hAnsi="Palatino Linotype"/>
        </w:rPr>
        <w:t>ed</w:t>
      </w:r>
      <w:r w:rsidR="00EA0919">
        <w:rPr>
          <w:rFonts w:ascii="Palatino Linotype" w:hAnsi="Palatino Linotype"/>
        </w:rPr>
        <w:t xml:space="preserve"> to </w:t>
      </w:r>
      <w:r w:rsidRPr="00E24CF6" w:rsidR="001A2A63">
        <w:rPr>
          <w:rFonts w:ascii="Palatino Linotype" w:hAnsi="Palatino Linotype"/>
        </w:rPr>
        <w:t>(</w:t>
      </w:r>
      <w:r w:rsidRPr="00E24CF6">
        <w:rPr>
          <w:rFonts w:ascii="Palatino Linotype" w:hAnsi="Palatino Linotype"/>
        </w:rPr>
        <w:t>$</w:t>
      </w:r>
      <w:r w:rsidRPr="00E24CF6" w:rsidR="00011ADF">
        <w:rPr>
          <w:rFonts w:ascii="Palatino Linotype" w:hAnsi="Palatino Linotype"/>
        </w:rPr>
        <w:t>7,727</w:t>
      </w:r>
      <w:r w:rsidR="005E36D7">
        <w:rPr>
          <w:rFonts w:ascii="Palatino Linotype" w:hAnsi="Palatino Linotype"/>
        </w:rPr>
        <w:t>,000</w:t>
      </w:r>
      <w:r w:rsidRPr="00E24CF6" w:rsidR="001A2A63">
        <w:rPr>
          <w:rFonts w:ascii="Palatino Linotype" w:hAnsi="Palatino Linotype"/>
        </w:rPr>
        <w:t>)</w:t>
      </w:r>
      <w:r w:rsidRPr="00E24CF6" w:rsidR="00112517">
        <w:rPr>
          <w:rFonts w:ascii="Palatino Linotype" w:hAnsi="Palatino Linotype"/>
        </w:rPr>
        <w:t xml:space="preserve">.  </w:t>
      </w:r>
      <w:r w:rsidR="00112517">
        <w:rPr>
          <w:rFonts w:ascii="Palatino Linotype" w:hAnsi="Palatino Linotype"/>
        </w:rPr>
        <w:t>These projections are summarized in Table 1 below.</w:t>
      </w:r>
    </w:p>
    <w:p w:rsidR="00112517" w:rsidP="00D44151" w:rsidRDefault="00112517" w14:paraId="394611C4" w14:textId="6FF6123F">
      <w:pPr>
        <w:keepNext/>
        <w:tabs>
          <w:tab w:val="right" w:pos="10080"/>
        </w:tabs>
        <w:rPr>
          <w:rFonts w:ascii="Palatino Linotype" w:hAnsi="Palatino Linotype"/>
        </w:rPr>
      </w:pPr>
    </w:p>
    <w:p w:rsidR="00112517" w:rsidP="00D44151" w:rsidRDefault="00112517" w14:paraId="4E26E642" w14:textId="0B0B2FCD">
      <w:pPr>
        <w:keepNext/>
        <w:tabs>
          <w:tab w:val="right" w:pos="10080"/>
        </w:tabs>
        <w:rPr>
          <w:rFonts w:ascii="Palatino Linotype" w:hAnsi="Palatino Linotype"/>
          <w:i/>
          <w:iCs/>
        </w:rPr>
      </w:pPr>
      <w:r w:rsidRPr="00112517">
        <w:rPr>
          <w:rFonts w:ascii="Palatino Linotype" w:hAnsi="Palatino Linotype"/>
          <w:i/>
          <w:iCs/>
        </w:rPr>
        <w:t>Table 1</w:t>
      </w:r>
    </w:p>
    <w:p w:rsidR="00184241" w:rsidP="00D44151" w:rsidRDefault="00184241" w14:paraId="47358012" w14:textId="6A7F2002">
      <w:pPr>
        <w:keepNext/>
        <w:tabs>
          <w:tab w:val="right" w:pos="10080"/>
        </w:tabs>
        <w:rPr>
          <w:rFonts w:ascii="Palatino Linotype" w:hAnsi="Palatino Linotype"/>
          <w:i/>
          <w:iCs/>
        </w:rPr>
      </w:pPr>
    </w:p>
    <w:p w:rsidRPr="00184241" w:rsidR="00184241" w:rsidP="00AE2D74" w:rsidRDefault="004C5D97" w14:paraId="29FBD507" w14:textId="3233701F">
      <w:pPr>
        <w:keepNext/>
        <w:tabs>
          <w:tab w:val="right" w:pos="10080"/>
        </w:tabs>
        <w:ind w:left="720"/>
        <w:jc w:val="center"/>
        <w:rPr>
          <w:rFonts w:ascii="Palatino Linotype" w:hAnsi="Palatino Linotype"/>
        </w:rPr>
      </w:pPr>
      <w:r w:rsidRPr="004C5D97">
        <w:rPr>
          <w:noProof/>
        </w:rPr>
        <w:drawing>
          <wp:inline distT="0" distB="0" distL="0" distR="0" wp14:anchorId="1763E688" wp14:editId="0A3FF58B">
            <wp:extent cx="3587342" cy="3230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1600" cy="3252727"/>
                    </a:xfrm>
                    <a:prstGeom prst="rect">
                      <a:avLst/>
                    </a:prstGeom>
                    <a:noFill/>
                    <a:ln>
                      <a:noFill/>
                    </a:ln>
                  </pic:spPr>
                </pic:pic>
              </a:graphicData>
            </a:graphic>
          </wp:inline>
        </w:drawing>
      </w:r>
    </w:p>
    <w:p w:rsidR="00011ADF" w:rsidP="004D330F" w:rsidRDefault="00011ADF" w14:paraId="38CAA73E" w14:textId="77777777">
      <w:pPr>
        <w:tabs>
          <w:tab w:val="right" w:pos="10080"/>
        </w:tabs>
        <w:rPr>
          <w:rFonts w:ascii="Palatino Linotype" w:hAnsi="Palatino Linotype"/>
        </w:rPr>
      </w:pPr>
    </w:p>
    <w:p w:rsidR="002F1F2A" w:rsidP="004D330F" w:rsidRDefault="006F73EE" w14:paraId="601F2C40" w14:textId="039AEEDF">
      <w:pPr>
        <w:tabs>
          <w:tab w:val="right" w:pos="10080"/>
        </w:tabs>
        <w:rPr>
          <w:rFonts w:ascii="Palatino Linotype" w:hAnsi="Palatino Linotype"/>
        </w:rPr>
      </w:pPr>
      <w:r>
        <w:rPr>
          <w:rFonts w:ascii="Palatino Linotype" w:hAnsi="Palatino Linotype"/>
        </w:rPr>
        <w:lastRenderedPageBreak/>
        <w:t xml:space="preserve">To maintain a positive fund balance with sufficient reserves, CD recommends that the Commission increase the DDTP surcharge rate from 0.50% to </w:t>
      </w:r>
      <w:r w:rsidR="005E36D7">
        <w:rPr>
          <w:rFonts w:ascii="Palatino Linotype" w:hAnsi="Palatino Linotype"/>
        </w:rPr>
        <w:t>1</w:t>
      </w:r>
      <w:r w:rsidR="00544E60">
        <w:rPr>
          <w:rFonts w:ascii="Palatino Linotype" w:hAnsi="Palatino Linotype"/>
        </w:rPr>
        <w:t>.11%</w:t>
      </w:r>
      <w:r w:rsidRPr="00E24CF6">
        <w:rPr>
          <w:rFonts w:ascii="Palatino Linotype" w:hAnsi="Palatino Linotype"/>
        </w:rPr>
        <w:t xml:space="preserve"> effective </w:t>
      </w:r>
      <w:r w:rsidRPr="00E24CF6" w:rsidR="00011ADF">
        <w:rPr>
          <w:rFonts w:ascii="Palatino Linotype" w:hAnsi="Palatino Linotype"/>
        </w:rPr>
        <w:t>January 1, 2022</w:t>
      </w:r>
      <w:r w:rsidRPr="00E24CF6">
        <w:rPr>
          <w:rFonts w:ascii="Palatino Linotype" w:hAnsi="Palatino Linotype"/>
        </w:rPr>
        <w:t>.  With the increased surcharge rate, the fund balance is p</w:t>
      </w:r>
      <w:r>
        <w:rPr>
          <w:rFonts w:ascii="Palatino Linotype" w:hAnsi="Palatino Linotype"/>
        </w:rPr>
        <w:t xml:space="preserve">rojected to be </w:t>
      </w:r>
      <w:r w:rsidR="001A2A63">
        <w:rPr>
          <w:rFonts w:ascii="Palatino Linotype" w:hAnsi="Palatino Linotype"/>
        </w:rPr>
        <w:t>$</w:t>
      </w:r>
      <w:r w:rsidR="00011ADF">
        <w:rPr>
          <w:rFonts w:ascii="Palatino Linotype" w:hAnsi="Palatino Linotype"/>
        </w:rPr>
        <w:t>9,</w:t>
      </w:r>
      <w:r w:rsidR="00A403C1">
        <w:rPr>
          <w:rFonts w:ascii="Palatino Linotype" w:hAnsi="Palatino Linotype"/>
        </w:rPr>
        <w:t>963</w:t>
      </w:r>
      <w:r w:rsidR="00011ADF">
        <w:rPr>
          <w:rFonts w:ascii="Palatino Linotype" w:hAnsi="Palatino Linotype"/>
        </w:rPr>
        <w:t>,000</w:t>
      </w:r>
      <w:r w:rsidR="001A2A63">
        <w:rPr>
          <w:rFonts w:ascii="Palatino Linotype" w:hAnsi="Palatino Linotype"/>
        </w:rPr>
        <w:t xml:space="preserve"> </w:t>
      </w:r>
      <w:r w:rsidR="00E96E3D">
        <w:rPr>
          <w:rFonts w:ascii="Palatino Linotype" w:hAnsi="Palatino Linotype"/>
        </w:rPr>
        <w:t xml:space="preserve">by end of FY </w:t>
      </w:r>
      <w:r w:rsidRPr="00E67E48" w:rsidR="00E96E3D">
        <w:rPr>
          <w:rFonts w:ascii="Palatino Linotype" w:hAnsi="Palatino Linotype"/>
        </w:rPr>
        <w:t xml:space="preserve">2021-2022.  Table 2 below shows the effects of the surcharge increase on projected revenues for </w:t>
      </w:r>
      <w:r w:rsidR="001B7B7F">
        <w:rPr>
          <w:rFonts w:ascii="Palatino Linotype" w:hAnsi="Palatino Linotype"/>
        </w:rPr>
        <w:t>F</w:t>
      </w:r>
      <w:r w:rsidR="00E96E3D">
        <w:rPr>
          <w:rFonts w:ascii="Palatino Linotype" w:hAnsi="Palatino Linotype"/>
        </w:rPr>
        <w:t>Y 2021-2022.</w:t>
      </w:r>
    </w:p>
    <w:p w:rsidR="002F1F2A" w:rsidP="004D330F" w:rsidRDefault="002F1F2A" w14:paraId="23F5F30E" w14:textId="2D7A2313">
      <w:pPr>
        <w:tabs>
          <w:tab w:val="right" w:pos="10080"/>
        </w:tabs>
        <w:rPr>
          <w:rFonts w:ascii="Palatino Linotype" w:hAnsi="Palatino Linotype"/>
        </w:rPr>
      </w:pPr>
    </w:p>
    <w:p w:rsidR="002F1F2A" w:rsidP="003B1DBD" w:rsidRDefault="009E0AA1" w14:paraId="146B22F5" w14:textId="6D28DF87">
      <w:pPr>
        <w:tabs>
          <w:tab w:val="right" w:pos="10080"/>
        </w:tabs>
        <w:jc w:val="both"/>
        <w:rPr>
          <w:rFonts w:ascii="Palatino Linotype" w:hAnsi="Palatino Linotype"/>
          <w:i/>
          <w:iCs/>
        </w:rPr>
      </w:pPr>
      <w:r>
        <w:rPr>
          <w:rFonts w:ascii="Palatino Linotype" w:hAnsi="Palatino Linotype"/>
          <w:i/>
          <w:iCs/>
        </w:rPr>
        <w:t>Table 2</w:t>
      </w:r>
    </w:p>
    <w:p w:rsidR="004C5D97" w:rsidP="003B1DBD" w:rsidRDefault="004C5D97" w14:paraId="18B0CED5" w14:textId="77777777">
      <w:pPr>
        <w:tabs>
          <w:tab w:val="right" w:pos="10080"/>
        </w:tabs>
        <w:jc w:val="both"/>
        <w:rPr>
          <w:rFonts w:ascii="Palatino Linotype" w:hAnsi="Palatino Linotype"/>
          <w:i/>
          <w:iCs/>
        </w:rPr>
      </w:pPr>
    </w:p>
    <w:p w:rsidR="00011ADF" w:rsidP="004C5D97" w:rsidRDefault="004C5D97" w14:paraId="564D71C1" w14:textId="46BCCC1C">
      <w:pPr>
        <w:tabs>
          <w:tab w:val="right" w:pos="10080"/>
        </w:tabs>
        <w:ind w:left="720"/>
        <w:jc w:val="both"/>
        <w:rPr>
          <w:rFonts w:ascii="Palatino Linotype" w:hAnsi="Palatino Linotype"/>
          <w:i/>
          <w:iCs/>
        </w:rPr>
      </w:pPr>
      <w:r w:rsidRPr="004C5D97">
        <w:rPr>
          <w:noProof/>
        </w:rPr>
        <w:drawing>
          <wp:inline distT="0" distB="0" distL="0" distR="0" wp14:anchorId="76B614DB" wp14:editId="4769F3DA">
            <wp:extent cx="4505325" cy="4057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5325" cy="4057650"/>
                    </a:xfrm>
                    <a:prstGeom prst="rect">
                      <a:avLst/>
                    </a:prstGeom>
                    <a:noFill/>
                    <a:ln>
                      <a:noFill/>
                    </a:ln>
                  </pic:spPr>
                </pic:pic>
              </a:graphicData>
            </a:graphic>
          </wp:inline>
        </w:drawing>
      </w:r>
    </w:p>
    <w:p w:rsidR="009E0AA1" w:rsidP="00011ADF" w:rsidRDefault="009E0AA1" w14:paraId="417CFEE1" w14:textId="2895261A">
      <w:pPr>
        <w:tabs>
          <w:tab w:val="right" w:pos="10080"/>
        </w:tabs>
        <w:ind w:left="720"/>
        <w:jc w:val="both"/>
        <w:rPr>
          <w:rFonts w:ascii="Palatino Linotype" w:hAnsi="Palatino Linotype"/>
          <w:i/>
          <w:iCs/>
        </w:rPr>
      </w:pPr>
    </w:p>
    <w:p w:rsidR="009E0AA1" w:rsidP="00574080" w:rsidRDefault="009E0AA1" w14:paraId="181E4023" w14:textId="52BC2250">
      <w:pPr>
        <w:keepNext/>
        <w:tabs>
          <w:tab w:val="right" w:pos="10080"/>
        </w:tabs>
        <w:jc w:val="both"/>
        <w:rPr>
          <w:rFonts w:ascii="Palatino Linotype" w:hAnsi="Palatino Linotype"/>
          <w:b/>
          <w:u w:val="single"/>
        </w:rPr>
      </w:pPr>
    </w:p>
    <w:p w:rsidRPr="00482BB7" w:rsidR="009E0AA1" w:rsidP="004D330F" w:rsidRDefault="009E0AA1" w14:paraId="167D4AE8" w14:textId="350DD59E">
      <w:pPr>
        <w:keepNext/>
        <w:tabs>
          <w:tab w:val="right" w:pos="10080"/>
        </w:tabs>
        <w:rPr>
          <w:rFonts w:ascii="Palatino Linotype" w:hAnsi="Palatino Linotype"/>
          <w:bCs/>
        </w:rPr>
      </w:pPr>
      <w:r>
        <w:rPr>
          <w:rFonts w:ascii="Palatino Linotype" w:hAnsi="Palatino Linotype"/>
          <w:bCs/>
        </w:rPr>
        <w:t>All telecommunications carriers</w:t>
      </w:r>
      <w:r>
        <w:rPr>
          <w:rStyle w:val="FootnoteReference"/>
          <w:rFonts w:ascii="Palatino Linotype" w:hAnsi="Palatino Linotype"/>
          <w:bCs/>
        </w:rPr>
        <w:footnoteReference w:id="6"/>
      </w:r>
      <w:r>
        <w:rPr>
          <w:rFonts w:ascii="Palatino Linotype" w:hAnsi="Palatino Linotype"/>
          <w:bCs/>
        </w:rPr>
        <w:t xml:space="preserve"> and interconnected VoIP service providers</w:t>
      </w:r>
      <w:r>
        <w:rPr>
          <w:rStyle w:val="FootnoteReference"/>
          <w:rFonts w:ascii="Palatino Linotype" w:hAnsi="Palatino Linotype"/>
          <w:bCs/>
        </w:rPr>
        <w:footnoteReference w:id="7"/>
      </w:r>
      <w:r>
        <w:rPr>
          <w:rFonts w:ascii="Palatino Linotype" w:hAnsi="Palatino Linotype"/>
          <w:bCs/>
        </w:rPr>
        <w:t xml:space="preserve"> shall assess a DDTP surcharge rate </w:t>
      </w:r>
      <w:r w:rsidRPr="00E24CF6">
        <w:rPr>
          <w:rFonts w:ascii="Palatino Linotype" w:hAnsi="Palatino Linotype"/>
          <w:bCs/>
        </w:rPr>
        <w:t xml:space="preserve">of </w:t>
      </w:r>
      <w:r w:rsidR="005E36D7">
        <w:rPr>
          <w:rFonts w:ascii="Palatino Linotype" w:hAnsi="Palatino Linotype"/>
          <w:bCs/>
        </w:rPr>
        <w:t>1</w:t>
      </w:r>
      <w:r w:rsidR="00544E60">
        <w:rPr>
          <w:rFonts w:ascii="Palatino Linotype" w:hAnsi="Palatino Linotype"/>
          <w:bCs/>
        </w:rPr>
        <w:t>.11%</w:t>
      </w:r>
      <w:r w:rsidRPr="00482BB7">
        <w:rPr>
          <w:rFonts w:ascii="Palatino Linotype" w:hAnsi="Palatino Linotype"/>
          <w:bCs/>
        </w:rPr>
        <w:t xml:space="preserve"> on their revenues collected from end users for intrastate telecommunications services subject to surcharge effective </w:t>
      </w:r>
      <w:r w:rsidRPr="00482BB7" w:rsidR="00011ADF">
        <w:rPr>
          <w:rFonts w:ascii="Palatino Linotype" w:hAnsi="Palatino Linotype"/>
          <w:bCs/>
        </w:rPr>
        <w:t>January 1, 2022</w:t>
      </w:r>
      <w:r w:rsidRPr="00E24CF6">
        <w:rPr>
          <w:rFonts w:ascii="Palatino Linotype" w:hAnsi="Palatino Linotype"/>
          <w:bCs/>
        </w:rPr>
        <w:t>, until further direct by the Commission.</w:t>
      </w:r>
    </w:p>
    <w:p w:rsidRPr="00482BB7" w:rsidR="004D330F" w:rsidP="004D330F" w:rsidRDefault="004D330F" w14:paraId="345E4C7A" w14:textId="20A8ABBB">
      <w:pPr>
        <w:keepNext/>
        <w:tabs>
          <w:tab w:val="right" w:pos="10080"/>
        </w:tabs>
        <w:rPr>
          <w:rFonts w:ascii="Palatino Linotype" w:hAnsi="Palatino Linotype"/>
          <w:bCs/>
        </w:rPr>
      </w:pPr>
    </w:p>
    <w:p w:rsidRPr="00482BB7" w:rsidR="004D330F" w:rsidP="004D330F" w:rsidRDefault="004D330F" w14:paraId="04084B77" w14:textId="77777777">
      <w:pPr>
        <w:keepNext/>
        <w:tabs>
          <w:tab w:val="right" w:pos="10080"/>
        </w:tabs>
        <w:rPr>
          <w:rFonts w:ascii="Palatino Linotype" w:hAnsi="Palatino Linotype"/>
          <w:bCs/>
        </w:rPr>
      </w:pPr>
    </w:p>
    <w:p w:rsidRPr="00482BB7" w:rsidR="00574080" w:rsidP="00574080" w:rsidRDefault="00574080" w14:paraId="66C20E42" w14:textId="5B8F4718">
      <w:pPr>
        <w:keepNext/>
        <w:tabs>
          <w:tab w:val="right" w:pos="10080"/>
        </w:tabs>
        <w:jc w:val="both"/>
        <w:rPr>
          <w:rFonts w:ascii="Palatino Linotype" w:hAnsi="Palatino Linotype"/>
          <w:b/>
          <w:u w:val="single"/>
        </w:rPr>
      </w:pPr>
      <w:r w:rsidRPr="00482BB7">
        <w:rPr>
          <w:rFonts w:ascii="Palatino Linotype" w:hAnsi="Palatino Linotype"/>
          <w:b/>
          <w:u w:val="single"/>
        </w:rPr>
        <w:t>ADVICE LETTER FILING AND SURCHARGE CHANGES</w:t>
      </w:r>
    </w:p>
    <w:p w:rsidRPr="00482BB7" w:rsidR="00574080" w:rsidP="003B1DBD" w:rsidRDefault="00574080" w14:paraId="171048B5" w14:textId="35D46CD4">
      <w:pPr>
        <w:tabs>
          <w:tab w:val="right" w:pos="10080"/>
        </w:tabs>
        <w:jc w:val="both"/>
        <w:rPr>
          <w:rFonts w:ascii="Palatino Linotype" w:hAnsi="Palatino Linotype"/>
        </w:rPr>
      </w:pPr>
    </w:p>
    <w:p w:rsidRPr="00482BB7" w:rsidR="009516F2" w:rsidP="009516F2" w:rsidRDefault="009516F2" w14:paraId="18D54F43" w14:textId="2C0C6323">
      <w:pPr>
        <w:widowControl w:val="0"/>
        <w:ind w:right="432"/>
        <w:rPr>
          <w:rFonts w:ascii="Palatino Linotype" w:hAnsi="Palatino Linotype"/>
          <w:bCs/>
        </w:rPr>
      </w:pPr>
      <w:r w:rsidRPr="00482BB7">
        <w:rPr>
          <w:rFonts w:ascii="Palatino Linotype" w:hAnsi="Palatino Linotype"/>
          <w:bCs/>
        </w:rPr>
        <w:lastRenderedPageBreak/>
        <w:t xml:space="preserve">Consistent with Resolution T-16901, approved December 2, 2004, AT&amp;T (formerly SBC California) should file an advice letter on or before </w:t>
      </w:r>
      <w:r w:rsidRPr="00482BB7" w:rsidR="00011ADF">
        <w:rPr>
          <w:rFonts w:ascii="Palatino Linotype" w:hAnsi="Palatino Linotype"/>
          <w:bCs/>
        </w:rPr>
        <w:t>December</w:t>
      </w:r>
      <w:r w:rsidRPr="00482BB7" w:rsidR="009037D0">
        <w:rPr>
          <w:rFonts w:ascii="Palatino Linotype" w:hAnsi="Palatino Linotype"/>
          <w:bCs/>
        </w:rPr>
        <w:t xml:space="preserve"> 9, 2021</w:t>
      </w:r>
      <w:r w:rsidRPr="00E24CF6">
        <w:rPr>
          <w:rFonts w:ascii="Palatino Linotype" w:hAnsi="Palatino Linotype"/>
          <w:bCs/>
        </w:rPr>
        <w:t xml:space="preserve">, to modify the </w:t>
      </w:r>
      <w:r w:rsidRPr="00E24CF6" w:rsidR="006022B7">
        <w:rPr>
          <w:rFonts w:ascii="Palatino Linotype" w:hAnsi="Palatino Linotype"/>
          <w:bCs/>
        </w:rPr>
        <w:t>DDTP</w:t>
      </w:r>
      <w:r w:rsidRPr="00482BB7">
        <w:rPr>
          <w:rFonts w:ascii="Palatino Linotype" w:hAnsi="Palatino Linotype"/>
          <w:bCs/>
        </w:rPr>
        <w:t xml:space="preserve"> surcharge rate from 0</w:t>
      </w:r>
      <w:r w:rsidRPr="00482BB7" w:rsidR="00F43261">
        <w:rPr>
          <w:rFonts w:ascii="Palatino Linotype" w:hAnsi="Palatino Linotype"/>
          <w:bCs/>
        </w:rPr>
        <w:t>.50</w:t>
      </w:r>
      <w:r w:rsidRPr="00482BB7">
        <w:rPr>
          <w:rFonts w:ascii="Palatino Linotype" w:hAnsi="Palatino Linotype"/>
          <w:bCs/>
        </w:rPr>
        <w:t xml:space="preserve">% to </w:t>
      </w:r>
      <w:r w:rsidR="005E36D7">
        <w:rPr>
          <w:rFonts w:ascii="Palatino Linotype" w:hAnsi="Palatino Linotype"/>
          <w:bCs/>
        </w:rPr>
        <w:t>1</w:t>
      </w:r>
      <w:r w:rsidR="00544E60">
        <w:rPr>
          <w:rFonts w:ascii="Palatino Linotype" w:hAnsi="Palatino Linotype"/>
          <w:bCs/>
        </w:rPr>
        <w:t>.11%</w:t>
      </w:r>
      <w:r w:rsidRPr="00482BB7">
        <w:rPr>
          <w:rFonts w:ascii="Palatino Linotype" w:hAnsi="Palatino Linotype"/>
          <w:bCs/>
        </w:rPr>
        <w:t xml:space="preserve">, effective </w:t>
      </w:r>
      <w:r w:rsidRPr="008F65B1" w:rsidR="00011ADF">
        <w:rPr>
          <w:rFonts w:ascii="Palatino Linotype" w:hAnsi="Palatino Linotype"/>
          <w:bCs/>
        </w:rPr>
        <w:t>January 1, 2022</w:t>
      </w:r>
      <w:r w:rsidRPr="00E24CF6">
        <w:rPr>
          <w:rFonts w:ascii="Palatino Linotype" w:hAnsi="Palatino Linotype"/>
          <w:bCs/>
        </w:rPr>
        <w:t xml:space="preserve">, until further revised by the Commission.  </w:t>
      </w:r>
      <w:r w:rsidRPr="00482BB7">
        <w:rPr>
          <w:rFonts w:ascii="Palatino Linotype" w:hAnsi="Palatino Linotype"/>
        </w:rPr>
        <w:t xml:space="preserve">Further, all telephone corporations and interconnected VoIP service providers shall revise the </w:t>
      </w:r>
      <w:r w:rsidRPr="00482BB7" w:rsidR="0074772E">
        <w:rPr>
          <w:rFonts w:ascii="Palatino Linotype" w:hAnsi="Palatino Linotype"/>
        </w:rPr>
        <w:t>DDTP</w:t>
      </w:r>
      <w:r w:rsidRPr="00482BB7">
        <w:rPr>
          <w:rFonts w:ascii="Palatino Linotype" w:hAnsi="Palatino Linotype"/>
        </w:rPr>
        <w:t xml:space="preserve"> surcharge rate assessed on revenues collected from end-users for intrastate telecommunications services, subject to surcharge, from 0</w:t>
      </w:r>
      <w:r w:rsidRPr="00482BB7" w:rsidR="00F43261">
        <w:rPr>
          <w:rFonts w:ascii="Palatino Linotype" w:hAnsi="Palatino Linotype"/>
        </w:rPr>
        <w:t>.50</w:t>
      </w:r>
      <w:r w:rsidRPr="00482BB7">
        <w:rPr>
          <w:rFonts w:ascii="Palatino Linotype" w:hAnsi="Palatino Linotype"/>
        </w:rPr>
        <w:t xml:space="preserve">% to </w:t>
      </w:r>
      <w:r w:rsidR="005E36D7">
        <w:rPr>
          <w:rFonts w:ascii="Palatino Linotype" w:hAnsi="Palatino Linotype"/>
        </w:rPr>
        <w:t>1</w:t>
      </w:r>
      <w:r w:rsidR="00544E60">
        <w:rPr>
          <w:rFonts w:ascii="Palatino Linotype" w:hAnsi="Palatino Linotype"/>
        </w:rPr>
        <w:t>.11%</w:t>
      </w:r>
      <w:r w:rsidRPr="00482BB7" w:rsidR="001E2FF7">
        <w:rPr>
          <w:rFonts w:ascii="Palatino Linotype" w:hAnsi="Palatino Linotype"/>
        </w:rPr>
        <w:t xml:space="preserve">. </w:t>
      </w:r>
      <w:r w:rsidRPr="00482BB7">
        <w:rPr>
          <w:rFonts w:ascii="Palatino Linotype" w:hAnsi="Palatino Linotype"/>
          <w:bCs/>
        </w:rPr>
        <w:t>AT&amp;T is not required to inform competing carriers of tariff changes which comply with this resolution.</w:t>
      </w:r>
    </w:p>
    <w:p w:rsidRPr="00482BB7" w:rsidR="00574080" w:rsidP="003B1DBD" w:rsidRDefault="00574080" w14:paraId="7925081B" w14:textId="1CB4FA9B">
      <w:pPr>
        <w:tabs>
          <w:tab w:val="right" w:pos="10080"/>
        </w:tabs>
        <w:jc w:val="both"/>
        <w:rPr>
          <w:rFonts w:ascii="Palatino Linotype" w:hAnsi="Palatino Linotype"/>
        </w:rPr>
      </w:pPr>
    </w:p>
    <w:p w:rsidRPr="00482BB7" w:rsidR="00574080" w:rsidP="00574080" w:rsidRDefault="00574080" w14:paraId="7D82A07A" w14:textId="7FC96C69">
      <w:pPr>
        <w:keepNext/>
        <w:tabs>
          <w:tab w:val="right" w:pos="10080"/>
        </w:tabs>
        <w:jc w:val="both"/>
        <w:rPr>
          <w:rFonts w:ascii="Palatino Linotype" w:hAnsi="Palatino Linotype"/>
          <w:b/>
          <w:u w:val="single"/>
        </w:rPr>
      </w:pPr>
      <w:r w:rsidRPr="00482BB7">
        <w:rPr>
          <w:rFonts w:ascii="Palatino Linotype" w:hAnsi="Palatino Linotype"/>
          <w:b/>
          <w:u w:val="single"/>
        </w:rPr>
        <w:t>SAFETY ISSUES</w:t>
      </w:r>
    </w:p>
    <w:p w:rsidRPr="00482BB7" w:rsidR="00574080" w:rsidP="003B1DBD" w:rsidRDefault="00574080" w14:paraId="65FEDD74" w14:textId="5AE8C6CA">
      <w:pPr>
        <w:tabs>
          <w:tab w:val="right" w:pos="10080"/>
        </w:tabs>
        <w:jc w:val="both"/>
        <w:rPr>
          <w:rFonts w:ascii="Palatino Linotype" w:hAnsi="Palatino Linotype"/>
        </w:rPr>
      </w:pPr>
    </w:p>
    <w:p w:rsidRPr="00482BB7" w:rsidR="000761D9" w:rsidP="000761D9" w:rsidRDefault="000761D9" w14:paraId="3018B649" w14:textId="4D2CAC34">
      <w:pPr>
        <w:pStyle w:val="Default"/>
        <w:rPr>
          <w:rFonts w:ascii="Palatino Linotype" w:hAnsi="Palatino Linotype"/>
        </w:rPr>
      </w:pPr>
      <w:r w:rsidRPr="00482BB7">
        <w:rPr>
          <w:rFonts w:ascii="Palatino Linotype" w:hAnsi="Palatino Linotype"/>
        </w:rPr>
        <w:t xml:space="preserve">The DDTP provides specialized telecommunications equipment </w:t>
      </w:r>
      <w:r w:rsidRPr="00482BB7" w:rsidR="00732539">
        <w:rPr>
          <w:rFonts w:ascii="Palatino Linotype" w:hAnsi="Palatino Linotype"/>
        </w:rPr>
        <w:t xml:space="preserve">through the California Telephone Access Program (CTAP) </w:t>
      </w:r>
      <w:r w:rsidRPr="00482BB7">
        <w:rPr>
          <w:rFonts w:ascii="Palatino Linotype" w:hAnsi="Palatino Linotype"/>
        </w:rPr>
        <w:t xml:space="preserve">and relay services </w:t>
      </w:r>
      <w:r w:rsidRPr="00482BB7" w:rsidR="00732539">
        <w:rPr>
          <w:rFonts w:ascii="Palatino Linotype" w:hAnsi="Palatino Linotype"/>
        </w:rPr>
        <w:t>through the California Relay Service</w:t>
      </w:r>
      <w:r w:rsidRPr="00482BB7">
        <w:rPr>
          <w:rFonts w:ascii="Palatino Linotype" w:hAnsi="Palatino Linotype"/>
        </w:rPr>
        <w:t xml:space="preserve"> </w:t>
      </w:r>
      <w:r w:rsidRPr="00482BB7" w:rsidR="00732539">
        <w:rPr>
          <w:rFonts w:ascii="Palatino Linotype" w:hAnsi="Palatino Linotype"/>
        </w:rPr>
        <w:t>(</w:t>
      </w:r>
      <w:r w:rsidRPr="00482BB7">
        <w:rPr>
          <w:rFonts w:ascii="Palatino Linotype" w:hAnsi="Palatino Linotype"/>
        </w:rPr>
        <w:t>CRS</w:t>
      </w:r>
      <w:r w:rsidRPr="00482BB7" w:rsidR="00732539">
        <w:rPr>
          <w:rFonts w:ascii="Palatino Linotype" w:hAnsi="Palatino Linotype"/>
        </w:rPr>
        <w:t>)</w:t>
      </w:r>
      <w:r w:rsidRPr="00482BB7">
        <w:rPr>
          <w:rFonts w:ascii="Palatino Linotype" w:hAnsi="Palatino Linotype"/>
        </w:rPr>
        <w:t xml:space="preserve">.  Persons who </w:t>
      </w:r>
      <w:r w:rsidRPr="00482BB7" w:rsidR="00721767">
        <w:rPr>
          <w:rFonts w:ascii="Palatino Linotype" w:hAnsi="Palatino Linotype"/>
        </w:rPr>
        <w:t>have difficulty</w:t>
      </w:r>
      <w:r w:rsidRPr="00482BB7">
        <w:rPr>
          <w:rFonts w:ascii="Palatino Linotype" w:hAnsi="Palatino Linotype"/>
        </w:rPr>
        <w:t xml:space="preserve"> using a standard telephone because of difficulty seeing, hearing, speaking, moving, or remembering can obtain specialized devices through CTAP.  </w:t>
      </w:r>
      <w:r w:rsidRPr="00482BB7" w:rsidR="00AE043C">
        <w:rPr>
          <w:rFonts w:ascii="Palatino Linotype" w:hAnsi="Palatino Linotype"/>
        </w:rPr>
        <w:t xml:space="preserve">CRS is a service where a trained third-party operator relays a call from a person with a disability to the individual or </w:t>
      </w:r>
      <w:r w:rsidRPr="00482BB7" w:rsidR="00482BB7">
        <w:rPr>
          <w:rFonts w:ascii="Palatino Linotype" w:hAnsi="Palatino Linotype"/>
        </w:rPr>
        <w:t>entity,</w:t>
      </w:r>
      <w:r w:rsidRPr="00482BB7" w:rsidR="00AE043C">
        <w:rPr>
          <w:rFonts w:ascii="Palatino Linotype" w:hAnsi="Palatino Linotype"/>
        </w:rPr>
        <w:t xml:space="preserve"> he/she is calling.</w:t>
      </w:r>
    </w:p>
    <w:p w:rsidRPr="00482BB7" w:rsidR="000761D9" w:rsidP="000761D9" w:rsidRDefault="000761D9" w14:paraId="3F15D3FA" w14:textId="77777777">
      <w:pPr>
        <w:pStyle w:val="Default"/>
        <w:rPr>
          <w:rFonts w:ascii="Palatino Linotype" w:hAnsi="Palatino Linotype"/>
        </w:rPr>
      </w:pPr>
    </w:p>
    <w:p w:rsidRPr="00482BB7" w:rsidR="000761D9" w:rsidP="000761D9" w:rsidRDefault="000761D9" w14:paraId="43720645" w14:textId="13EC09E5">
      <w:pPr>
        <w:pStyle w:val="Default"/>
        <w:rPr>
          <w:rFonts w:ascii="Palatino Linotype" w:hAnsi="Palatino Linotype"/>
        </w:rPr>
      </w:pPr>
      <w:r w:rsidRPr="00482BB7">
        <w:rPr>
          <w:rFonts w:ascii="Palatino Linotype" w:hAnsi="Palatino Linotype"/>
        </w:rPr>
        <w:t xml:space="preserve">Access to CTAP equipment provides persons with disabilities access to 911 and emergency services in the event of an emergency.  Without these specialized devices, these individuals may have no other means to access 911 and emergency services, or to make medical and other safety-impacting calls, since they are unable to use a standard telephone.  Additionally, CRS provides access to the relay service for persons who </w:t>
      </w:r>
      <w:r w:rsidR="006E609C">
        <w:rPr>
          <w:rFonts w:ascii="Palatino Linotype" w:hAnsi="Palatino Linotype"/>
        </w:rPr>
        <w:t xml:space="preserve">are </w:t>
      </w:r>
      <w:r w:rsidRPr="00482BB7">
        <w:rPr>
          <w:rFonts w:ascii="Palatino Linotype" w:hAnsi="Palatino Linotype"/>
        </w:rPr>
        <w:t>deaf, hearing</w:t>
      </w:r>
      <w:r w:rsidRPr="00482BB7" w:rsidR="00194D8C">
        <w:rPr>
          <w:rFonts w:ascii="Palatino Linotype" w:hAnsi="Palatino Linotype"/>
        </w:rPr>
        <w:t>-of-hearing</w:t>
      </w:r>
      <w:r w:rsidRPr="00482BB7">
        <w:rPr>
          <w:rFonts w:ascii="Palatino Linotype" w:hAnsi="Palatino Linotype"/>
        </w:rPr>
        <w:t>, or speech-disabled to enable them to make medical and other safety-impacting calls, and to stay connected to family and friends.</w:t>
      </w:r>
    </w:p>
    <w:p w:rsidRPr="00482BB7" w:rsidR="00CA551A" w:rsidP="00CA551A" w:rsidRDefault="00CA551A" w14:paraId="1BDBEF8D" w14:textId="3425FAF1">
      <w:pPr>
        <w:pStyle w:val="Default"/>
        <w:rPr>
          <w:rFonts w:ascii="Palatino Linotype" w:hAnsi="Palatino Linotype"/>
          <w:bCs/>
        </w:rPr>
      </w:pPr>
    </w:p>
    <w:p w:rsidRPr="00482BB7" w:rsidR="003B1DBD" w:rsidP="00426552" w:rsidRDefault="003B1DBD" w14:paraId="227CEE9F" w14:textId="77777777">
      <w:pPr>
        <w:keepNext/>
        <w:tabs>
          <w:tab w:val="right" w:pos="10080"/>
        </w:tabs>
        <w:jc w:val="both"/>
        <w:rPr>
          <w:rFonts w:ascii="Palatino Linotype" w:hAnsi="Palatino Linotype"/>
          <w:b/>
          <w:u w:val="single"/>
        </w:rPr>
      </w:pPr>
      <w:r w:rsidRPr="00482BB7">
        <w:rPr>
          <w:rFonts w:ascii="Palatino Linotype" w:hAnsi="Palatino Linotype"/>
          <w:b/>
          <w:u w:val="single"/>
        </w:rPr>
        <w:t>COMMENTS</w:t>
      </w:r>
    </w:p>
    <w:p w:rsidRPr="00482BB7" w:rsidR="003B1DBD" w:rsidP="00426552" w:rsidRDefault="003B1DBD" w14:paraId="2DDB0542" w14:textId="77777777">
      <w:pPr>
        <w:keepNext/>
        <w:tabs>
          <w:tab w:val="right" w:pos="10080"/>
        </w:tabs>
        <w:jc w:val="both"/>
        <w:rPr>
          <w:rFonts w:ascii="Palatino Linotype" w:hAnsi="Palatino Linotype"/>
          <w:sz w:val="20"/>
        </w:rPr>
      </w:pPr>
    </w:p>
    <w:p w:rsidRPr="00482BB7" w:rsidR="00204CB5" w:rsidP="00961771" w:rsidRDefault="00E67713" w14:paraId="0FDEC4A3" w14:textId="0C220265">
      <w:pPr>
        <w:keepNext/>
        <w:tabs>
          <w:tab w:val="right" w:pos="10080"/>
        </w:tabs>
        <w:rPr>
          <w:rFonts w:ascii="Palatino Linotype" w:hAnsi="Palatino Linotype"/>
        </w:rPr>
      </w:pPr>
      <w:r w:rsidRPr="00E24CF6">
        <w:rPr>
          <w:rFonts w:ascii="Palatino Linotype" w:hAnsi="Palatino Linotype"/>
        </w:rPr>
        <w:t xml:space="preserve">Pursuant to </w:t>
      </w:r>
      <w:r w:rsidRPr="00E24CF6" w:rsidR="003B1DBD">
        <w:rPr>
          <w:rFonts w:ascii="Palatino Linotype" w:hAnsi="Palatino Linotype"/>
        </w:rPr>
        <w:t>Public Utilities Code section 311(g)(1)</w:t>
      </w:r>
      <w:r w:rsidRPr="00482BB7">
        <w:rPr>
          <w:rFonts w:ascii="Palatino Linotype" w:hAnsi="Palatino Linotype"/>
        </w:rPr>
        <w:t xml:space="preserve">, </w:t>
      </w:r>
      <w:r w:rsidRPr="00482BB7" w:rsidR="00135B95">
        <w:rPr>
          <w:rFonts w:ascii="Palatino Linotype" w:hAnsi="Palatino Linotype"/>
        </w:rPr>
        <w:t>this</w:t>
      </w:r>
      <w:r w:rsidRPr="00482BB7" w:rsidR="003B1DBD">
        <w:rPr>
          <w:rFonts w:ascii="Palatino Linotype" w:hAnsi="Palatino Linotype"/>
        </w:rPr>
        <w:t xml:space="preserve"> draft resolution </w:t>
      </w:r>
      <w:r w:rsidRPr="00482BB7">
        <w:rPr>
          <w:rFonts w:ascii="Palatino Linotype" w:hAnsi="Palatino Linotype"/>
        </w:rPr>
        <w:t xml:space="preserve">was served on </w:t>
      </w:r>
      <w:r w:rsidRPr="00482BB7" w:rsidR="00E96A23">
        <w:rPr>
          <w:rFonts w:ascii="Palatino Linotype" w:hAnsi="Palatino Linotype"/>
        </w:rPr>
        <w:t>October 15</w:t>
      </w:r>
      <w:r w:rsidRPr="00482BB7" w:rsidR="00314A0C">
        <w:rPr>
          <w:rFonts w:ascii="Palatino Linotype" w:hAnsi="Palatino Linotype"/>
        </w:rPr>
        <w:t>, 2021</w:t>
      </w:r>
      <w:r w:rsidRPr="00482BB7">
        <w:rPr>
          <w:rFonts w:ascii="Palatino Linotype" w:hAnsi="Palatino Linotype"/>
        </w:rPr>
        <w:t xml:space="preserve"> to</w:t>
      </w:r>
      <w:r w:rsidRPr="00482BB7" w:rsidR="003B1DBD">
        <w:rPr>
          <w:rFonts w:ascii="Palatino Linotype" w:hAnsi="Palatino Linotype"/>
        </w:rPr>
        <w:t xml:space="preserve"> all </w:t>
      </w:r>
      <w:r w:rsidRPr="00482BB7" w:rsidR="001E2FF7">
        <w:rPr>
          <w:rFonts w:ascii="Palatino Linotype" w:hAnsi="Palatino Linotype"/>
        </w:rPr>
        <w:t xml:space="preserve">parties </w:t>
      </w:r>
      <w:r w:rsidRPr="00482BB7">
        <w:rPr>
          <w:rFonts w:ascii="Palatino Linotype" w:hAnsi="Palatino Linotype"/>
        </w:rPr>
        <w:t xml:space="preserve">on the service list for R. </w:t>
      </w:r>
      <w:r w:rsidRPr="00482BB7" w:rsidR="000D7D31">
        <w:rPr>
          <w:rFonts w:ascii="Palatino Linotype" w:hAnsi="Palatino Linotype"/>
        </w:rPr>
        <w:t>00-05-001, R.03-03-014, and R. 13-03-008</w:t>
      </w:r>
      <w:r w:rsidRPr="00FD762A" w:rsidR="00442E00">
        <w:rPr>
          <w:rFonts w:ascii="Palatino Linotype" w:hAnsi="Palatino Linotype"/>
        </w:rPr>
        <w:t>,</w:t>
      </w:r>
      <w:r w:rsidRPr="00FD762A">
        <w:rPr>
          <w:rFonts w:ascii="Palatino Linotype" w:hAnsi="Palatino Linotype"/>
        </w:rPr>
        <w:t xml:space="preserve"> </w:t>
      </w:r>
      <w:r w:rsidRPr="00FD762A" w:rsidR="00442E00">
        <w:rPr>
          <w:rFonts w:ascii="Palatino Linotype" w:hAnsi="Palatino Linotype"/>
        </w:rPr>
        <w:t>the Telecommunications Access for the Deaf and Disabled Administrative Committee (TADDAC) members, the Equipment Program Advisory Committee (EPAC) members, the DDTP Administrative Contractor</w:t>
      </w:r>
      <w:r w:rsidR="00036A37">
        <w:rPr>
          <w:rFonts w:ascii="Palatino Linotype" w:hAnsi="Palatino Linotype"/>
        </w:rPr>
        <w:t xml:space="preserve"> </w:t>
      </w:r>
      <w:bookmarkStart w:name="_Hlk85109855" w:id="0"/>
      <w:r w:rsidR="00036A37">
        <w:rPr>
          <w:rFonts w:ascii="Palatino Linotype" w:hAnsi="Palatino Linotype"/>
        </w:rPr>
        <w:t>and all registered communications service providers</w:t>
      </w:r>
      <w:bookmarkEnd w:id="0"/>
      <w:r w:rsidRPr="00FD762A" w:rsidR="00442E00">
        <w:rPr>
          <w:rFonts w:ascii="Palatino Linotype" w:hAnsi="Palatino Linotype"/>
        </w:rPr>
        <w:t xml:space="preserve">, </w:t>
      </w:r>
      <w:r w:rsidRPr="008F65B1" w:rsidR="00F36F47">
        <w:rPr>
          <w:rFonts w:ascii="Palatino Linotype" w:hAnsi="Palatino Linotype"/>
        </w:rPr>
        <w:t xml:space="preserve">and was subject to a public review and comment period of </w:t>
      </w:r>
      <w:r w:rsidRPr="008F65B1" w:rsidR="00314A0C">
        <w:rPr>
          <w:rFonts w:ascii="Palatino Linotype" w:hAnsi="Palatino Linotype"/>
        </w:rPr>
        <w:t>20</w:t>
      </w:r>
      <w:r w:rsidRPr="008F65B1" w:rsidR="00F36F47">
        <w:rPr>
          <w:rFonts w:ascii="Palatino Linotype" w:hAnsi="Palatino Linotype"/>
        </w:rPr>
        <w:t xml:space="preserve"> days or more</w:t>
      </w:r>
      <w:r w:rsidRPr="00E24CF6" w:rsidR="00F36F47">
        <w:rPr>
          <w:rFonts w:ascii="Palatino Linotype" w:hAnsi="Palatino Linotype"/>
        </w:rPr>
        <w:t xml:space="preserve">, prior to a vote of the Commission on the resolution. </w:t>
      </w:r>
    </w:p>
    <w:p w:rsidRPr="00482BB7" w:rsidR="00204CB5" w:rsidP="00961771" w:rsidRDefault="00204CB5" w14:paraId="228161AA" w14:textId="77777777">
      <w:pPr>
        <w:keepNext/>
        <w:tabs>
          <w:tab w:val="right" w:pos="10080"/>
        </w:tabs>
        <w:rPr>
          <w:rFonts w:ascii="Palatino Linotype" w:hAnsi="Palatino Linotype"/>
        </w:rPr>
      </w:pPr>
    </w:p>
    <w:p w:rsidRPr="00482BB7" w:rsidR="003B1DBD" w:rsidP="00426552" w:rsidRDefault="003B1DBD" w14:paraId="47785B7D" w14:textId="4B36613B">
      <w:pPr>
        <w:keepNext/>
        <w:tabs>
          <w:tab w:val="right" w:pos="10080"/>
        </w:tabs>
        <w:jc w:val="both"/>
        <w:rPr>
          <w:rFonts w:ascii="Palatino Linotype" w:hAnsi="Palatino Linotype"/>
          <w:b/>
          <w:u w:val="single"/>
        </w:rPr>
      </w:pPr>
      <w:r w:rsidRPr="00482BB7">
        <w:rPr>
          <w:rFonts w:ascii="Palatino Linotype" w:hAnsi="Palatino Linotype"/>
          <w:b/>
          <w:u w:val="single"/>
        </w:rPr>
        <w:t>FINDINGS</w:t>
      </w:r>
    </w:p>
    <w:p w:rsidRPr="00482BB7" w:rsidR="003B1DBD" w:rsidP="00426552" w:rsidRDefault="003B1DBD" w14:paraId="6F5A9CFB" w14:textId="77777777">
      <w:pPr>
        <w:keepNext/>
        <w:jc w:val="both"/>
        <w:rPr>
          <w:rFonts w:ascii="Palatino Linotype" w:hAnsi="Palatino Linotype"/>
          <w:u w:val="single"/>
        </w:rPr>
      </w:pPr>
    </w:p>
    <w:p w:rsidRPr="00482BB7" w:rsidR="00E52976" w:rsidP="001A2A63" w:rsidRDefault="00E52976" w14:paraId="732E3914" w14:textId="77777777">
      <w:pPr>
        <w:numPr>
          <w:ilvl w:val="0"/>
          <w:numId w:val="1"/>
        </w:numPr>
        <w:tabs>
          <w:tab w:val="clear" w:pos="240"/>
        </w:tabs>
        <w:spacing w:after="120"/>
        <w:ind w:left="360" w:hanging="360"/>
        <w:rPr>
          <w:rFonts w:ascii="Palatino Linotype" w:hAnsi="Palatino Linotype"/>
          <w:szCs w:val="20"/>
        </w:rPr>
      </w:pPr>
      <w:r w:rsidRPr="00482BB7">
        <w:rPr>
          <w:rFonts w:ascii="Palatino Linotype" w:hAnsi="Palatino Linotype"/>
          <w:szCs w:val="20"/>
        </w:rPr>
        <w:t xml:space="preserve">In October 1999, PU Code §§ 270-281 were codified </w:t>
      </w:r>
      <w:proofErr w:type="gramStart"/>
      <w:r w:rsidRPr="00482BB7">
        <w:rPr>
          <w:rFonts w:ascii="Palatino Linotype" w:hAnsi="Palatino Linotype"/>
          <w:szCs w:val="20"/>
        </w:rPr>
        <w:t>as a result of</w:t>
      </w:r>
      <w:proofErr w:type="gramEnd"/>
      <w:r w:rsidRPr="00482BB7">
        <w:rPr>
          <w:rFonts w:ascii="Palatino Linotype" w:hAnsi="Palatino Linotype"/>
          <w:szCs w:val="20"/>
        </w:rPr>
        <w:t xml:space="preserve"> the enactment of Senate Bill 669.</w:t>
      </w:r>
    </w:p>
    <w:p w:rsidRPr="00482BB7" w:rsidR="0038632E" w:rsidP="001A2A63" w:rsidRDefault="0038632E" w14:paraId="54160F34" w14:textId="349A745A">
      <w:pPr>
        <w:numPr>
          <w:ilvl w:val="0"/>
          <w:numId w:val="1"/>
        </w:numPr>
        <w:tabs>
          <w:tab w:val="clear" w:pos="240"/>
        </w:tabs>
        <w:spacing w:after="120"/>
        <w:ind w:left="360" w:hanging="360"/>
        <w:rPr>
          <w:rFonts w:ascii="Palatino Linotype" w:hAnsi="Palatino Linotype"/>
          <w:szCs w:val="20"/>
        </w:rPr>
      </w:pPr>
      <w:r w:rsidRPr="00482BB7">
        <w:rPr>
          <w:rFonts w:ascii="Palatino Linotype" w:hAnsi="Palatino Linotype"/>
          <w:szCs w:val="20"/>
        </w:rPr>
        <w:lastRenderedPageBreak/>
        <w:t xml:space="preserve">PU Code § 270(b) requires that </w:t>
      </w:r>
      <w:r w:rsidR="005E36D7">
        <w:rPr>
          <w:rFonts w:ascii="Palatino Linotype" w:hAnsi="Palatino Linotype"/>
          <w:szCs w:val="20"/>
        </w:rPr>
        <w:t>funds</w:t>
      </w:r>
      <w:r w:rsidRPr="00482BB7" w:rsidR="005E36D7">
        <w:rPr>
          <w:rFonts w:ascii="Palatino Linotype" w:hAnsi="Palatino Linotype"/>
          <w:szCs w:val="20"/>
        </w:rPr>
        <w:t xml:space="preserve"> </w:t>
      </w:r>
      <w:r w:rsidRPr="00482BB7">
        <w:rPr>
          <w:rFonts w:ascii="Palatino Linotype" w:hAnsi="Palatino Linotype"/>
          <w:szCs w:val="20"/>
        </w:rPr>
        <w:t xml:space="preserve">in </w:t>
      </w:r>
      <w:r w:rsidRPr="00482BB7" w:rsidR="005E36D7">
        <w:rPr>
          <w:rFonts w:ascii="Palatino Linotype" w:hAnsi="Palatino Linotype"/>
          <w:szCs w:val="20"/>
        </w:rPr>
        <w:t xml:space="preserve">the </w:t>
      </w:r>
      <w:r w:rsidR="005E36D7">
        <w:rPr>
          <w:rFonts w:ascii="Palatino Linotype" w:hAnsi="Palatino Linotype"/>
          <w:szCs w:val="20"/>
        </w:rPr>
        <w:t>Deaf and Disabled Telecommunications Program (</w:t>
      </w:r>
      <w:r w:rsidRPr="00482BB7">
        <w:rPr>
          <w:rFonts w:ascii="Palatino Linotype" w:hAnsi="Palatino Linotype"/>
          <w:szCs w:val="20"/>
        </w:rPr>
        <w:t>DDTP</w:t>
      </w:r>
      <w:r w:rsidR="005E36D7">
        <w:rPr>
          <w:rFonts w:ascii="Palatino Linotype" w:hAnsi="Palatino Linotype"/>
          <w:szCs w:val="20"/>
        </w:rPr>
        <w:t>)</w:t>
      </w:r>
      <w:r w:rsidRPr="00482BB7">
        <w:rPr>
          <w:rFonts w:ascii="Palatino Linotype" w:hAnsi="Palatino Linotype"/>
          <w:szCs w:val="20"/>
        </w:rPr>
        <w:t xml:space="preserve"> may only be expended pursuant to PU Code §§ 270-281 and upon appropriation in the annual State Budget Act.</w:t>
      </w:r>
    </w:p>
    <w:p w:rsidRPr="00482BB7" w:rsidR="003A6E6E" w:rsidP="001A2A63" w:rsidRDefault="00181B5C" w14:paraId="73DF175F" w14:textId="4F766B44">
      <w:pPr>
        <w:numPr>
          <w:ilvl w:val="0"/>
          <w:numId w:val="1"/>
        </w:numPr>
        <w:tabs>
          <w:tab w:val="clear" w:pos="240"/>
        </w:tabs>
        <w:spacing w:after="120"/>
        <w:ind w:left="360" w:hanging="360"/>
        <w:rPr>
          <w:rFonts w:ascii="Palatino Linotype" w:hAnsi="Palatino Linotype"/>
          <w:szCs w:val="20"/>
        </w:rPr>
      </w:pPr>
      <w:r w:rsidRPr="00482BB7">
        <w:rPr>
          <w:rFonts w:ascii="Palatino Linotype" w:hAnsi="Palatino Linotype"/>
          <w:szCs w:val="20"/>
        </w:rPr>
        <w:t>The Governor’s Budget for DDTP for FY 2021/22 is $67,</w:t>
      </w:r>
      <w:r w:rsidRPr="00482BB7" w:rsidR="00011ADF">
        <w:rPr>
          <w:rFonts w:ascii="Palatino Linotype" w:hAnsi="Palatino Linotype"/>
          <w:szCs w:val="20"/>
        </w:rPr>
        <w:t>123</w:t>
      </w:r>
      <w:r w:rsidRPr="00482BB7">
        <w:rPr>
          <w:rFonts w:ascii="Palatino Linotype" w:hAnsi="Palatino Linotype"/>
          <w:szCs w:val="20"/>
        </w:rPr>
        <w:t>,000 which consists of $64.</w:t>
      </w:r>
      <w:r w:rsidRPr="00482BB7" w:rsidR="00011ADF">
        <w:rPr>
          <w:rFonts w:ascii="Palatino Linotype" w:hAnsi="Palatino Linotype"/>
          <w:szCs w:val="20"/>
        </w:rPr>
        <w:t>426</w:t>
      </w:r>
      <w:r w:rsidRPr="00482BB7">
        <w:rPr>
          <w:rFonts w:ascii="Palatino Linotype" w:hAnsi="Palatino Linotype"/>
          <w:szCs w:val="20"/>
        </w:rPr>
        <w:t xml:space="preserve"> million in State Operations, $210,000 for Local Assistance, $552,000 for California State Library, $33,000 for Supplemental Pension Payments and $</w:t>
      </w:r>
      <w:r w:rsidRPr="00FD762A" w:rsidR="00011ADF">
        <w:rPr>
          <w:rFonts w:ascii="Palatino Linotype" w:hAnsi="Palatino Linotype"/>
          <w:szCs w:val="20"/>
        </w:rPr>
        <w:t>1,9</w:t>
      </w:r>
      <w:r w:rsidRPr="00482BB7" w:rsidR="00011ADF">
        <w:rPr>
          <w:rFonts w:ascii="Palatino Linotype" w:hAnsi="Palatino Linotype"/>
          <w:szCs w:val="20"/>
        </w:rPr>
        <w:t>02</w:t>
      </w:r>
      <w:r w:rsidRPr="00482BB7">
        <w:rPr>
          <w:rFonts w:ascii="Palatino Linotype" w:hAnsi="Palatino Linotype"/>
          <w:szCs w:val="20"/>
        </w:rPr>
        <w:t xml:space="preserve"> million for General Administrative Expenditures (aka Pro Rata).  </w:t>
      </w:r>
    </w:p>
    <w:p w:rsidRPr="00482BB7" w:rsidR="000C1D20" w:rsidP="001A2A63" w:rsidRDefault="00496608" w14:paraId="691C6FCA" w14:textId="3FEDC485">
      <w:pPr>
        <w:numPr>
          <w:ilvl w:val="0"/>
          <w:numId w:val="1"/>
        </w:numPr>
        <w:tabs>
          <w:tab w:val="clear" w:pos="240"/>
        </w:tabs>
        <w:spacing w:after="120"/>
        <w:ind w:left="360" w:hanging="360"/>
        <w:rPr>
          <w:rFonts w:ascii="Palatino Linotype" w:hAnsi="Palatino Linotype"/>
          <w:szCs w:val="20"/>
        </w:rPr>
      </w:pPr>
      <w:r w:rsidRPr="00482BB7">
        <w:rPr>
          <w:rFonts w:ascii="Palatino Linotype" w:hAnsi="Palatino Linotype"/>
          <w:szCs w:val="20"/>
        </w:rPr>
        <w:t xml:space="preserve">PU Code § 270(b) requires that </w:t>
      </w:r>
      <w:r w:rsidR="00F63498">
        <w:rPr>
          <w:rFonts w:ascii="Palatino Linotype" w:hAnsi="Palatino Linotype"/>
          <w:szCs w:val="20"/>
        </w:rPr>
        <w:t>all</w:t>
      </w:r>
      <w:r w:rsidRPr="00482BB7">
        <w:rPr>
          <w:rFonts w:ascii="Palatino Linotype" w:hAnsi="Palatino Linotype"/>
        </w:rPr>
        <w:t xml:space="preserve"> public purpose program</w:t>
      </w:r>
      <w:r w:rsidR="00F63498">
        <w:rPr>
          <w:rFonts w:ascii="Palatino Linotype" w:hAnsi="Palatino Linotype"/>
        </w:rPr>
        <w:t xml:space="preserve"> </w:t>
      </w:r>
      <w:r w:rsidRPr="00482BB7" w:rsidR="00F63498">
        <w:rPr>
          <w:rFonts w:ascii="Palatino Linotype" w:hAnsi="Palatino Linotype"/>
        </w:rPr>
        <w:t>funds</w:t>
      </w:r>
      <w:r w:rsidR="00F63498">
        <w:rPr>
          <w:rFonts w:ascii="Palatino Linotype" w:hAnsi="Palatino Linotype"/>
        </w:rPr>
        <w:t xml:space="preserve"> including </w:t>
      </w:r>
      <w:r w:rsidRPr="00482BB7" w:rsidR="00F63498">
        <w:rPr>
          <w:rFonts w:ascii="Palatino Linotype" w:hAnsi="Palatino Linotype"/>
        </w:rPr>
        <w:t xml:space="preserve">DDTP </w:t>
      </w:r>
      <w:r w:rsidRPr="00482BB7">
        <w:rPr>
          <w:rFonts w:ascii="Palatino Linotype" w:hAnsi="Palatino Linotype"/>
        </w:rPr>
        <w:t>be expended pursuant to §§ 270-281 and upon appropriation in the annual State Budget Act.</w:t>
      </w:r>
    </w:p>
    <w:p w:rsidRPr="00966BBE" w:rsidR="000C1D20" w:rsidP="001A2A63" w:rsidRDefault="00496608" w14:paraId="4C9D9621" w14:textId="7AAA11F7">
      <w:pPr>
        <w:numPr>
          <w:ilvl w:val="0"/>
          <w:numId w:val="1"/>
        </w:numPr>
        <w:tabs>
          <w:tab w:val="clear" w:pos="240"/>
        </w:tabs>
        <w:spacing w:after="120"/>
        <w:ind w:left="360" w:hanging="360"/>
        <w:rPr>
          <w:rFonts w:ascii="Palatino Linotype" w:hAnsi="Palatino Linotype"/>
          <w:szCs w:val="20"/>
        </w:rPr>
      </w:pPr>
      <w:r w:rsidRPr="00482BB7">
        <w:rPr>
          <w:rFonts w:ascii="Palatino Linotype" w:hAnsi="Palatino Linotype"/>
        </w:rPr>
        <w:t xml:space="preserve">In Resolution </w:t>
      </w:r>
      <w:r w:rsidRPr="00482BB7" w:rsidR="00526F25">
        <w:rPr>
          <w:rFonts w:ascii="Palatino Linotype" w:hAnsi="Palatino Linotype"/>
        </w:rPr>
        <w:t>T-1745</w:t>
      </w:r>
      <w:r w:rsidRPr="00482BB7" w:rsidR="000C3C18">
        <w:rPr>
          <w:rFonts w:ascii="Palatino Linotype" w:hAnsi="Palatino Linotype"/>
        </w:rPr>
        <w:t>8</w:t>
      </w:r>
      <w:r w:rsidRPr="00482BB7">
        <w:rPr>
          <w:rFonts w:ascii="Palatino Linotype" w:hAnsi="Palatino Linotype"/>
        </w:rPr>
        <w:t xml:space="preserve">, the Commission authorized a </w:t>
      </w:r>
      <w:r w:rsidRPr="00482BB7" w:rsidR="0074772E">
        <w:rPr>
          <w:rFonts w:ascii="Palatino Linotype" w:hAnsi="Palatino Linotype"/>
        </w:rPr>
        <w:t>DDTP</w:t>
      </w:r>
      <w:r w:rsidRPr="00482BB7">
        <w:rPr>
          <w:rFonts w:ascii="Palatino Linotype" w:hAnsi="Palatino Linotype"/>
        </w:rPr>
        <w:t xml:space="preserve"> program surcharge rate of 0</w:t>
      </w:r>
      <w:r w:rsidRPr="00482BB7" w:rsidR="00F43261">
        <w:rPr>
          <w:rFonts w:ascii="Palatino Linotype" w:hAnsi="Palatino Linotype"/>
        </w:rPr>
        <w:t>.50</w:t>
      </w:r>
      <w:r w:rsidRPr="00482BB7">
        <w:rPr>
          <w:rFonts w:ascii="Palatino Linotype" w:hAnsi="Palatino Linotype"/>
        </w:rPr>
        <w:t xml:space="preserve">% effective </w:t>
      </w:r>
      <w:r w:rsidRPr="00482BB7" w:rsidR="001A728D">
        <w:rPr>
          <w:rFonts w:ascii="Palatino Linotype" w:hAnsi="Palatino Linotype"/>
        </w:rPr>
        <w:t>February</w:t>
      </w:r>
      <w:r w:rsidRPr="00482BB7" w:rsidR="00526F25">
        <w:rPr>
          <w:rFonts w:ascii="Palatino Linotype" w:hAnsi="Palatino Linotype"/>
        </w:rPr>
        <w:t xml:space="preserve"> 1, 2015</w:t>
      </w:r>
      <w:r w:rsidRPr="00482BB7">
        <w:rPr>
          <w:rFonts w:ascii="Palatino Linotype" w:hAnsi="Palatino Linotype"/>
        </w:rPr>
        <w:t>.</w:t>
      </w:r>
    </w:p>
    <w:p w:rsidRPr="00482BB7" w:rsidR="00966BBE" w:rsidP="001A2A63" w:rsidRDefault="00966BBE" w14:paraId="69801D13" w14:textId="05B6FA08">
      <w:pPr>
        <w:numPr>
          <w:ilvl w:val="0"/>
          <w:numId w:val="1"/>
        </w:numPr>
        <w:tabs>
          <w:tab w:val="clear" w:pos="240"/>
        </w:tabs>
        <w:spacing w:after="120"/>
        <w:ind w:left="360" w:hanging="360"/>
        <w:rPr>
          <w:rFonts w:ascii="Palatino Linotype" w:hAnsi="Palatino Linotype"/>
          <w:szCs w:val="20"/>
        </w:rPr>
      </w:pPr>
      <w:r>
        <w:rPr>
          <w:rFonts w:ascii="Palatino Linotype" w:hAnsi="Palatino Linotype"/>
        </w:rPr>
        <w:t>AB 14 (Aguiar Curry) removed the statutory 0.50% cap on the DDTP surcharge</w:t>
      </w:r>
      <w:r w:rsidR="00905137">
        <w:rPr>
          <w:rFonts w:ascii="Palatino Linotype" w:hAnsi="Palatino Linotype"/>
        </w:rPr>
        <w:t>.</w:t>
      </w:r>
    </w:p>
    <w:p w:rsidRPr="00482BB7" w:rsidR="000C1D20" w:rsidP="001A2A63" w:rsidRDefault="00496608" w14:paraId="6DED93CD" w14:textId="5D5A5A03">
      <w:pPr>
        <w:numPr>
          <w:ilvl w:val="0"/>
          <w:numId w:val="1"/>
        </w:numPr>
        <w:tabs>
          <w:tab w:val="clear" w:pos="240"/>
        </w:tabs>
        <w:spacing w:after="120"/>
        <w:ind w:left="360" w:hanging="360"/>
        <w:rPr>
          <w:rFonts w:ascii="Palatino Linotype" w:hAnsi="Palatino Linotype"/>
          <w:szCs w:val="20"/>
        </w:rPr>
      </w:pPr>
      <w:r w:rsidRPr="00482BB7">
        <w:rPr>
          <w:rFonts w:ascii="Palatino Linotype" w:hAnsi="Palatino Linotype"/>
        </w:rPr>
        <w:t xml:space="preserve">If the </w:t>
      </w:r>
      <w:r w:rsidRPr="00482BB7" w:rsidR="0074772E">
        <w:rPr>
          <w:rFonts w:ascii="Palatino Linotype" w:hAnsi="Palatino Linotype"/>
        </w:rPr>
        <w:t>DDTP</w:t>
      </w:r>
      <w:r w:rsidRPr="00482BB7">
        <w:rPr>
          <w:rFonts w:ascii="Palatino Linotype" w:hAnsi="Palatino Linotype"/>
        </w:rPr>
        <w:t xml:space="preserve"> surcharge rate remains at 0</w:t>
      </w:r>
      <w:r w:rsidRPr="00482BB7" w:rsidR="00F43261">
        <w:rPr>
          <w:rFonts w:ascii="Palatino Linotype" w:hAnsi="Palatino Linotype"/>
        </w:rPr>
        <w:t>.50</w:t>
      </w:r>
      <w:r w:rsidRPr="00482BB7">
        <w:rPr>
          <w:rFonts w:ascii="Palatino Linotype" w:hAnsi="Palatino Linotype"/>
        </w:rPr>
        <w:t>%, the fund balance would be depleted b</w:t>
      </w:r>
      <w:r w:rsidRPr="00482BB7" w:rsidR="00526F25">
        <w:rPr>
          <w:rFonts w:ascii="Palatino Linotype" w:hAnsi="Palatino Linotype"/>
        </w:rPr>
        <w:t>efore the end of Fiscal Year 202</w:t>
      </w:r>
      <w:r w:rsidRPr="00482BB7" w:rsidR="005A6E99">
        <w:rPr>
          <w:rFonts w:ascii="Palatino Linotype" w:hAnsi="Palatino Linotype"/>
        </w:rPr>
        <w:t>1</w:t>
      </w:r>
      <w:r w:rsidRPr="00482BB7" w:rsidR="00526F25">
        <w:rPr>
          <w:rFonts w:ascii="Palatino Linotype" w:hAnsi="Palatino Linotype"/>
        </w:rPr>
        <w:t>-202</w:t>
      </w:r>
      <w:r w:rsidRPr="00482BB7" w:rsidR="005A6E99">
        <w:rPr>
          <w:rFonts w:ascii="Palatino Linotype" w:hAnsi="Palatino Linotype"/>
        </w:rPr>
        <w:t>2</w:t>
      </w:r>
      <w:r w:rsidRPr="00482BB7">
        <w:rPr>
          <w:rFonts w:ascii="Palatino Linotype" w:hAnsi="Palatino Linotype"/>
        </w:rPr>
        <w:t>.</w:t>
      </w:r>
    </w:p>
    <w:p w:rsidRPr="00482BB7" w:rsidR="000C1D20" w:rsidP="001A2A63" w:rsidRDefault="00496608" w14:paraId="7D3CC7DD" w14:textId="23BD451A">
      <w:pPr>
        <w:numPr>
          <w:ilvl w:val="0"/>
          <w:numId w:val="1"/>
        </w:numPr>
        <w:tabs>
          <w:tab w:val="clear" w:pos="240"/>
        </w:tabs>
        <w:spacing w:after="120"/>
        <w:ind w:left="360" w:hanging="360"/>
        <w:rPr>
          <w:rFonts w:ascii="Palatino Linotype" w:hAnsi="Palatino Linotype"/>
          <w:szCs w:val="20"/>
        </w:rPr>
      </w:pPr>
      <w:r w:rsidRPr="00482BB7">
        <w:rPr>
          <w:rFonts w:ascii="Palatino Linotype" w:hAnsi="Palatino Linotype"/>
        </w:rPr>
        <w:t xml:space="preserve">With a </w:t>
      </w:r>
      <w:r w:rsidRPr="00482BB7" w:rsidR="0074772E">
        <w:rPr>
          <w:rFonts w:ascii="Palatino Linotype" w:hAnsi="Palatino Linotype"/>
        </w:rPr>
        <w:t>DDTP</w:t>
      </w:r>
      <w:r w:rsidRPr="00482BB7">
        <w:rPr>
          <w:rFonts w:ascii="Palatino Linotype" w:hAnsi="Palatino Linotype"/>
        </w:rPr>
        <w:t xml:space="preserve"> surcharge rate of </w:t>
      </w:r>
      <w:r w:rsidR="005E36D7">
        <w:rPr>
          <w:rFonts w:ascii="Palatino Linotype" w:hAnsi="Palatino Linotype"/>
        </w:rPr>
        <w:t>1</w:t>
      </w:r>
      <w:r w:rsidR="00544E60">
        <w:rPr>
          <w:rFonts w:ascii="Palatino Linotype" w:hAnsi="Palatino Linotype"/>
        </w:rPr>
        <w:t>.11%</w:t>
      </w:r>
      <w:r w:rsidRPr="00482BB7">
        <w:rPr>
          <w:rFonts w:ascii="Palatino Linotype" w:hAnsi="Palatino Linotype"/>
        </w:rPr>
        <w:t xml:space="preserve">, the fund balance is forecasted to be </w:t>
      </w:r>
      <w:r w:rsidRPr="00482BB7" w:rsidR="00181B5C">
        <w:rPr>
          <w:rFonts w:ascii="Palatino Linotype" w:hAnsi="Palatino Linotype"/>
        </w:rPr>
        <w:t>$</w:t>
      </w:r>
      <w:r w:rsidRPr="00482BB7" w:rsidR="00011ADF">
        <w:rPr>
          <w:rFonts w:ascii="Palatino Linotype" w:hAnsi="Palatino Linotype"/>
        </w:rPr>
        <w:t>9</w:t>
      </w:r>
      <w:r w:rsidR="005E36D7">
        <w:rPr>
          <w:rFonts w:ascii="Palatino Linotype" w:hAnsi="Palatino Linotype"/>
        </w:rPr>
        <w:t>.</w:t>
      </w:r>
      <w:r w:rsidR="00B21B93">
        <w:rPr>
          <w:rFonts w:ascii="Palatino Linotype" w:hAnsi="Palatino Linotype"/>
        </w:rPr>
        <w:t xml:space="preserve">963 </w:t>
      </w:r>
      <w:r w:rsidRPr="00482BB7" w:rsidR="00526F25">
        <w:rPr>
          <w:rFonts w:ascii="Palatino Linotype" w:hAnsi="Palatino Linotype"/>
        </w:rPr>
        <w:t>million</w:t>
      </w:r>
      <w:r w:rsidRPr="00482BB7">
        <w:rPr>
          <w:rFonts w:ascii="Palatino Linotype" w:hAnsi="Palatino Linotype"/>
        </w:rPr>
        <w:t xml:space="preserve"> by June 30, 20</w:t>
      </w:r>
      <w:r w:rsidRPr="00482BB7" w:rsidR="00526F25">
        <w:rPr>
          <w:rFonts w:ascii="Palatino Linotype" w:hAnsi="Palatino Linotype"/>
        </w:rPr>
        <w:t>2</w:t>
      </w:r>
      <w:r w:rsidRPr="00482BB7" w:rsidR="00181B5C">
        <w:rPr>
          <w:rFonts w:ascii="Palatino Linotype" w:hAnsi="Palatino Linotype"/>
        </w:rPr>
        <w:t>2</w:t>
      </w:r>
      <w:r w:rsidRPr="00482BB7">
        <w:rPr>
          <w:rFonts w:ascii="Palatino Linotype" w:hAnsi="Palatino Linotype"/>
        </w:rPr>
        <w:t>.</w:t>
      </w:r>
      <w:bookmarkStart w:name="OLE_LINK3" w:id="1"/>
      <w:bookmarkStart w:name="OLE_LINK4" w:id="2"/>
    </w:p>
    <w:p w:rsidRPr="00482BB7" w:rsidR="000C1D20" w:rsidP="001A2A63" w:rsidRDefault="00496608" w14:paraId="39F77A35" w14:textId="67035861">
      <w:pPr>
        <w:numPr>
          <w:ilvl w:val="0"/>
          <w:numId w:val="1"/>
        </w:numPr>
        <w:tabs>
          <w:tab w:val="clear" w:pos="240"/>
        </w:tabs>
        <w:spacing w:after="120"/>
        <w:ind w:left="360" w:hanging="360"/>
        <w:rPr>
          <w:rFonts w:ascii="Palatino Linotype" w:hAnsi="Palatino Linotype"/>
          <w:szCs w:val="20"/>
        </w:rPr>
      </w:pPr>
      <w:r w:rsidRPr="00482BB7">
        <w:rPr>
          <w:rFonts w:ascii="Palatino Linotype" w:hAnsi="Palatino Linotype"/>
        </w:rPr>
        <w:t xml:space="preserve">All telecommunications carriers and interconnected VoIP service providers should revise the </w:t>
      </w:r>
      <w:r w:rsidRPr="00482BB7" w:rsidR="0074772E">
        <w:rPr>
          <w:rFonts w:ascii="Palatino Linotype" w:hAnsi="Palatino Linotype"/>
        </w:rPr>
        <w:t>DDTP</w:t>
      </w:r>
      <w:r w:rsidRPr="00482BB7">
        <w:rPr>
          <w:rFonts w:ascii="Palatino Linotype" w:hAnsi="Palatino Linotype"/>
        </w:rPr>
        <w:t xml:space="preserve"> surcharge rate assessed on intrastate telecommunications service revenues to </w:t>
      </w:r>
      <w:r w:rsidR="00331714">
        <w:rPr>
          <w:rFonts w:ascii="Palatino Linotype" w:hAnsi="Palatino Linotype"/>
        </w:rPr>
        <w:t>1</w:t>
      </w:r>
      <w:r w:rsidR="00544E60">
        <w:rPr>
          <w:rFonts w:ascii="Palatino Linotype" w:hAnsi="Palatino Linotype"/>
        </w:rPr>
        <w:t>.11%</w:t>
      </w:r>
      <w:r w:rsidRPr="00482BB7">
        <w:rPr>
          <w:rFonts w:ascii="Palatino Linotype" w:hAnsi="Palatino Linotype"/>
        </w:rPr>
        <w:t xml:space="preserve">, effective </w:t>
      </w:r>
      <w:bookmarkEnd w:id="1"/>
      <w:bookmarkEnd w:id="2"/>
      <w:r w:rsidRPr="00482BB7" w:rsidR="00011ADF">
        <w:rPr>
          <w:rFonts w:ascii="Palatino Linotype" w:hAnsi="Palatino Linotype"/>
        </w:rPr>
        <w:t>January 1, 2022</w:t>
      </w:r>
      <w:r w:rsidRPr="00E24CF6">
        <w:rPr>
          <w:rFonts w:ascii="Palatino Linotype" w:hAnsi="Palatino Linotype"/>
        </w:rPr>
        <w:t>, and thereafter, until further directed by the Commission.</w:t>
      </w:r>
    </w:p>
    <w:p w:rsidRPr="00482BB7" w:rsidR="000C1D20" w:rsidP="001A2A63" w:rsidRDefault="00496608" w14:paraId="606B9DBC" w14:textId="16D53026">
      <w:pPr>
        <w:numPr>
          <w:ilvl w:val="0"/>
          <w:numId w:val="1"/>
        </w:numPr>
        <w:tabs>
          <w:tab w:val="clear" w:pos="240"/>
        </w:tabs>
        <w:spacing w:after="120"/>
        <w:ind w:left="360" w:hanging="360"/>
        <w:rPr>
          <w:rFonts w:ascii="Palatino Linotype" w:hAnsi="Palatino Linotype"/>
        </w:rPr>
      </w:pPr>
      <w:r w:rsidRPr="00482BB7">
        <w:rPr>
          <w:rFonts w:ascii="Palatino Linotype" w:hAnsi="Palatino Linotype"/>
        </w:rPr>
        <w:t xml:space="preserve">The Commission is conducting a review of the </w:t>
      </w:r>
      <w:r w:rsidRPr="00482BB7" w:rsidR="0074772E">
        <w:rPr>
          <w:rFonts w:ascii="Palatino Linotype" w:hAnsi="Palatino Linotype"/>
        </w:rPr>
        <w:t>DDTP</w:t>
      </w:r>
      <w:r w:rsidRPr="00482BB7">
        <w:rPr>
          <w:rFonts w:ascii="Palatino Linotype" w:hAnsi="Palatino Linotype"/>
        </w:rPr>
        <w:t xml:space="preserve"> program in Rulemaking</w:t>
      </w:r>
      <w:r w:rsidRPr="00482BB7" w:rsidR="00D84EC3">
        <w:rPr>
          <w:rFonts w:ascii="Palatino Linotype" w:hAnsi="Palatino Linotype"/>
        </w:rPr>
        <w:t> </w:t>
      </w:r>
      <w:r w:rsidRPr="00482BB7">
        <w:rPr>
          <w:rFonts w:ascii="Palatino Linotype" w:hAnsi="Palatino Linotype"/>
        </w:rPr>
        <w:t>11</w:t>
      </w:r>
      <w:r w:rsidRPr="00482BB7" w:rsidR="00B3169A">
        <w:rPr>
          <w:rFonts w:ascii="Palatino Linotype" w:hAnsi="Palatino Linotype"/>
        </w:rPr>
        <w:noBreakHyphen/>
      </w:r>
      <w:r w:rsidRPr="00482BB7">
        <w:rPr>
          <w:rFonts w:ascii="Palatino Linotype" w:hAnsi="Palatino Linotype"/>
        </w:rPr>
        <w:t>11</w:t>
      </w:r>
      <w:r w:rsidRPr="00482BB7" w:rsidR="00D84EC3">
        <w:rPr>
          <w:rFonts w:ascii="Palatino Linotype" w:hAnsi="Palatino Linotype"/>
        </w:rPr>
        <w:noBreakHyphen/>
      </w:r>
      <w:r w:rsidRPr="00482BB7">
        <w:rPr>
          <w:rFonts w:ascii="Palatino Linotype" w:hAnsi="Palatino Linotype"/>
        </w:rPr>
        <w:t>007</w:t>
      </w:r>
      <w:r w:rsidRPr="00482BB7" w:rsidR="001E2FF7">
        <w:rPr>
          <w:rFonts w:ascii="Palatino Linotype" w:hAnsi="Palatino Linotype"/>
        </w:rPr>
        <w:t xml:space="preserve">. </w:t>
      </w:r>
    </w:p>
    <w:p w:rsidRPr="00482BB7" w:rsidR="00496608" w:rsidP="001A2A63" w:rsidRDefault="00496608" w14:paraId="3495D019" w14:textId="06626D4A">
      <w:pPr>
        <w:numPr>
          <w:ilvl w:val="0"/>
          <w:numId w:val="1"/>
        </w:numPr>
        <w:tabs>
          <w:tab w:val="clear" w:pos="240"/>
        </w:tabs>
        <w:spacing w:after="120"/>
        <w:ind w:left="360" w:hanging="360"/>
        <w:rPr>
          <w:rFonts w:ascii="Palatino Linotype" w:hAnsi="Palatino Linotype"/>
        </w:rPr>
      </w:pPr>
      <w:r w:rsidRPr="00482BB7">
        <w:rPr>
          <w:rFonts w:ascii="Palatino Linotype" w:hAnsi="Palatino Linotype"/>
        </w:rPr>
        <w:t xml:space="preserve">In accordance with Resolution T-16901, dated December 2, 2004, AT&amp;T should file an advice letter by </w:t>
      </w:r>
      <w:r w:rsidRPr="00482BB7" w:rsidR="00011ADF">
        <w:rPr>
          <w:rFonts w:ascii="Palatino Linotype" w:hAnsi="Palatino Linotype"/>
        </w:rPr>
        <w:t>December</w:t>
      </w:r>
      <w:r w:rsidRPr="00482BB7" w:rsidR="009037D0">
        <w:rPr>
          <w:rFonts w:ascii="Palatino Linotype" w:hAnsi="Palatino Linotype"/>
        </w:rPr>
        <w:t xml:space="preserve"> 9, 2021</w:t>
      </w:r>
      <w:r w:rsidRPr="00E24CF6">
        <w:rPr>
          <w:rFonts w:ascii="Palatino Linotype" w:hAnsi="Palatino Linotype"/>
        </w:rPr>
        <w:t xml:space="preserve">, modifying the </w:t>
      </w:r>
      <w:r w:rsidRPr="00E24CF6" w:rsidR="0074772E">
        <w:rPr>
          <w:rFonts w:ascii="Palatino Linotype" w:hAnsi="Palatino Linotype"/>
        </w:rPr>
        <w:t>DDTP</w:t>
      </w:r>
      <w:r w:rsidRPr="00482BB7">
        <w:rPr>
          <w:rFonts w:ascii="Palatino Linotype" w:hAnsi="Palatino Linotype"/>
        </w:rPr>
        <w:t xml:space="preserve"> surcharge rate from 0</w:t>
      </w:r>
      <w:r w:rsidRPr="00482BB7" w:rsidR="00F43261">
        <w:rPr>
          <w:rFonts w:ascii="Palatino Linotype" w:hAnsi="Palatino Linotype"/>
        </w:rPr>
        <w:t>.50</w:t>
      </w:r>
      <w:r w:rsidRPr="00482BB7">
        <w:rPr>
          <w:rFonts w:ascii="Palatino Linotype" w:hAnsi="Palatino Linotype"/>
        </w:rPr>
        <w:t>%</w:t>
      </w:r>
      <w:r w:rsidRPr="00482BB7" w:rsidR="00526F25">
        <w:rPr>
          <w:rFonts w:ascii="Palatino Linotype" w:hAnsi="Palatino Linotype"/>
        </w:rPr>
        <w:t xml:space="preserve"> to </w:t>
      </w:r>
      <w:r w:rsidR="00331714">
        <w:rPr>
          <w:rFonts w:ascii="Palatino Linotype" w:hAnsi="Palatino Linotype"/>
        </w:rPr>
        <w:t>1</w:t>
      </w:r>
      <w:r w:rsidR="00544E60">
        <w:rPr>
          <w:rFonts w:ascii="Palatino Linotype" w:hAnsi="Palatino Linotype"/>
        </w:rPr>
        <w:t>.11%</w:t>
      </w:r>
      <w:r w:rsidRPr="00482BB7">
        <w:rPr>
          <w:rFonts w:ascii="Palatino Linotype" w:hAnsi="Palatino Linotype"/>
        </w:rPr>
        <w:t>, effective</w:t>
      </w:r>
      <w:r w:rsidRPr="00482BB7" w:rsidR="005A6E99">
        <w:rPr>
          <w:rFonts w:ascii="Palatino Linotype" w:hAnsi="Palatino Linotype"/>
        </w:rPr>
        <w:t xml:space="preserve"> </w:t>
      </w:r>
      <w:r w:rsidRPr="00482BB7" w:rsidR="00011ADF">
        <w:rPr>
          <w:rFonts w:ascii="Palatino Linotype" w:hAnsi="Palatino Linotype"/>
        </w:rPr>
        <w:t>January 1, 2022</w:t>
      </w:r>
      <w:r w:rsidRPr="00E24CF6">
        <w:rPr>
          <w:rFonts w:ascii="Palatino Linotype" w:hAnsi="Palatino Linotype"/>
        </w:rPr>
        <w:t>, until further revised by the Commission</w:t>
      </w:r>
      <w:r w:rsidRPr="00E24CF6" w:rsidR="007274C2">
        <w:rPr>
          <w:rFonts w:ascii="Palatino Linotype" w:hAnsi="Palatino Linotype"/>
        </w:rPr>
        <w:t xml:space="preserve">. </w:t>
      </w:r>
    </w:p>
    <w:p w:rsidRPr="00482BB7" w:rsidR="00E571AF" w:rsidP="001A2A63" w:rsidRDefault="002F2973" w14:paraId="70C81F66" w14:textId="09076084">
      <w:pPr>
        <w:numPr>
          <w:ilvl w:val="0"/>
          <w:numId w:val="1"/>
        </w:numPr>
        <w:tabs>
          <w:tab w:val="clear" w:pos="240"/>
        </w:tabs>
        <w:spacing w:after="120"/>
        <w:ind w:left="360" w:hanging="360"/>
        <w:rPr>
          <w:rFonts w:ascii="Palatino Linotype" w:hAnsi="Palatino Linotype"/>
          <w:szCs w:val="20"/>
        </w:rPr>
      </w:pPr>
      <w:r w:rsidRPr="00482BB7">
        <w:rPr>
          <w:rFonts w:ascii="Palatino Linotype" w:hAnsi="Palatino Linotype"/>
        </w:rPr>
        <w:t xml:space="preserve">All telephone corporations and interconnected VoIP service providers should revise the DDTP surcharge rate assessed on end-user intrastate telecommunications service revenues to </w:t>
      </w:r>
      <w:r w:rsidR="00331714">
        <w:rPr>
          <w:rFonts w:ascii="Palatino Linotype" w:hAnsi="Palatino Linotype"/>
        </w:rPr>
        <w:t>1</w:t>
      </w:r>
      <w:r w:rsidR="00544E60">
        <w:rPr>
          <w:rFonts w:ascii="Palatino Linotype" w:hAnsi="Palatino Linotype"/>
        </w:rPr>
        <w:t>.11%</w:t>
      </w:r>
      <w:r w:rsidRPr="00482BB7">
        <w:rPr>
          <w:rFonts w:ascii="Palatino Linotype" w:hAnsi="Palatino Linotype"/>
        </w:rPr>
        <w:t xml:space="preserve"> beginning on</w:t>
      </w:r>
      <w:r w:rsidRPr="00482BB7" w:rsidR="009037D0">
        <w:rPr>
          <w:rFonts w:ascii="Palatino Linotype" w:hAnsi="Palatino Linotype"/>
        </w:rPr>
        <w:t xml:space="preserve"> </w:t>
      </w:r>
      <w:r w:rsidRPr="00482BB7" w:rsidR="00011ADF">
        <w:rPr>
          <w:rFonts w:ascii="Palatino Linotype" w:hAnsi="Palatino Linotype"/>
        </w:rPr>
        <w:t>January 1, 2022</w:t>
      </w:r>
      <w:r w:rsidRPr="00E24CF6">
        <w:rPr>
          <w:rFonts w:ascii="Palatino Linotype" w:hAnsi="Palatino Linotype"/>
        </w:rPr>
        <w:t>, and thereafter, until further ordered by the Commission.</w:t>
      </w:r>
    </w:p>
    <w:p w:rsidRPr="00482BB7" w:rsidR="00FD4AF2" w:rsidP="001A2A63" w:rsidRDefault="00FD4AF2" w14:paraId="67D66737" w14:textId="672EB365">
      <w:pPr>
        <w:numPr>
          <w:ilvl w:val="0"/>
          <w:numId w:val="1"/>
        </w:numPr>
        <w:tabs>
          <w:tab w:val="clear" w:pos="240"/>
        </w:tabs>
        <w:spacing w:after="120"/>
        <w:ind w:left="360" w:hanging="360"/>
        <w:rPr>
          <w:rFonts w:ascii="Palatino Linotype" w:hAnsi="Palatino Linotype"/>
        </w:rPr>
      </w:pPr>
      <w:r w:rsidRPr="00482BB7">
        <w:rPr>
          <w:rFonts w:ascii="Palatino Linotype" w:hAnsi="Palatino Linotype"/>
        </w:rPr>
        <w:t xml:space="preserve">The </w:t>
      </w:r>
      <w:r w:rsidR="00F63498">
        <w:rPr>
          <w:rFonts w:ascii="Palatino Linotype" w:hAnsi="Palatino Linotype"/>
        </w:rPr>
        <w:t xml:space="preserve">Commission </w:t>
      </w:r>
      <w:r w:rsidRPr="00482BB7" w:rsidR="00F63498">
        <w:rPr>
          <w:rFonts w:ascii="Palatino Linotype" w:hAnsi="Palatino Linotype"/>
        </w:rPr>
        <w:t xml:space="preserve">served </w:t>
      </w:r>
      <w:r w:rsidRPr="00482BB7">
        <w:rPr>
          <w:rFonts w:ascii="Palatino Linotype" w:hAnsi="Palatino Linotype"/>
        </w:rPr>
        <w:t xml:space="preserve">draft resolution on </w:t>
      </w:r>
      <w:r w:rsidRPr="00482BB7" w:rsidR="00011ADF">
        <w:rPr>
          <w:rFonts w:ascii="Palatino Linotype" w:hAnsi="Palatino Linotype"/>
        </w:rPr>
        <w:t xml:space="preserve">October 15, </w:t>
      </w:r>
      <w:r w:rsidRPr="00482BB7" w:rsidR="00FD762A">
        <w:rPr>
          <w:rFonts w:ascii="Palatino Linotype" w:hAnsi="Palatino Linotype"/>
        </w:rPr>
        <w:t>2021,</w:t>
      </w:r>
      <w:r w:rsidRPr="00482BB7">
        <w:rPr>
          <w:rFonts w:ascii="Palatino Linotype" w:hAnsi="Palatino Linotype"/>
        </w:rPr>
        <w:t xml:space="preserve"> to all parties on the service list for R. 00-05-001, R.03-03-014, and R. 13-03-008, the Telecommunications Access for the Deaf and Disabled Administrative Committee (TADDAC) members, the Equipment Program Advisory Committee (EPAC) members, the DDTP Administrative Contractor </w:t>
      </w:r>
      <w:r w:rsidR="005A7FB2">
        <w:rPr>
          <w:rFonts w:ascii="Palatino Linotype" w:hAnsi="Palatino Linotype"/>
        </w:rPr>
        <w:t>and all registered communications service providers,</w:t>
      </w:r>
      <w:r w:rsidRPr="00482BB7" w:rsidR="005A7FB2">
        <w:rPr>
          <w:rFonts w:ascii="Palatino Linotype" w:hAnsi="Palatino Linotype"/>
        </w:rPr>
        <w:t xml:space="preserve"> </w:t>
      </w:r>
      <w:r w:rsidRPr="00482BB7">
        <w:rPr>
          <w:rFonts w:ascii="Palatino Linotype" w:hAnsi="Palatino Linotype"/>
        </w:rPr>
        <w:t xml:space="preserve">and </w:t>
      </w:r>
      <w:r w:rsidRPr="00482BB7">
        <w:rPr>
          <w:rFonts w:ascii="Palatino Linotype" w:hAnsi="Palatino Linotype"/>
        </w:rPr>
        <w:lastRenderedPageBreak/>
        <w:t xml:space="preserve">was subject to a public review and comment period of </w:t>
      </w:r>
      <w:r w:rsidRPr="00482BB7" w:rsidR="00314A0C">
        <w:rPr>
          <w:rFonts w:ascii="Palatino Linotype" w:hAnsi="Palatino Linotype"/>
        </w:rPr>
        <w:t>20</w:t>
      </w:r>
      <w:r w:rsidRPr="00482BB7">
        <w:rPr>
          <w:rFonts w:ascii="Palatino Linotype" w:hAnsi="Palatino Linotype"/>
        </w:rPr>
        <w:t xml:space="preserve"> days or more, prior to a vote of the Commission on the resolution. </w:t>
      </w:r>
    </w:p>
    <w:p w:rsidRPr="00482BB7" w:rsidR="003B1DBD" w:rsidP="001716EC" w:rsidRDefault="003B1DBD" w14:paraId="289BD70F" w14:textId="77777777">
      <w:pPr>
        <w:jc w:val="both"/>
        <w:rPr>
          <w:rFonts w:ascii="Palatino Linotype" w:hAnsi="Palatino Linotype"/>
          <w:b/>
        </w:rPr>
      </w:pPr>
    </w:p>
    <w:p w:rsidRPr="00482BB7" w:rsidR="003B1DBD" w:rsidP="00426552" w:rsidRDefault="003B1DBD" w14:paraId="7D96260D" w14:textId="77777777">
      <w:pPr>
        <w:keepNext/>
        <w:jc w:val="both"/>
        <w:rPr>
          <w:rFonts w:ascii="Palatino Linotype" w:hAnsi="Palatino Linotype"/>
        </w:rPr>
      </w:pPr>
      <w:r w:rsidRPr="00482BB7">
        <w:rPr>
          <w:rFonts w:ascii="Palatino Linotype" w:hAnsi="Palatino Linotype"/>
          <w:b/>
        </w:rPr>
        <w:t xml:space="preserve">THERFORE, IT IS ORDERED </w:t>
      </w:r>
      <w:r w:rsidRPr="00482BB7">
        <w:rPr>
          <w:rFonts w:ascii="Palatino Linotype" w:hAnsi="Palatino Linotype"/>
        </w:rPr>
        <w:t>that:</w:t>
      </w:r>
    </w:p>
    <w:p w:rsidRPr="00482BB7" w:rsidR="003B1DBD" w:rsidP="00426552" w:rsidRDefault="003B1DBD" w14:paraId="043EB384" w14:textId="77777777">
      <w:pPr>
        <w:keepNext/>
        <w:jc w:val="both"/>
        <w:rPr>
          <w:rFonts w:ascii="Palatino Linotype" w:hAnsi="Palatino Linotype"/>
        </w:rPr>
      </w:pPr>
    </w:p>
    <w:p w:rsidRPr="00E24CF6" w:rsidR="00D12B7F" w:rsidP="00D12B7F" w:rsidRDefault="00496608" w14:paraId="1C8E5DFB" w14:textId="702CC443">
      <w:pPr>
        <w:keepNext/>
        <w:numPr>
          <w:ilvl w:val="0"/>
          <w:numId w:val="5"/>
        </w:numPr>
        <w:tabs>
          <w:tab w:val="clear" w:pos="240"/>
        </w:tabs>
        <w:spacing w:after="120"/>
        <w:ind w:left="360" w:hanging="360"/>
        <w:rPr>
          <w:rFonts w:ascii="Palatino Linotype" w:hAnsi="Palatino Linotype"/>
        </w:rPr>
      </w:pPr>
      <w:r w:rsidRPr="00482BB7">
        <w:rPr>
          <w:rFonts w:ascii="Palatino Linotype" w:hAnsi="Palatino Linotype"/>
        </w:rPr>
        <w:t xml:space="preserve">The </w:t>
      </w:r>
      <w:r w:rsidRPr="00482BB7" w:rsidR="00DF7254">
        <w:rPr>
          <w:rFonts w:ascii="Palatino Linotype" w:hAnsi="Palatino Linotype"/>
        </w:rPr>
        <w:t>Deaf and Disabled Telecommunications Program</w:t>
      </w:r>
      <w:r w:rsidRPr="00482BB7">
        <w:rPr>
          <w:rFonts w:ascii="Palatino Linotype" w:hAnsi="Palatino Linotype"/>
        </w:rPr>
        <w:t xml:space="preserve"> surcharge rate of </w:t>
      </w:r>
      <w:r w:rsidR="00331714">
        <w:rPr>
          <w:rFonts w:ascii="Palatino Linotype" w:hAnsi="Palatino Linotype"/>
        </w:rPr>
        <w:t>1</w:t>
      </w:r>
      <w:r w:rsidR="00544E60">
        <w:rPr>
          <w:rFonts w:ascii="Palatino Linotype" w:hAnsi="Palatino Linotype"/>
        </w:rPr>
        <w:t>.11%</w:t>
      </w:r>
      <w:r w:rsidRPr="00482BB7" w:rsidR="001732BE">
        <w:rPr>
          <w:rFonts w:ascii="Palatino Linotype" w:hAnsi="Palatino Linotype"/>
        </w:rPr>
        <w:t xml:space="preserve">, </w:t>
      </w:r>
      <w:r w:rsidR="00331714">
        <w:rPr>
          <w:rFonts w:ascii="Palatino Linotype" w:hAnsi="Palatino Linotype"/>
        </w:rPr>
        <w:t xml:space="preserve">is </w:t>
      </w:r>
      <w:r w:rsidRPr="00482BB7" w:rsidR="001732BE">
        <w:rPr>
          <w:rFonts w:ascii="Palatino Linotype" w:hAnsi="Palatino Linotype"/>
        </w:rPr>
        <w:t>effective</w:t>
      </w:r>
      <w:r w:rsidRPr="00482BB7">
        <w:rPr>
          <w:rFonts w:ascii="Palatino Linotype" w:hAnsi="Palatino Linotype"/>
        </w:rPr>
        <w:t xml:space="preserve"> </w:t>
      </w:r>
      <w:r w:rsidRPr="00FD762A" w:rsidR="00011ADF">
        <w:rPr>
          <w:rFonts w:ascii="Palatino Linotype" w:hAnsi="Palatino Linotype"/>
        </w:rPr>
        <w:t>January 1, 2022</w:t>
      </w:r>
      <w:r w:rsidRPr="00E24CF6">
        <w:rPr>
          <w:rFonts w:ascii="Palatino Linotype" w:hAnsi="Palatino Linotype"/>
        </w:rPr>
        <w:t>, until further revised by the Commission, is adopted.</w:t>
      </w:r>
    </w:p>
    <w:p w:rsidRPr="00FD762A" w:rsidR="00D12B7F" w:rsidP="00D12B7F" w:rsidRDefault="00496608" w14:paraId="67C567B7" w14:textId="007224C5">
      <w:pPr>
        <w:numPr>
          <w:ilvl w:val="0"/>
          <w:numId w:val="5"/>
        </w:numPr>
        <w:tabs>
          <w:tab w:val="clear" w:pos="240"/>
        </w:tabs>
        <w:spacing w:after="120"/>
        <w:ind w:left="360" w:hanging="360"/>
        <w:rPr>
          <w:rFonts w:ascii="Palatino Linotype" w:hAnsi="Palatino Linotype"/>
        </w:rPr>
      </w:pPr>
      <w:r w:rsidRPr="00482BB7">
        <w:rPr>
          <w:rFonts w:ascii="Palatino Linotype" w:hAnsi="Palatino Linotype"/>
        </w:rPr>
        <w:t>AT&amp;T shall file an advice letter on or before</w:t>
      </w:r>
      <w:r w:rsidRPr="00482BB7" w:rsidR="005A6E99">
        <w:rPr>
          <w:rFonts w:ascii="Palatino Linotype" w:hAnsi="Palatino Linotype"/>
        </w:rPr>
        <w:t xml:space="preserve"> </w:t>
      </w:r>
      <w:r w:rsidRPr="00482BB7" w:rsidR="00011ADF">
        <w:rPr>
          <w:rFonts w:ascii="Palatino Linotype" w:hAnsi="Palatino Linotype"/>
        </w:rPr>
        <w:t>December</w:t>
      </w:r>
      <w:r w:rsidRPr="00FD762A" w:rsidR="009037D0">
        <w:rPr>
          <w:rFonts w:ascii="Palatino Linotype" w:hAnsi="Palatino Linotype"/>
        </w:rPr>
        <w:t xml:space="preserve"> 9, 2021</w:t>
      </w:r>
      <w:r w:rsidRPr="00E24CF6">
        <w:rPr>
          <w:rFonts w:ascii="Palatino Linotype" w:hAnsi="Palatino Linotype"/>
        </w:rPr>
        <w:t xml:space="preserve">, modifying the surcharge rate for the </w:t>
      </w:r>
      <w:r w:rsidRPr="00FD762A" w:rsidR="00576D20">
        <w:rPr>
          <w:rFonts w:ascii="Palatino Linotype" w:hAnsi="Palatino Linotype"/>
        </w:rPr>
        <w:t>Deaf and Disabled Telecommunications Program</w:t>
      </w:r>
      <w:r w:rsidRPr="00FD762A">
        <w:rPr>
          <w:rFonts w:ascii="Palatino Linotype" w:hAnsi="Palatino Linotype"/>
        </w:rPr>
        <w:t>, from 0</w:t>
      </w:r>
      <w:r w:rsidRPr="00FD762A" w:rsidR="00F43261">
        <w:rPr>
          <w:rFonts w:ascii="Palatino Linotype" w:hAnsi="Palatino Linotype"/>
        </w:rPr>
        <w:t>.50</w:t>
      </w:r>
      <w:r w:rsidRPr="00FD762A">
        <w:rPr>
          <w:rFonts w:ascii="Palatino Linotype" w:hAnsi="Palatino Linotype"/>
        </w:rPr>
        <w:t xml:space="preserve">% to </w:t>
      </w:r>
      <w:r w:rsidR="00331714">
        <w:rPr>
          <w:rFonts w:ascii="Palatino Linotype" w:hAnsi="Palatino Linotype"/>
        </w:rPr>
        <w:t>1</w:t>
      </w:r>
      <w:r w:rsidR="00544E60">
        <w:rPr>
          <w:rFonts w:ascii="Palatino Linotype" w:hAnsi="Palatino Linotype"/>
        </w:rPr>
        <w:t>.11%</w:t>
      </w:r>
      <w:r w:rsidRPr="00FD762A">
        <w:rPr>
          <w:rFonts w:ascii="Palatino Linotype" w:hAnsi="Palatino Linotype"/>
        </w:rPr>
        <w:t xml:space="preserve">, effective </w:t>
      </w:r>
      <w:r w:rsidRPr="00FD762A" w:rsidR="00011ADF">
        <w:rPr>
          <w:rFonts w:ascii="Palatino Linotype" w:hAnsi="Palatino Linotype"/>
        </w:rPr>
        <w:t>January 1, 2022</w:t>
      </w:r>
      <w:r w:rsidRPr="00E24CF6">
        <w:rPr>
          <w:rFonts w:ascii="Palatino Linotype" w:hAnsi="Palatino Linotype"/>
        </w:rPr>
        <w:t>, and thereafter, until further revised by the Commission</w:t>
      </w:r>
      <w:r w:rsidRPr="00FD762A" w:rsidR="00946E84">
        <w:rPr>
          <w:rFonts w:ascii="Palatino Linotype" w:hAnsi="Palatino Linotype"/>
        </w:rPr>
        <w:t xml:space="preserve">. </w:t>
      </w:r>
    </w:p>
    <w:p w:rsidRPr="00E24CF6" w:rsidR="003B1DBD" w:rsidP="007215EF" w:rsidRDefault="00496608" w14:paraId="00DE53F5" w14:textId="35F958BB">
      <w:pPr>
        <w:numPr>
          <w:ilvl w:val="0"/>
          <w:numId w:val="5"/>
        </w:numPr>
        <w:tabs>
          <w:tab w:val="clear" w:pos="240"/>
        </w:tabs>
        <w:spacing w:after="120"/>
        <w:ind w:left="360" w:hanging="360"/>
        <w:rPr>
          <w:rFonts w:ascii="Palatino Linotype" w:hAnsi="Palatino Linotype"/>
        </w:rPr>
      </w:pPr>
      <w:r w:rsidRPr="00FD762A">
        <w:rPr>
          <w:rFonts w:ascii="Palatino Linotype" w:hAnsi="Palatino Linotype"/>
        </w:rPr>
        <w:t>All telecommunications carriers and interconnected Vo</w:t>
      </w:r>
      <w:r w:rsidRPr="00FD762A" w:rsidR="28F138B8">
        <w:rPr>
          <w:rFonts w:ascii="Palatino Linotype" w:hAnsi="Palatino Linotype"/>
        </w:rPr>
        <w:t xml:space="preserve">ice over </w:t>
      </w:r>
      <w:r w:rsidRPr="00FD762A">
        <w:rPr>
          <w:rFonts w:ascii="Palatino Linotype" w:hAnsi="Palatino Linotype"/>
        </w:rPr>
        <w:t>I</w:t>
      </w:r>
      <w:r w:rsidRPr="00FD762A" w:rsidR="7BD6E759">
        <w:rPr>
          <w:rFonts w:ascii="Palatino Linotype" w:hAnsi="Palatino Linotype"/>
        </w:rPr>
        <w:t xml:space="preserve">nternet </w:t>
      </w:r>
      <w:r w:rsidRPr="00FD762A">
        <w:rPr>
          <w:rFonts w:ascii="Palatino Linotype" w:hAnsi="Palatino Linotype"/>
        </w:rPr>
        <w:t>P</w:t>
      </w:r>
      <w:r w:rsidRPr="00FD762A" w:rsidR="207067F6">
        <w:rPr>
          <w:rFonts w:ascii="Palatino Linotype" w:hAnsi="Palatino Linotype"/>
        </w:rPr>
        <w:t>rotocol</w:t>
      </w:r>
      <w:r w:rsidRPr="00FD762A">
        <w:rPr>
          <w:rFonts w:ascii="Palatino Linotype" w:hAnsi="Palatino Linotype"/>
        </w:rPr>
        <w:t xml:space="preserve"> service providers shall revise the </w:t>
      </w:r>
      <w:r w:rsidRPr="00FD762A" w:rsidR="0008029A">
        <w:rPr>
          <w:rFonts w:ascii="Palatino Linotype" w:hAnsi="Palatino Linotype"/>
        </w:rPr>
        <w:t xml:space="preserve">Deaf and Disabled Telecommunications Program </w:t>
      </w:r>
      <w:r w:rsidRPr="00FD762A">
        <w:rPr>
          <w:rFonts w:ascii="Palatino Linotype" w:hAnsi="Palatino Linotype"/>
        </w:rPr>
        <w:t>rate assessed on revenues collected from end users for intrastate telecommunications services, subject to surcharge, from 0</w:t>
      </w:r>
      <w:r w:rsidRPr="00FD762A" w:rsidR="00F43261">
        <w:rPr>
          <w:rFonts w:ascii="Palatino Linotype" w:hAnsi="Palatino Linotype"/>
        </w:rPr>
        <w:t>.50</w:t>
      </w:r>
      <w:r w:rsidRPr="00FD762A">
        <w:rPr>
          <w:rFonts w:ascii="Palatino Linotype" w:hAnsi="Palatino Linotype"/>
        </w:rPr>
        <w:t xml:space="preserve">% to </w:t>
      </w:r>
      <w:r w:rsidR="00331714">
        <w:rPr>
          <w:rFonts w:ascii="Palatino Linotype" w:hAnsi="Palatino Linotype"/>
        </w:rPr>
        <w:t>1</w:t>
      </w:r>
      <w:r w:rsidR="00544E60">
        <w:rPr>
          <w:rFonts w:ascii="Palatino Linotype" w:hAnsi="Palatino Linotype"/>
        </w:rPr>
        <w:t>.11%</w:t>
      </w:r>
      <w:r w:rsidRPr="00FD762A">
        <w:rPr>
          <w:rFonts w:ascii="Palatino Linotype" w:hAnsi="Palatino Linotype"/>
        </w:rPr>
        <w:t xml:space="preserve">, effective </w:t>
      </w:r>
      <w:r w:rsidRPr="00FD762A" w:rsidR="00011ADF">
        <w:rPr>
          <w:rFonts w:ascii="Palatino Linotype" w:hAnsi="Palatino Linotype"/>
        </w:rPr>
        <w:t>January 1, 2022</w:t>
      </w:r>
      <w:r w:rsidRPr="00E24CF6">
        <w:rPr>
          <w:rFonts w:ascii="Palatino Linotype" w:hAnsi="Palatino Linotype"/>
        </w:rPr>
        <w:t>, and thereafter, until further revised by the Commission.</w:t>
      </w:r>
    </w:p>
    <w:p w:rsidRPr="00FD762A" w:rsidR="003B1DBD" w:rsidP="00BD16E8" w:rsidRDefault="003B1DBD" w14:paraId="6C4787D0" w14:textId="77777777">
      <w:pPr>
        <w:jc w:val="both"/>
        <w:rPr>
          <w:rFonts w:ascii="Palatino Linotype" w:hAnsi="Palatino Linotype"/>
        </w:rPr>
      </w:pPr>
    </w:p>
    <w:p w:rsidRPr="00FD762A" w:rsidR="003B1DBD" w:rsidP="0008473C" w:rsidRDefault="003B1DBD" w14:paraId="0F321E0B" w14:textId="77777777">
      <w:pPr>
        <w:keepNext/>
        <w:keepLines/>
        <w:jc w:val="both"/>
        <w:rPr>
          <w:rFonts w:ascii="Palatino Linotype" w:hAnsi="Palatino Linotype"/>
        </w:rPr>
      </w:pPr>
      <w:r w:rsidRPr="00FD762A">
        <w:rPr>
          <w:rFonts w:ascii="Palatino Linotype" w:hAnsi="Palatino Linotype"/>
        </w:rPr>
        <w:t>This resolution is effective today.</w:t>
      </w:r>
    </w:p>
    <w:p w:rsidRPr="00FD762A" w:rsidR="003B1DBD" w:rsidP="0008473C" w:rsidRDefault="003B1DBD" w14:paraId="10B7452B" w14:textId="77777777">
      <w:pPr>
        <w:keepNext/>
        <w:keepLines/>
        <w:jc w:val="both"/>
        <w:rPr>
          <w:rFonts w:ascii="Palatino Linotype" w:hAnsi="Palatino Linotype"/>
        </w:rPr>
      </w:pPr>
    </w:p>
    <w:p w:rsidRPr="00482BB7" w:rsidR="003B1DBD" w:rsidP="0008473C" w:rsidRDefault="003B1DBD" w14:paraId="61E54CCC" w14:textId="4E0E1D68">
      <w:pPr>
        <w:keepNext/>
        <w:keepLines/>
        <w:rPr>
          <w:rFonts w:ascii="Palatino Linotype" w:hAnsi="Palatino Linotype"/>
        </w:rPr>
      </w:pPr>
      <w:r w:rsidRPr="00FD762A">
        <w:rPr>
          <w:rFonts w:ascii="Palatino Linotype" w:hAnsi="Palatino Linotype"/>
        </w:rPr>
        <w:t>I certify that the foregoing resolution was duly introduced, passed, and adopted at a conference of the Public Utilities Commission of the State of California held on</w:t>
      </w:r>
      <w:r w:rsidRPr="00FD762A" w:rsidR="00CD39B8">
        <w:rPr>
          <w:rFonts w:ascii="Palatino Linotype" w:hAnsi="Palatino Linotype"/>
        </w:rPr>
        <w:br/>
      </w:r>
      <w:r w:rsidRPr="0078377D" w:rsidR="00011ADF">
        <w:rPr>
          <w:rFonts w:ascii="Palatino Linotype" w:hAnsi="Palatino Linotype"/>
        </w:rPr>
        <w:t>November 18, 2021</w:t>
      </w:r>
      <w:r w:rsidRPr="00E24CF6" w:rsidR="000460A5">
        <w:rPr>
          <w:rFonts w:ascii="Palatino Linotype" w:hAnsi="Palatino Linotype"/>
        </w:rPr>
        <w:t>.</w:t>
      </w:r>
      <w:r w:rsidRPr="00E24CF6">
        <w:rPr>
          <w:rFonts w:ascii="Palatino Linotype" w:hAnsi="Palatino Linotype"/>
        </w:rPr>
        <w:t xml:space="preserve"> </w:t>
      </w:r>
      <w:r w:rsidRPr="00482BB7" w:rsidR="000460A5">
        <w:rPr>
          <w:rFonts w:ascii="Palatino Linotype" w:hAnsi="Palatino Linotype"/>
        </w:rPr>
        <w:t>T</w:t>
      </w:r>
      <w:r w:rsidRPr="00482BB7">
        <w:rPr>
          <w:rFonts w:ascii="Palatino Linotype" w:hAnsi="Palatino Linotype"/>
        </w:rPr>
        <w:t>he following Commissioners voting favorable thereon:</w:t>
      </w:r>
    </w:p>
    <w:p w:rsidRPr="00FD762A" w:rsidR="00314A0C" w:rsidP="0008473C" w:rsidRDefault="00314A0C" w14:paraId="05AF2604" w14:textId="77777777">
      <w:pPr>
        <w:keepNext/>
        <w:keepLines/>
        <w:rPr>
          <w:rFonts w:ascii="Palatino Linotype" w:hAnsi="Palatino Linotype"/>
        </w:rPr>
      </w:pPr>
    </w:p>
    <w:p w:rsidRPr="008F65B1" w:rsidR="003B1DBD" w:rsidP="0008473C" w:rsidRDefault="003B1DBD" w14:paraId="34C02792" w14:textId="77777777">
      <w:pPr>
        <w:keepLines/>
        <w:jc w:val="both"/>
        <w:rPr>
          <w:rFonts w:ascii="Palatino Linotype" w:hAnsi="Palatino Linotype"/>
        </w:rPr>
      </w:pPr>
    </w:p>
    <w:p w:rsidRPr="008F65B1" w:rsidR="003B1DBD" w:rsidP="0008473C" w:rsidRDefault="003B1DBD" w14:paraId="4ABAD060" w14:textId="77777777">
      <w:pPr>
        <w:keepLines/>
        <w:rPr>
          <w:rFonts w:ascii="Palatino Linotype" w:hAnsi="Palatino Linotyp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63"/>
        <w:gridCol w:w="3648"/>
      </w:tblGrid>
      <w:tr w:rsidR="009B7857" w:rsidTr="000460A5" w14:paraId="3CC7D436" w14:textId="77777777">
        <w:tc>
          <w:tcPr>
            <w:tcW w:w="4663" w:type="dxa"/>
            <w:tcBorders>
              <w:top w:val="nil"/>
              <w:left w:val="nil"/>
              <w:bottom w:val="nil"/>
              <w:right w:val="nil"/>
            </w:tcBorders>
            <w:shd w:val="clear" w:color="auto" w:fill="auto"/>
          </w:tcPr>
          <w:p w:rsidRPr="008F65B1" w:rsidR="009B7857" w:rsidP="0008473C" w:rsidRDefault="009B7857" w14:paraId="62FBF8CD" w14:textId="4237B707">
            <w:pPr>
              <w:keepLines/>
              <w:rPr>
                <w:rFonts w:ascii="Palatino Linotype" w:hAnsi="Palatino Linotype"/>
              </w:rPr>
            </w:pPr>
          </w:p>
        </w:tc>
        <w:tc>
          <w:tcPr>
            <w:tcW w:w="3648" w:type="dxa"/>
            <w:tcBorders>
              <w:top w:val="single" w:color="auto" w:sz="4" w:space="0"/>
              <w:left w:val="nil"/>
              <w:bottom w:val="nil"/>
              <w:right w:val="nil"/>
            </w:tcBorders>
            <w:shd w:val="clear" w:color="auto" w:fill="auto"/>
          </w:tcPr>
          <w:p w:rsidRPr="008F65B1" w:rsidR="000460A5" w:rsidP="000460A5" w:rsidRDefault="00E03135" w14:paraId="37A58814" w14:textId="471E3E8A">
            <w:pPr>
              <w:keepLines/>
              <w:jc w:val="center"/>
              <w:rPr>
                <w:rFonts w:ascii="Palatino Linotype" w:hAnsi="Palatino Linotype"/>
              </w:rPr>
            </w:pPr>
            <w:r w:rsidRPr="008F65B1">
              <w:rPr>
                <w:rFonts w:ascii="Palatino Linotype" w:hAnsi="Palatino Linotype"/>
              </w:rPr>
              <w:t>R</w:t>
            </w:r>
            <w:r w:rsidRPr="008F65B1" w:rsidR="004E2D6A">
              <w:rPr>
                <w:rFonts w:ascii="Palatino Linotype" w:hAnsi="Palatino Linotype"/>
              </w:rPr>
              <w:t>achel</w:t>
            </w:r>
            <w:r w:rsidRPr="008F65B1">
              <w:rPr>
                <w:rFonts w:ascii="Palatino Linotype" w:hAnsi="Palatino Linotype"/>
              </w:rPr>
              <w:t xml:space="preserve"> </w:t>
            </w:r>
            <w:r w:rsidRPr="008F65B1" w:rsidR="003634B5">
              <w:rPr>
                <w:rFonts w:ascii="Palatino Linotype" w:hAnsi="Palatino Linotype"/>
              </w:rPr>
              <w:t xml:space="preserve">A. </w:t>
            </w:r>
            <w:r w:rsidRPr="008F65B1">
              <w:rPr>
                <w:rFonts w:ascii="Palatino Linotype" w:hAnsi="Palatino Linotype"/>
              </w:rPr>
              <w:t>P</w:t>
            </w:r>
            <w:r w:rsidRPr="008F65B1" w:rsidR="004E2D6A">
              <w:rPr>
                <w:rFonts w:ascii="Palatino Linotype" w:hAnsi="Palatino Linotype"/>
              </w:rPr>
              <w:t>eters</w:t>
            </w:r>
            <w:r w:rsidRPr="008F65B1" w:rsidR="000460A5">
              <w:rPr>
                <w:rFonts w:ascii="Palatino Linotype" w:hAnsi="Palatino Linotype"/>
              </w:rPr>
              <w:t>on</w:t>
            </w:r>
          </w:p>
          <w:p w:rsidRPr="0078377D" w:rsidR="00805FD6" w:rsidP="0008473C" w:rsidRDefault="00805FD6" w14:paraId="009835E2" w14:textId="50CC159A">
            <w:pPr>
              <w:keepLines/>
              <w:jc w:val="center"/>
              <w:rPr>
                <w:rFonts w:ascii="Palatino Linotype" w:hAnsi="Palatino Linotype"/>
              </w:rPr>
            </w:pPr>
            <w:r w:rsidRPr="00FD762A">
              <w:rPr>
                <w:rFonts w:ascii="Palatino Linotype" w:hAnsi="Palatino Linotype"/>
              </w:rPr>
              <w:t>Executive Director</w:t>
            </w:r>
          </w:p>
          <w:p w:rsidRPr="008F65B1" w:rsidR="00533759" w:rsidP="0008473C" w:rsidRDefault="00533759" w14:paraId="471C3F18" w14:textId="77777777">
            <w:pPr>
              <w:keepLines/>
              <w:jc w:val="center"/>
              <w:rPr>
                <w:rFonts w:ascii="Palatino Linotype" w:hAnsi="Palatino Linotype"/>
              </w:rPr>
            </w:pPr>
          </w:p>
          <w:p w:rsidRPr="00F97153" w:rsidR="00533759" w:rsidP="0008473C" w:rsidRDefault="00533759" w14:paraId="7784CD60" w14:textId="3E995C51">
            <w:pPr>
              <w:keepLines/>
              <w:jc w:val="center"/>
              <w:rPr>
                <w:rFonts w:ascii="Palatino Linotype" w:hAnsi="Palatino Linotype"/>
              </w:rPr>
            </w:pPr>
          </w:p>
        </w:tc>
      </w:tr>
    </w:tbl>
    <w:p w:rsidR="008E6E9A" w:rsidP="00C349E7" w:rsidRDefault="008E6E9A" w14:paraId="086449AD" w14:textId="4E6B6B7A"/>
    <w:sectPr w:rsidR="008E6E9A" w:rsidSect="002F1AE5">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55CEE" w14:textId="77777777" w:rsidR="00704167" w:rsidRDefault="00704167">
      <w:r>
        <w:separator/>
      </w:r>
    </w:p>
  </w:endnote>
  <w:endnote w:type="continuationSeparator" w:id="0">
    <w:p w14:paraId="3AB1E6EB" w14:textId="77777777" w:rsidR="00704167" w:rsidRDefault="00704167">
      <w:r>
        <w:continuationSeparator/>
      </w:r>
    </w:p>
  </w:endnote>
  <w:endnote w:type="continuationNotice" w:id="1">
    <w:p w14:paraId="21900EB1" w14:textId="77777777" w:rsidR="00704167" w:rsidRDefault="007041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20000A87" w:usb1="08000000" w:usb2="00000008" w:usb3="00000000" w:csb0="00000105"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641476"/>
      <w:docPartObj>
        <w:docPartGallery w:val="Page Numbers (Bottom of Page)"/>
        <w:docPartUnique/>
      </w:docPartObj>
    </w:sdtPr>
    <w:sdtEndPr>
      <w:rPr>
        <w:noProof/>
      </w:rPr>
    </w:sdtEndPr>
    <w:sdtContent>
      <w:p w14:paraId="701C4F1E" w14:textId="668B0480" w:rsidR="00E3298A" w:rsidRDefault="00E329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832643" w14:textId="77777777" w:rsidR="00C349E7" w:rsidRDefault="00C34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8F5E" w14:textId="1962D7FF" w:rsidR="004B5DA0" w:rsidRPr="004B5DA0" w:rsidRDefault="00E10DB8">
    <w:pPr>
      <w:pStyle w:val="Footer"/>
      <w:rPr>
        <w:rFonts w:ascii="Palatino Linotype" w:hAnsi="Palatino Linotype"/>
        <w:sz w:val="17"/>
        <w:szCs w:val="17"/>
      </w:rPr>
    </w:pPr>
    <w:r>
      <w:rPr>
        <w:rFonts w:ascii="Palatino Linotype" w:hAnsi="Palatino Linotype"/>
        <w:sz w:val="20"/>
        <w:szCs w:val="20"/>
      </w:rPr>
      <w:t>414981159</w:t>
    </w:r>
    <w:r w:rsidR="00674FD5" w:rsidRPr="00674FD5">
      <w:rPr>
        <w:rFonts w:ascii="Palatino Linotype" w:hAnsi="Palatino Linotype"/>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EF98D" w14:textId="77777777" w:rsidR="00704167" w:rsidRDefault="00704167">
      <w:r>
        <w:separator/>
      </w:r>
    </w:p>
  </w:footnote>
  <w:footnote w:type="continuationSeparator" w:id="0">
    <w:p w14:paraId="50AF60B4" w14:textId="77777777" w:rsidR="00704167" w:rsidRDefault="00704167">
      <w:r>
        <w:continuationSeparator/>
      </w:r>
    </w:p>
  </w:footnote>
  <w:footnote w:type="continuationNotice" w:id="1">
    <w:p w14:paraId="5512D45F" w14:textId="77777777" w:rsidR="00704167" w:rsidRDefault="00704167"/>
  </w:footnote>
  <w:footnote w:id="2">
    <w:p w14:paraId="5645A974" w14:textId="77777777" w:rsidR="00F43261" w:rsidRDefault="00F43261" w:rsidP="00F43261">
      <w:pPr>
        <w:pStyle w:val="FootnoteText"/>
      </w:pPr>
      <w:r>
        <w:rPr>
          <w:rStyle w:val="FootnoteReference"/>
        </w:rPr>
        <w:footnoteRef/>
      </w:r>
      <w:r>
        <w:t xml:space="preserve"> The statutory language uses the term “hearing impaired.”  The preferred term today is “hard of hearing,” and that term is used in this resolution.  </w:t>
      </w:r>
    </w:p>
  </w:footnote>
  <w:footnote w:id="3">
    <w:p w14:paraId="4982A89F" w14:textId="77777777" w:rsidR="00F43261" w:rsidRDefault="00F43261" w:rsidP="00F43261">
      <w:pPr>
        <w:pStyle w:val="FootnoteText"/>
      </w:pPr>
      <w:r>
        <w:rPr>
          <w:rStyle w:val="FootnoteReference"/>
        </w:rPr>
        <w:footnoteRef/>
      </w:r>
      <w:r>
        <w:t xml:space="preserve"> The Commission currently is advised by the DDTP consumer advisory boards: the Telecommunications Access for the Deaf and Disabled Administrative Committee (TADDAC), now</w:t>
      </w:r>
      <w:r w:rsidRPr="00CF134C">
        <w:t xml:space="preserve"> codified in PU Code section 278</w:t>
      </w:r>
      <w:r>
        <w:t xml:space="preserve">, and the Equipment Program Advisory Committee (EPAC), a subcommittee.  </w:t>
      </w:r>
    </w:p>
  </w:footnote>
  <w:footnote w:id="4">
    <w:p w14:paraId="348BC1AA" w14:textId="65ECF696" w:rsidR="00F43261" w:rsidRDefault="00F43261" w:rsidP="00F43261">
      <w:pPr>
        <w:pStyle w:val="FootnoteText"/>
      </w:pPr>
      <w:r>
        <w:rPr>
          <w:rStyle w:val="FootnoteReference"/>
        </w:rPr>
        <w:footnoteRef/>
      </w:r>
      <w:r>
        <w:t xml:space="preserve"> Participants in the </w:t>
      </w:r>
      <w:r w:rsidR="00D44151">
        <w:t>Commission</w:t>
      </w:r>
      <w:r>
        <w:t xml:space="preserve">’s </w:t>
      </w:r>
      <w:proofErr w:type="spellStart"/>
      <w:r>
        <w:t>LifeLine</w:t>
      </w:r>
      <w:proofErr w:type="spellEnd"/>
      <w:r>
        <w:t xml:space="preserve"> program do not pay the DDTP surcharge.</w:t>
      </w:r>
    </w:p>
  </w:footnote>
  <w:footnote w:id="5">
    <w:p w14:paraId="606E9861" w14:textId="33975FA1" w:rsidR="00D44151" w:rsidRDefault="00D44151">
      <w:pPr>
        <w:pStyle w:val="FootnoteText"/>
      </w:pPr>
      <w:r>
        <w:rPr>
          <w:rStyle w:val="FootnoteReference"/>
        </w:rPr>
        <w:footnoteRef/>
      </w:r>
      <w:r>
        <w:t xml:space="preserve"> Total reported intrastate revenue subject to surcharge was 10.027 billion in 2018, 7.371 billion in 2019, and 6.599 billion in 2020.  Currently, the projected </w:t>
      </w:r>
      <w:r w:rsidR="005D0711">
        <w:t>revenue subject to surcharge is $5.9 billion.</w:t>
      </w:r>
    </w:p>
  </w:footnote>
  <w:footnote w:id="6">
    <w:p w14:paraId="4ABAF5F5" w14:textId="4E378DAA" w:rsidR="009E0AA1" w:rsidRDefault="009E0AA1">
      <w:pPr>
        <w:pStyle w:val="FootnoteText"/>
      </w:pPr>
      <w:r>
        <w:rPr>
          <w:rStyle w:val="FootnoteReference"/>
        </w:rPr>
        <w:footnoteRef/>
      </w:r>
      <w:r>
        <w:t xml:space="preserve"> </w:t>
      </w:r>
      <w:r>
        <w:rPr>
          <w:i/>
        </w:rPr>
        <w:t xml:space="preserve">See </w:t>
      </w:r>
      <w:r>
        <w:t>PU Code § 275.</w:t>
      </w:r>
    </w:p>
  </w:footnote>
  <w:footnote w:id="7">
    <w:p w14:paraId="1396A5BD" w14:textId="126D8510" w:rsidR="009E0AA1" w:rsidRDefault="009E0AA1">
      <w:pPr>
        <w:pStyle w:val="FootnoteText"/>
      </w:pPr>
      <w:r>
        <w:rPr>
          <w:rStyle w:val="FootnoteReference"/>
        </w:rPr>
        <w:footnoteRef/>
      </w:r>
      <w:r>
        <w:t xml:space="preserve"> </w:t>
      </w:r>
      <w:r>
        <w:rPr>
          <w:i/>
        </w:rPr>
        <w:t xml:space="preserve">See </w:t>
      </w:r>
      <w:r>
        <w:t>PU Code § 285(c).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1C47" w14:textId="597C7B1E" w:rsidR="00C349E7" w:rsidRPr="002C122B" w:rsidRDefault="00C349E7" w:rsidP="00C349E7">
    <w:pPr>
      <w:pStyle w:val="Header"/>
      <w:tabs>
        <w:tab w:val="clear" w:pos="4320"/>
        <w:tab w:val="clear" w:pos="8640"/>
        <w:tab w:val="left" w:pos="4140"/>
        <w:tab w:val="right" w:pos="9360"/>
      </w:tabs>
      <w:rPr>
        <w:bCs/>
      </w:rPr>
    </w:pPr>
    <w:r>
      <w:t>Resolution T-17741                                       DRAFT</w:t>
    </w:r>
    <w:r>
      <w:tab/>
    </w:r>
    <w:r>
      <w:rPr>
        <w:bCs/>
      </w:rPr>
      <w:t xml:space="preserve">11/18/2021 </w:t>
    </w:r>
  </w:p>
  <w:p w14:paraId="14C439C2" w14:textId="4459B9D1" w:rsidR="003B1DBD" w:rsidRDefault="00C349E7" w:rsidP="00C349E7">
    <w:pPr>
      <w:pStyle w:val="Header"/>
      <w:tabs>
        <w:tab w:val="clear" w:pos="4320"/>
        <w:tab w:val="clear" w:pos="8640"/>
        <w:tab w:val="left" w:pos="4140"/>
        <w:tab w:val="right" w:pos="9360"/>
      </w:tabs>
    </w:pPr>
    <w:r>
      <w:t xml:space="preserve">CD/SKW-BJO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8CB2" w14:textId="30BC8B53" w:rsidR="002C122B" w:rsidRPr="002C122B" w:rsidRDefault="00FD6D6B" w:rsidP="00FD6D6B">
    <w:pPr>
      <w:pStyle w:val="Header"/>
      <w:tabs>
        <w:tab w:val="clear" w:pos="4320"/>
        <w:tab w:val="clear" w:pos="8640"/>
        <w:tab w:val="left" w:pos="4140"/>
        <w:tab w:val="right" w:pos="9360"/>
      </w:tabs>
      <w:rPr>
        <w:bCs/>
      </w:rPr>
    </w:pPr>
    <w:r>
      <w:t xml:space="preserve">Resolution </w:t>
    </w:r>
    <w:r w:rsidR="00DA1C3D">
      <w:t>T-17741</w:t>
    </w:r>
    <w:r w:rsidR="00F77A68">
      <w:t xml:space="preserve">                                       DRAFT</w:t>
    </w:r>
    <w:r>
      <w:tab/>
    </w:r>
    <w:r w:rsidR="00F77A68" w:rsidRPr="00C349E7">
      <w:rPr>
        <w:bCs/>
      </w:rPr>
      <w:t>Agenda ID:</w:t>
    </w:r>
    <w:r w:rsidR="00C858F7">
      <w:rPr>
        <w:bCs/>
      </w:rPr>
      <w:t xml:space="preserve"> 19995</w:t>
    </w:r>
    <w:r w:rsidR="00F77A68">
      <w:rPr>
        <w:bCs/>
      </w:rPr>
      <w:t xml:space="preserve">  </w:t>
    </w:r>
  </w:p>
  <w:p w14:paraId="4F50DC9B" w14:textId="317AECF1" w:rsidR="00FD6D6B" w:rsidRDefault="00FD6D6B" w:rsidP="00FD6D6B">
    <w:pPr>
      <w:pStyle w:val="Header"/>
      <w:tabs>
        <w:tab w:val="clear" w:pos="8640"/>
        <w:tab w:val="right" w:pos="9360"/>
      </w:tabs>
    </w:pPr>
    <w:r>
      <w:t>CD/</w:t>
    </w:r>
    <w:r w:rsidR="00F43261">
      <w:t>SKW</w:t>
    </w:r>
    <w:r w:rsidR="00F77A68">
      <w:t>-</w:t>
    </w:r>
    <w:r w:rsidR="00036A37">
      <w:t>BJO</w:t>
    </w:r>
    <w:r w:rsidR="00F77A68">
      <w:t xml:space="preserve">                                                                                                                 </w:t>
    </w:r>
  </w:p>
  <w:p w14:paraId="42A60AC3" w14:textId="77777777" w:rsidR="0078344D" w:rsidRDefault="00783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74E"/>
    <w:multiLevelType w:val="singleLevel"/>
    <w:tmpl w:val="F990C7A8"/>
    <w:lvl w:ilvl="0">
      <w:start w:val="1"/>
      <w:numFmt w:val="decimal"/>
      <w:lvlText w:val="%1."/>
      <w:legacy w:legacy="1" w:legacySpace="0" w:legacyIndent="360"/>
      <w:lvlJc w:val="left"/>
      <w:pPr>
        <w:ind w:left="360" w:hanging="360"/>
      </w:pPr>
    </w:lvl>
  </w:abstractNum>
  <w:abstractNum w:abstractNumId="1" w15:restartNumberingAfterBreak="0">
    <w:nsid w:val="07211AEE"/>
    <w:multiLevelType w:val="hybridMultilevel"/>
    <w:tmpl w:val="D0CEE69C"/>
    <w:lvl w:ilvl="0" w:tplc="F44C94EC">
      <w:start w:val="1"/>
      <w:numFmt w:val="decimal"/>
      <w:lvlText w:val="%1."/>
      <w:lvlJc w:val="left"/>
      <w:pPr>
        <w:tabs>
          <w:tab w:val="num" w:pos="240"/>
        </w:tabs>
        <w:ind w:left="240" w:hanging="60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AC07052"/>
    <w:multiLevelType w:val="hybridMultilevel"/>
    <w:tmpl w:val="992A8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D5C9C"/>
    <w:multiLevelType w:val="hybridMultilevel"/>
    <w:tmpl w:val="2180AC84"/>
    <w:lvl w:ilvl="0" w:tplc="496E4E4E">
      <w:start w:val="1"/>
      <w:numFmt w:val="decimal"/>
      <w:lvlText w:val="%1."/>
      <w:lvlJc w:val="left"/>
      <w:pPr>
        <w:tabs>
          <w:tab w:val="num" w:pos="240"/>
        </w:tabs>
        <w:ind w:left="24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377945"/>
    <w:multiLevelType w:val="hybridMultilevel"/>
    <w:tmpl w:val="2BFE11B0"/>
    <w:lvl w:ilvl="0" w:tplc="9938A792">
      <w:start w:val="1"/>
      <w:numFmt w:val="decimal"/>
      <w:lvlText w:val="%1."/>
      <w:lvlJc w:val="left"/>
      <w:pPr>
        <w:tabs>
          <w:tab w:val="num" w:pos="240"/>
        </w:tabs>
        <w:ind w:left="240" w:hanging="60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76BC62C1"/>
    <w:multiLevelType w:val="hybridMultilevel"/>
    <w:tmpl w:val="A43C32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4C61A7"/>
    <w:multiLevelType w:val="singleLevel"/>
    <w:tmpl w:val="383CBABE"/>
    <w:lvl w:ilvl="0">
      <w:start w:val="1"/>
      <w:numFmt w:val="decimal"/>
      <w:lvlText w:val="%1."/>
      <w:legacy w:legacy="1" w:legacySpace="0" w:legacyIndent="360"/>
      <w:lvlJc w:val="left"/>
      <w:pPr>
        <w:ind w:left="360" w:hanging="360"/>
      </w:p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0"/>
    <w:lvlOverride w:ilvl="0">
      <w:lvl w:ilvl="0">
        <w:start w:val="1"/>
        <w:numFmt w:val="decimal"/>
        <w:lvlText w:val="%1."/>
        <w:legacy w:legacy="1" w:legacySpace="0" w:legacyIndent="360"/>
        <w:lvlJc w:val="left"/>
        <w:pPr>
          <w:ind w:left="360" w:hanging="360"/>
        </w:pPr>
      </w:lvl>
    </w:lvlOverride>
  </w:num>
  <w:num w:numId="8">
    <w:abstractNumId w:val="6"/>
    <w:lvlOverride w:ilvl="0">
      <w:lvl w:ilvl="0">
        <w:start w:val="1"/>
        <w:numFmt w:val="decimal"/>
        <w:lvlText w:val="%1."/>
        <w:legacy w:legacy="1" w:legacySpace="0" w:legacyIndent="360"/>
        <w:lvlJc w:val="left"/>
        <w:pPr>
          <w:ind w:left="360" w:hanging="360"/>
        </w:pPr>
      </w:lvl>
    </w:lvlOverride>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ctiveWritingStyle w:lang="en-US" w:vendorID="64" w:dllVersion="0" w:nlCheck="1" w:checkStyle="0" w:appName="MSWor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BD"/>
    <w:rsid w:val="00002676"/>
    <w:rsid w:val="00003B52"/>
    <w:rsid w:val="0000410B"/>
    <w:rsid w:val="00004407"/>
    <w:rsid w:val="00005A55"/>
    <w:rsid w:val="00006E15"/>
    <w:rsid w:val="00011ADF"/>
    <w:rsid w:val="00013029"/>
    <w:rsid w:val="00013DE0"/>
    <w:rsid w:val="00014683"/>
    <w:rsid w:val="000156EC"/>
    <w:rsid w:val="00015C71"/>
    <w:rsid w:val="0001742D"/>
    <w:rsid w:val="00021C9C"/>
    <w:rsid w:val="00021D1D"/>
    <w:rsid w:val="00022981"/>
    <w:rsid w:val="00023A7C"/>
    <w:rsid w:val="00024AFF"/>
    <w:rsid w:val="000279D2"/>
    <w:rsid w:val="00031CE1"/>
    <w:rsid w:val="00033467"/>
    <w:rsid w:val="00036A37"/>
    <w:rsid w:val="000405FD"/>
    <w:rsid w:val="0004177E"/>
    <w:rsid w:val="00042335"/>
    <w:rsid w:val="00045062"/>
    <w:rsid w:val="000460A5"/>
    <w:rsid w:val="000462B4"/>
    <w:rsid w:val="000559CD"/>
    <w:rsid w:val="00055A75"/>
    <w:rsid w:val="00055CAC"/>
    <w:rsid w:val="0006023A"/>
    <w:rsid w:val="00061C68"/>
    <w:rsid w:val="00062E72"/>
    <w:rsid w:val="0006338B"/>
    <w:rsid w:val="00063659"/>
    <w:rsid w:val="00065CA3"/>
    <w:rsid w:val="00066B61"/>
    <w:rsid w:val="00067039"/>
    <w:rsid w:val="0007379A"/>
    <w:rsid w:val="00073EC5"/>
    <w:rsid w:val="00075B1E"/>
    <w:rsid w:val="00075C2C"/>
    <w:rsid w:val="00075FA1"/>
    <w:rsid w:val="00076162"/>
    <w:rsid w:val="000761D9"/>
    <w:rsid w:val="00076B51"/>
    <w:rsid w:val="00076D99"/>
    <w:rsid w:val="00077CEE"/>
    <w:rsid w:val="000800CC"/>
    <w:rsid w:val="0008029A"/>
    <w:rsid w:val="00082101"/>
    <w:rsid w:val="000827F0"/>
    <w:rsid w:val="0008473C"/>
    <w:rsid w:val="00084C73"/>
    <w:rsid w:val="00085712"/>
    <w:rsid w:val="000859EC"/>
    <w:rsid w:val="00087431"/>
    <w:rsid w:val="00087AFA"/>
    <w:rsid w:val="00092868"/>
    <w:rsid w:val="00092F18"/>
    <w:rsid w:val="000A059A"/>
    <w:rsid w:val="000A08C2"/>
    <w:rsid w:val="000A1D9F"/>
    <w:rsid w:val="000A2836"/>
    <w:rsid w:val="000A77DF"/>
    <w:rsid w:val="000B1EDE"/>
    <w:rsid w:val="000B4D28"/>
    <w:rsid w:val="000B57FA"/>
    <w:rsid w:val="000B5A0D"/>
    <w:rsid w:val="000B7070"/>
    <w:rsid w:val="000C0B92"/>
    <w:rsid w:val="000C0BC3"/>
    <w:rsid w:val="000C1D20"/>
    <w:rsid w:val="000C2EB3"/>
    <w:rsid w:val="000C2FAB"/>
    <w:rsid w:val="000C3C18"/>
    <w:rsid w:val="000C4EF8"/>
    <w:rsid w:val="000C5653"/>
    <w:rsid w:val="000C6055"/>
    <w:rsid w:val="000C6D9D"/>
    <w:rsid w:val="000C70EF"/>
    <w:rsid w:val="000D1240"/>
    <w:rsid w:val="000D1C66"/>
    <w:rsid w:val="000D2598"/>
    <w:rsid w:val="000D4A96"/>
    <w:rsid w:val="000D55C3"/>
    <w:rsid w:val="000D7D31"/>
    <w:rsid w:val="000E0402"/>
    <w:rsid w:val="000E0614"/>
    <w:rsid w:val="000E3EDA"/>
    <w:rsid w:val="000E4644"/>
    <w:rsid w:val="000E6CAF"/>
    <w:rsid w:val="000E75B5"/>
    <w:rsid w:val="000F0161"/>
    <w:rsid w:val="000F11B6"/>
    <w:rsid w:val="000F32F8"/>
    <w:rsid w:val="000F5608"/>
    <w:rsid w:val="0010055A"/>
    <w:rsid w:val="00100C10"/>
    <w:rsid w:val="00100C5F"/>
    <w:rsid w:val="0010134D"/>
    <w:rsid w:val="00102405"/>
    <w:rsid w:val="00103570"/>
    <w:rsid w:val="0010358E"/>
    <w:rsid w:val="00104186"/>
    <w:rsid w:val="00105790"/>
    <w:rsid w:val="00107DEA"/>
    <w:rsid w:val="00110237"/>
    <w:rsid w:val="00110B18"/>
    <w:rsid w:val="00110B51"/>
    <w:rsid w:val="00110BE0"/>
    <w:rsid w:val="00112517"/>
    <w:rsid w:val="00113B18"/>
    <w:rsid w:val="001156E3"/>
    <w:rsid w:val="00116F74"/>
    <w:rsid w:val="00117B3E"/>
    <w:rsid w:val="00117ED0"/>
    <w:rsid w:val="001201C6"/>
    <w:rsid w:val="00121866"/>
    <w:rsid w:val="001222D7"/>
    <w:rsid w:val="001229E3"/>
    <w:rsid w:val="00122E8D"/>
    <w:rsid w:val="00125853"/>
    <w:rsid w:val="001269A2"/>
    <w:rsid w:val="001269D6"/>
    <w:rsid w:val="001273CE"/>
    <w:rsid w:val="001276D7"/>
    <w:rsid w:val="001305B0"/>
    <w:rsid w:val="00131F8D"/>
    <w:rsid w:val="00134927"/>
    <w:rsid w:val="00135B95"/>
    <w:rsid w:val="00135FA2"/>
    <w:rsid w:val="00140B72"/>
    <w:rsid w:val="00140F9B"/>
    <w:rsid w:val="0014179E"/>
    <w:rsid w:val="00143642"/>
    <w:rsid w:val="00143BFA"/>
    <w:rsid w:val="00146E26"/>
    <w:rsid w:val="00146F8B"/>
    <w:rsid w:val="00147C87"/>
    <w:rsid w:val="00151D7C"/>
    <w:rsid w:val="00153665"/>
    <w:rsid w:val="001566BE"/>
    <w:rsid w:val="0015670C"/>
    <w:rsid w:val="001618B7"/>
    <w:rsid w:val="00162B96"/>
    <w:rsid w:val="00163250"/>
    <w:rsid w:val="001640E9"/>
    <w:rsid w:val="00165561"/>
    <w:rsid w:val="001662FB"/>
    <w:rsid w:val="00167A40"/>
    <w:rsid w:val="001716EC"/>
    <w:rsid w:val="00172ECB"/>
    <w:rsid w:val="001732BE"/>
    <w:rsid w:val="00174A2A"/>
    <w:rsid w:val="001766F3"/>
    <w:rsid w:val="00181A72"/>
    <w:rsid w:val="00181B5C"/>
    <w:rsid w:val="00182DB2"/>
    <w:rsid w:val="00182EBA"/>
    <w:rsid w:val="00183268"/>
    <w:rsid w:val="00184241"/>
    <w:rsid w:val="00184806"/>
    <w:rsid w:val="00185A5C"/>
    <w:rsid w:val="00185C23"/>
    <w:rsid w:val="00190B50"/>
    <w:rsid w:val="00192D5B"/>
    <w:rsid w:val="00193202"/>
    <w:rsid w:val="00193448"/>
    <w:rsid w:val="00193DF5"/>
    <w:rsid w:val="00194D8C"/>
    <w:rsid w:val="00197F25"/>
    <w:rsid w:val="001A1B03"/>
    <w:rsid w:val="001A1E18"/>
    <w:rsid w:val="001A2A63"/>
    <w:rsid w:val="001A3951"/>
    <w:rsid w:val="001A57F1"/>
    <w:rsid w:val="001A62D9"/>
    <w:rsid w:val="001A6DE6"/>
    <w:rsid w:val="001A728D"/>
    <w:rsid w:val="001B05FA"/>
    <w:rsid w:val="001B11E8"/>
    <w:rsid w:val="001B2F83"/>
    <w:rsid w:val="001B3E27"/>
    <w:rsid w:val="001B60C6"/>
    <w:rsid w:val="001B7B7F"/>
    <w:rsid w:val="001C306E"/>
    <w:rsid w:val="001C44DB"/>
    <w:rsid w:val="001D0707"/>
    <w:rsid w:val="001D1AFD"/>
    <w:rsid w:val="001D44F7"/>
    <w:rsid w:val="001D4A9D"/>
    <w:rsid w:val="001D4D97"/>
    <w:rsid w:val="001D5232"/>
    <w:rsid w:val="001D68DB"/>
    <w:rsid w:val="001E03B0"/>
    <w:rsid w:val="001E2FF7"/>
    <w:rsid w:val="001E5083"/>
    <w:rsid w:val="001E6018"/>
    <w:rsid w:val="001E703C"/>
    <w:rsid w:val="001F1A0F"/>
    <w:rsid w:val="001F48E8"/>
    <w:rsid w:val="002012B2"/>
    <w:rsid w:val="00201DE8"/>
    <w:rsid w:val="00202B68"/>
    <w:rsid w:val="00204BF3"/>
    <w:rsid w:val="00204CB5"/>
    <w:rsid w:val="0020535F"/>
    <w:rsid w:val="00206249"/>
    <w:rsid w:val="00207E5D"/>
    <w:rsid w:val="002103DF"/>
    <w:rsid w:val="00211DF2"/>
    <w:rsid w:val="00212636"/>
    <w:rsid w:val="00213189"/>
    <w:rsid w:val="00214D4D"/>
    <w:rsid w:val="002156E5"/>
    <w:rsid w:val="00216FE5"/>
    <w:rsid w:val="0021704F"/>
    <w:rsid w:val="00217FDE"/>
    <w:rsid w:val="002207C0"/>
    <w:rsid w:val="002215CC"/>
    <w:rsid w:val="0022674E"/>
    <w:rsid w:val="00226EED"/>
    <w:rsid w:val="00232130"/>
    <w:rsid w:val="00232764"/>
    <w:rsid w:val="00235FF6"/>
    <w:rsid w:val="00237742"/>
    <w:rsid w:val="00242167"/>
    <w:rsid w:val="00242C36"/>
    <w:rsid w:val="00244AAB"/>
    <w:rsid w:val="00244B94"/>
    <w:rsid w:val="0024655B"/>
    <w:rsid w:val="00246F18"/>
    <w:rsid w:val="00247D33"/>
    <w:rsid w:val="00251BF9"/>
    <w:rsid w:val="00251C41"/>
    <w:rsid w:val="00253F1A"/>
    <w:rsid w:val="00255A75"/>
    <w:rsid w:val="00261EA8"/>
    <w:rsid w:val="0026237F"/>
    <w:rsid w:val="00263C54"/>
    <w:rsid w:val="00264221"/>
    <w:rsid w:val="00264D75"/>
    <w:rsid w:val="00264E2F"/>
    <w:rsid w:val="0026641C"/>
    <w:rsid w:val="00266D56"/>
    <w:rsid w:val="002677E7"/>
    <w:rsid w:val="00270458"/>
    <w:rsid w:val="00270E32"/>
    <w:rsid w:val="00272CF9"/>
    <w:rsid w:val="002742E2"/>
    <w:rsid w:val="00274665"/>
    <w:rsid w:val="00277376"/>
    <w:rsid w:val="002805A9"/>
    <w:rsid w:val="0028078D"/>
    <w:rsid w:val="002810E1"/>
    <w:rsid w:val="00282263"/>
    <w:rsid w:val="00282D23"/>
    <w:rsid w:val="00282D57"/>
    <w:rsid w:val="00283CB9"/>
    <w:rsid w:val="00284910"/>
    <w:rsid w:val="00286995"/>
    <w:rsid w:val="00291A8F"/>
    <w:rsid w:val="00291E92"/>
    <w:rsid w:val="00294495"/>
    <w:rsid w:val="002965F6"/>
    <w:rsid w:val="00296AA4"/>
    <w:rsid w:val="00296B11"/>
    <w:rsid w:val="002A2154"/>
    <w:rsid w:val="002A59E5"/>
    <w:rsid w:val="002A6A19"/>
    <w:rsid w:val="002A77D8"/>
    <w:rsid w:val="002A7D53"/>
    <w:rsid w:val="002B0A85"/>
    <w:rsid w:val="002B0E96"/>
    <w:rsid w:val="002B1B55"/>
    <w:rsid w:val="002B3DAB"/>
    <w:rsid w:val="002B4810"/>
    <w:rsid w:val="002B6AD7"/>
    <w:rsid w:val="002C0424"/>
    <w:rsid w:val="002C051F"/>
    <w:rsid w:val="002C122B"/>
    <w:rsid w:val="002C1CB2"/>
    <w:rsid w:val="002C2D22"/>
    <w:rsid w:val="002C30BA"/>
    <w:rsid w:val="002C3563"/>
    <w:rsid w:val="002C3A02"/>
    <w:rsid w:val="002C4017"/>
    <w:rsid w:val="002C4EBF"/>
    <w:rsid w:val="002C5C4D"/>
    <w:rsid w:val="002C6527"/>
    <w:rsid w:val="002C6615"/>
    <w:rsid w:val="002D10C7"/>
    <w:rsid w:val="002D1F69"/>
    <w:rsid w:val="002D3441"/>
    <w:rsid w:val="002D5B98"/>
    <w:rsid w:val="002D6FB4"/>
    <w:rsid w:val="002D7DF5"/>
    <w:rsid w:val="002E1C8A"/>
    <w:rsid w:val="002E3409"/>
    <w:rsid w:val="002E4377"/>
    <w:rsid w:val="002E5483"/>
    <w:rsid w:val="002E600A"/>
    <w:rsid w:val="002E669B"/>
    <w:rsid w:val="002E6C96"/>
    <w:rsid w:val="002E76AF"/>
    <w:rsid w:val="002F0E02"/>
    <w:rsid w:val="002F0E17"/>
    <w:rsid w:val="002F1AE5"/>
    <w:rsid w:val="002F1F2A"/>
    <w:rsid w:val="002F28FD"/>
    <w:rsid w:val="002F2973"/>
    <w:rsid w:val="002F4305"/>
    <w:rsid w:val="002F4E5B"/>
    <w:rsid w:val="002F6439"/>
    <w:rsid w:val="002F6CEC"/>
    <w:rsid w:val="002F7682"/>
    <w:rsid w:val="003044BB"/>
    <w:rsid w:val="00305CEA"/>
    <w:rsid w:val="00307160"/>
    <w:rsid w:val="0030733F"/>
    <w:rsid w:val="00307C38"/>
    <w:rsid w:val="0031182A"/>
    <w:rsid w:val="00311E0E"/>
    <w:rsid w:val="003135A8"/>
    <w:rsid w:val="003141C7"/>
    <w:rsid w:val="00314A0C"/>
    <w:rsid w:val="00314C76"/>
    <w:rsid w:val="0032025F"/>
    <w:rsid w:val="00320F01"/>
    <w:rsid w:val="00325D76"/>
    <w:rsid w:val="00331714"/>
    <w:rsid w:val="00332E3F"/>
    <w:rsid w:val="00333AC3"/>
    <w:rsid w:val="00333F92"/>
    <w:rsid w:val="003351B8"/>
    <w:rsid w:val="00335508"/>
    <w:rsid w:val="0033784B"/>
    <w:rsid w:val="00337AAE"/>
    <w:rsid w:val="003425B6"/>
    <w:rsid w:val="00342EE3"/>
    <w:rsid w:val="00343BA7"/>
    <w:rsid w:val="00344784"/>
    <w:rsid w:val="00353776"/>
    <w:rsid w:val="003617FD"/>
    <w:rsid w:val="0036307D"/>
    <w:rsid w:val="003634B5"/>
    <w:rsid w:val="00364CDC"/>
    <w:rsid w:val="00365860"/>
    <w:rsid w:val="00365E36"/>
    <w:rsid w:val="00372B37"/>
    <w:rsid w:val="003775E8"/>
    <w:rsid w:val="00377A83"/>
    <w:rsid w:val="00377CE8"/>
    <w:rsid w:val="00381DF2"/>
    <w:rsid w:val="003841F1"/>
    <w:rsid w:val="00384E20"/>
    <w:rsid w:val="0038504D"/>
    <w:rsid w:val="00385735"/>
    <w:rsid w:val="0038632E"/>
    <w:rsid w:val="0038649F"/>
    <w:rsid w:val="00391081"/>
    <w:rsid w:val="00392B8A"/>
    <w:rsid w:val="00393248"/>
    <w:rsid w:val="00394ACC"/>
    <w:rsid w:val="003954AA"/>
    <w:rsid w:val="0039669C"/>
    <w:rsid w:val="003A0BC6"/>
    <w:rsid w:val="003A1AF8"/>
    <w:rsid w:val="003A3CF3"/>
    <w:rsid w:val="003A4A78"/>
    <w:rsid w:val="003A5008"/>
    <w:rsid w:val="003A55F7"/>
    <w:rsid w:val="003A5CB0"/>
    <w:rsid w:val="003A6C2D"/>
    <w:rsid w:val="003A6E6E"/>
    <w:rsid w:val="003B1986"/>
    <w:rsid w:val="003B19EF"/>
    <w:rsid w:val="003B1DBD"/>
    <w:rsid w:val="003B2A63"/>
    <w:rsid w:val="003B4995"/>
    <w:rsid w:val="003B642F"/>
    <w:rsid w:val="003B69FE"/>
    <w:rsid w:val="003B7DF9"/>
    <w:rsid w:val="003C09B9"/>
    <w:rsid w:val="003C3205"/>
    <w:rsid w:val="003C4421"/>
    <w:rsid w:val="003C6FB3"/>
    <w:rsid w:val="003D08E5"/>
    <w:rsid w:val="003D16A6"/>
    <w:rsid w:val="003D17C3"/>
    <w:rsid w:val="003D1AE5"/>
    <w:rsid w:val="003D519C"/>
    <w:rsid w:val="003D675D"/>
    <w:rsid w:val="003D6CA2"/>
    <w:rsid w:val="003D7151"/>
    <w:rsid w:val="003D7FB4"/>
    <w:rsid w:val="003E0382"/>
    <w:rsid w:val="003E17DC"/>
    <w:rsid w:val="003E3266"/>
    <w:rsid w:val="003E3F4C"/>
    <w:rsid w:val="003E60D0"/>
    <w:rsid w:val="003E63D3"/>
    <w:rsid w:val="003E7A0E"/>
    <w:rsid w:val="003F25A6"/>
    <w:rsid w:val="003F32B9"/>
    <w:rsid w:val="003F6369"/>
    <w:rsid w:val="003F726F"/>
    <w:rsid w:val="00401BE8"/>
    <w:rsid w:val="00401CF4"/>
    <w:rsid w:val="00403EA9"/>
    <w:rsid w:val="004049C6"/>
    <w:rsid w:val="0040641C"/>
    <w:rsid w:val="0040671E"/>
    <w:rsid w:val="004071F9"/>
    <w:rsid w:val="0040798B"/>
    <w:rsid w:val="00410CD8"/>
    <w:rsid w:val="004118E9"/>
    <w:rsid w:val="00412F0C"/>
    <w:rsid w:val="00413F83"/>
    <w:rsid w:val="00414329"/>
    <w:rsid w:val="004160F9"/>
    <w:rsid w:val="00416BCE"/>
    <w:rsid w:val="0042022E"/>
    <w:rsid w:val="004208A4"/>
    <w:rsid w:val="00420ADB"/>
    <w:rsid w:val="00426552"/>
    <w:rsid w:val="00427117"/>
    <w:rsid w:val="00430F6B"/>
    <w:rsid w:val="004313BE"/>
    <w:rsid w:val="00431E97"/>
    <w:rsid w:val="00432E27"/>
    <w:rsid w:val="00434F84"/>
    <w:rsid w:val="0043799E"/>
    <w:rsid w:val="00437A54"/>
    <w:rsid w:val="004405C8"/>
    <w:rsid w:val="00441080"/>
    <w:rsid w:val="00442E00"/>
    <w:rsid w:val="0044490B"/>
    <w:rsid w:val="00447354"/>
    <w:rsid w:val="0044745E"/>
    <w:rsid w:val="00447757"/>
    <w:rsid w:val="004525D5"/>
    <w:rsid w:val="00455B1A"/>
    <w:rsid w:val="004565FD"/>
    <w:rsid w:val="00456C0B"/>
    <w:rsid w:val="00460A96"/>
    <w:rsid w:val="00464AA3"/>
    <w:rsid w:val="00467129"/>
    <w:rsid w:val="00470B99"/>
    <w:rsid w:val="00471C19"/>
    <w:rsid w:val="0047228D"/>
    <w:rsid w:val="00473483"/>
    <w:rsid w:val="00475465"/>
    <w:rsid w:val="004756A6"/>
    <w:rsid w:val="004804B2"/>
    <w:rsid w:val="00480DAB"/>
    <w:rsid w:val="00481BE0"/>
    <w:rsid w:val="00482BB7"/>
    <w:rsid w:val="00484AF9"/>
    <w:rsid w:val="004850E3"/>
    <w:rsid w:val="0048741E"/>
    <w:rsid w:val="00487875"/>
    <w:rsid w:val="00487964"/>
    <w:rsid w:val="00487C1A"/>
    <w:rsid w:val="0049085A"/>
    <w:rsid w:val="00491DF0"/>
    <w:rsid w:val="00493F9A"/>
    <w:rsid w:val="00496608"/>
    <w:rsid w:val="00496A96"/>
    <w:rsid w:val="00497803"/>
    <w:rsid w:val="004A4A27"/>
    <w:rsid w:val="004A592E"/>
    <w:rsid w:val="004A61AF"/>
    <w:rsid w:val="004A6A08"/>
    <w:rsid w:val="004B0D49"/>
    <w:rsid w:val="004B2C64"/>
    <w:rsid w:val="004B301D"/>
    <w:rsid w:val="004B3623"/>
    <w:rsid w:val="004B4716"/>
    <w:rsid w:val="004B540E"/>
    <w:rsid w:val="004B5DA0"/>
    <w:rsid w:val="004B6A19"/>
    <w:rsid w:val="004B73AB"/>
    <w:rsid w:val="004C1E71"/>
    <w:rsid w:val="004C2098"/>
    <w:rsid w:val="004C2884"/>
    <w:rsid w:val="004C38FB"/>
    <w:rsid w:val="004C55AA"/>
    <w:rsid w:val="004C5D85"/>
    <w:rsid w:val="004C5D97"/>
    <w:rsid w:val="004D0355"/>
    <w:rsid w:val="004D0EA2"/>
    <w:rsid w:val="004D330F"/>
    <w:rsid w:val="004D4CD4"/>
    <w:rsid w:val="004D5ACD"/>
    <w:rsid w:val="004D5FE9"/>
    <w:rsid w:val="004D623C"/>
    <w:rsid w:val="004D712E"/>
    <w:rsid w:val="004D7F0F"/>
    <w:rsid w:val="004E017C"/>
    <w:rsid w:val="004E2D6A"/>
    <w:rsid w:val="004F1B47"/>
    <w:rsid w:val="004F5439"/>
    <w:rsid w:val="004F5BD8"/>
    <w:rsid w:val="004F63CB"/>
    <w:rsid w:val="004F7125"/>
    <w:rsid w:val="00501233"/>
    <w:rsid w:val="00502078"/>
    <w:rsid w:val="00504A6A"/>
    <w:rsid w:val="005101E4"/>
    <w:rsid w:val="005105A4"/>
    <w:rsid w:val="005119D4"/>
    <w:rsid w:val="005125F9"/>
    <w:rsid w:val="00514C74"/>
    <w:rsid w:val="00517BC6"/>
    <w:rsid w:val="00520C68"/>
    <w:rsid w:val="005214D8"/>
    <w:rsid w:val="005216E0"/>
    <w:rsid w:val="00522680"/>
    <w:rsid w:val="00525A45"/>
    <w:rsid w:val="00526F25"/>
    <w:rsid w:val="00530433"/>
    <w:rsid w:val="00530884"/>
    <w:rsid w:val="00532A5E"/>
    <w:rsid w:val="00532A90"/>
    <w:rsid w:val="00533759"/>
    <w:rsid w:val="00533BE2"/>
    <w:rsid w:val="00536317"/>
    <w:rsid w:val="00536CDE"/>
    <w:rsid w:val="00537DD0"/>
    <w:rsid w:val="00541AD8"/>
    <w:rsid w:val="00542D44"/>
    <w:rsid w:val="00542E7F"/>
    <w:rsid w:val="00543734"/>
    <w:rsid w:val="00544E60"/>
    <w:rsid w:val="005457A7"/>
    <w:rsid w:val="005457E1"/>
    <w:rsid w:val="005465B5"/>
    <w:rsid w:val="00546756"/>
    <w:rsid w:val="005500D5"/>
    <w:rsid w:val="005527F1"/>
    <w:rsid w:val="005541D7"/>
    <w:rsid w:val="005542E8"/>
    <w:rsid w:val="00555C5A"/>
    <w:rsid w:val="00557C93"/>
    <w:rsid w:val="005602C2"/>
    <w:rsid w:val="00560555"/>
    <w:rsid w:val="00561503"/>
    <w:rsid w:val="0056163D"/>
    <w:rsid w:val="0056563B"/>
    <w:rsid w:val="00566A90"/>
    <w:rsid w:val="0056702C"/>
    <w:rsid w:val="00570A36"/>
    <w:rsid w:val="00571827"/>
    <w:rsid w:val="0057339F"/>
    <w:rsid w:val="00574080"/>
    <w:rsid w:val="00574653"/>
    <w:rsid w:val="00575067"/>
    <w:rsid w:val="005758BB"/>
    <w:rsid w:val="00575BC4"/>
    <w:rsid w:val="00576D20"/>
    <w:rsid w:val="0057732C"/>
    <w:rsid w:val="0058004F"/>
    <w:rsid w:val="00582433"/>
    <w:rsid w:val="00582907"/>
    <w:rsid w:val="00583768"/>
    <w:rsid w:val="00583885"/>
    <w:rsid w:val="005841B6"/>
    <w:rsid w:val="00586EE9"/>
    <w:rsid w:val="00590F1E"/>
    <w:rsid w:val="005911BA"/>
    <w:rsid w:val="00592EF8"/>
    <w:rsid w:val="005939C4"/>
    <w:rsid w:val="005953D1"/>
    <w:rsid w:val="005966E8"/>
    <w:rsid w:val="005A04F5"/>
    <w:rsid w:val="005A0672"/>
    <w:rsid w:val="005A11DF"/>
    <w:rsid w:val="005A212C"/>
    <w:rsid w:val="005A2607"/>
    <w:rsid w:val="005A2BB3"/>
    <w:rsid w:val="005A447C"/>
    <w:rsid w:val="005A4649"/>
    <w:rsid w:val="005A480F"/>
    <w:rsid w:val="005A4A84"/>
    <w:rsid w:val="005A5C0A"/>
    <w:rsid w:val="005A5ED2"/>
    <w:rsid w:val="005A6E99"/>
    <w:rsid w:val="005A7FB2"/>
    <w:rsid w:val="005B149E"/>
    <w:rsid w:val="005B3BCE"/>
    <w:rsid w:val="005B44EE"/>
    <w:rsid w:val="005B710D"/>
    <w:rsid w:val="005C0244"/>
    <w:rsid w:val="005C0971"/>
    <w:rsid w:val="005C14FC"/>
    <w:rsid w:val="005C21A8"/>
    <w:rsid w:val="005C28A4"/>
    <w:rsid w:val="005C2F37"/>
    <w:rsid w:val="005C3120"/>
    <w:rsid w:val="005C4DB1"/>
    <w:rsid w:val="005C6667"/>
    <w:rsid w:val="005D0711"/>
    <w:rsid w:val="005D5790"/>
    <w:rsid w:val="005D5D73"/>
    <w:rsid w:val="005D7462"/>
    <w:rsid w:val="005E18AA"/>
    <w:rsid w:val="005E2630"/>
    <w:rsid w:val="005E36D7"/>
    <w:rsid w:val="005E5539"/>
    <w:rsid w:val="005F3579"/>
    <w:rsid w:val="005F481B"/>
    <w:rsid w:val="005F53EC"/>
    <w:rsid w:val="005F586A"/>
    <w:rsid w:val="005F73CD"/>
    <w:rsid w:val="006000AA"/>
    <w:rsid w:val="00601112"/>
    <w:rsid w:val="006011D9"/>
    <w:rsid w:val="006022B7"/>
    <w:rsid w:val="0060266F"/>
    <w:rsid w:val="00602AD5"/>
    <w:rsid w:val="006047C8"/>
    <w:rsid w:val="00604FD5"/>
    <w:rsid w:val="006061C1"/>
    <w:rsid w:val="006102BA"/>
    <w:rsid w:val="00611B10"/>
    <w:rsid w:val="00613AEC"/>
    <w:rsid w:val="00613BA2"/>
    <w:rsid w:val="00614E4B"/>
    <w:rsid w:val="006150A9"/>
    <w:rsid w:val="00615B1A"/>
    <w:rsid w:val="006230BA"/>
    <w:rsid w:val="00623EA6"/>
    <w:rsid w:val="00625DB3"/>
    <w:rsid w:val="006264FD"/>
    <w:rsid w:val="006265AF"/>
    <w:rsid w:val="0063092E"/>
    <w:rsid w:val="006319A8"/>
    <w:rsid w:val="00632B48"/>
    <w:rsid w:val="00633F5E"/>
    <w:rsid w:val="00634567"/>
    <w:rsid w:val="0063634A"/>
    <w:rsid w:val="006420F3"/>
    <w:rsid w:val="00644349"/>
    <w:rsid w:val="0064661A"/>
    <w:rsid w:val="00651727"/>
    <w:rsid w:val="00653237"/>
    <w:rsid w:val="00654010"/>
    <w:rsid w:val="0065533C"/>
    <w:rsid w:val="00655D56"/>
    <w:rsid w:val="006602E7"/>
    <w:rsid w:val="00661E9E"/>
    <w:rsid w:val="00662D96"/>
    <w:rsid w:val="00666573"/>
    <w:rsid w:val="00674FD5"/>
    <w:rsid w:val="00675476"/>
    <w:rsid w:val="006761A6"/>
    <w:rsid w:val="0068148A"/>
    <w:rsid w:val="00686BEF"/>
    <w:rsid w:val="00686C01"/>
    <w:rsid w:val="00690387"/>
    <w:rsid w:val="00690E20"/>
    <w:rsid w:val="00693B4A"/>
    <w:rsid w:val="00695ECC"/>
    <w:rsid w:val="00695F7D"/>
    <w:rsid w:val="0069653C"/>
    <w:rsid w:val="006973BA"/>
    <w:rsid w:val="006A21B1"/>
    <w:rsid w:val="006A2DC0"/>
    <w:rsid w:val="006A50E7"/>
    <w:rsid w:val="006A5A78"/>
    <w:rsid w:val="006A7D90"/>
    <w:rsid w:val="006B329B"/>
    <w:rsid w:val="006B5441"/>
    <w:rsid w:val="006B74FF"/>
    <w:rsid w:val="006B7B58"/>
    <w:rsid w:val="006C03CE"/>
    <w:rsid w:val="006C0400"/>
    <w:rsid w:val="006C1CD9"/>
    <w:rsid w:val="006C240B"/>
    <w:rsid w:val="006C4293"/>
    <w:rsid w:val="006C56A9"/>
    <w:rsid w:val="006C6207"/>
    <w:rsid w:val="006C6F7A"/>
    <w:rsid w:val="006C730B"/>
    <w:rsid w:val="006C7B18"/>
    <w:rsid w:val="006D3CAE"/>
    <w:rsid w:val="006D7C7C"/>
    <w:rsid w:val="006E0E9F"/>
    <w:rsid w:val="006E2E6D"/>
    <w:rsid w:val="006E3152"/>
    <w:rsid w:val="006E38C7"/>
    <w:rsid w:val="006E609C"/>
    <w:rsid w:val="006E6973"/>
    <w:rsid w:val="006F05C2"/>
    <w:rsid w:val="006F2FE5"/>
    <w:rsid w:val="006F36FE"/>
    <w:rsid w:val="006F4984"/>
    <w:rsid w:val="006F49F6"/>
    <w:rsid w:val="006F4D57"/>
    <w:rsid w:val="006F52F1"/>
    <w:rsid w:val="006F5337"/>
    <w:rsid w:val="006F6321"/>
    <w:rsid w:val="006F73EE"/>
    <w:rsid w:val="006F7AB8"/>
    <w:rsid w:val="0070015F"/>
    <w:rsid w:val="00704167"/>
    <w:rsid w:val="00704901"/>
    <w:rsid w:val="00706A85"/>
    <w:rsid w:val="00706F55"/>
    <w:rsid w:val="00706FC5"/>
    <w:rsid w:val="00714EB2"/>
    <w:rsid w:val="007164A7"/>
    <w:rsid w:val="007175FE"/>
    <w:rsid w:val="007177F6"/>
    <w:rsid w:val="00717889"/>
    <w:rsid w:val="00720502"/>
    <w:rsid w:val="007215EF"/>
    <w:rsid w:val="00721767"/>
    <w:rsid w:val="00722F91"/>
    <w:rsid w:val="00723302"/>
    <w:rsid w:val="00723905"/>
    <w:rsid w:val="00726883"/>
    <w:rsid w:val="007274C2"/>
    <w:rsid w:val="00732539"/>
    <w:rsid w:val="00732EAA"/>
    <w:rsid w:val="0073310E"/>
    <w:rsid w:val="007349B8"/>
    <w:rsid w:val="0074116E"/>
    <w:rsid w:val="00743169"/>
    <w:rsid w:val="0074556C"/>
    <w:rsid w:val="00745B57"/>
    <w:rsid w:val="0074602E"/>
    <w:rsid w:val="00746D9D"/>
    <w:rsid w:val="0074772E"/>
    <w:rsid w:val="00751FE3"/>
    <w:rsid w:val="0075279F"/>
    <w:rsid w:val="00761132"/>
    <w:rsid w:val="007627F3"/>
    <w:rsid w:val="00762859"/>
    <w:rsid w:val="007643D2"/>
    <w:rsid w:val="00765697"/>
    <w:rsid w:val="00767241"/>
    <w:rsid w:val="00767CF4"/>
    <w:rsid w:val="00771F09"/>
    <w:rsid w:val="00774E0A"/>
    <w:rsid w:val="00776993"/>
    <w:rsid w:val="007778BE"/>
    <w:rsid w:val="007813FC"/>
    <w:rsid w:val="0078344D"/>
    <w:rsid w:val="0078377D"/>
    <w:rsid w:val="00783975"/>
    <w:rsid w:val="00785B06"/>
    <w:rsid w:val="0079084C"/>
    <w:rsid w:val="00790C13"/>
    <w:rsid w:val="00790D4B"/>
    <w:rsid w:val="007911DA"/>
    <w:rsid w:val="00792928"/>
    <w:rsid w:val="0079326B"/>
    <w:rsid w:val="007947D9"/>
    <w:rsid w:val="00796E44"/>
    <w:rsid w:val="007972AA"/>
    <w:rsid w:val="007A22B5"/>
    <w:rsid w:val="007A3D24"/>
    <w:rsid w:val="007A5FF2"/>
    <w:rsid w:val="007A7030"/>
    <w:rsid w:val="007A71A0"/>
    <w:rsid w:val="007B187C"/>
    <w:rsid w:val="007B2F15"/>
    <w:rsid w:val="007B36F7"/>
    <w:rsid w:val="007B41CE"/>
    <w:rsid w:val="007B43E9"/>
    <w:rsid w:val="007B4CCE"/>
    <w:rsid w:val="007B5D39"/>
    <w:rsid w:val="007C01F3"/>
    <w:rsid w:val="007C132B"/>
    <w:rsid w:val="007C2985"/>
    <w:rsid w:val="007C29C1"/>
    <w:rsid w:val="007C345C"/>
    <w:rsid w:val="007C4CEC"/>
    <w:rsid w:val="007C5062"/>
    <w:rsid w:val="007C514A"/>
    <w:rsid w:val="007C558F"/>
    <w:rsid w:val="007D0B1F"/>
    <w:rsid w:val="007D25B5"/>
    <w:rsid w:val="007D2C67"/>
    <w:rsid w:val="007D3920"/>
    <w:rsid w:val="007D3C37"/>
    <w:rsid w:val="007D464D"/>
    <w:rsid w:val="007D464E"/>
    <w:rsid w:val="007E0E3E"/>
    <w:rsid w:val="007E380E"/>
    <w:rsid w:val="007E5635"/>
    <w:rsid w:val="007F02B3"/>
    <w:rsid w:val="007F1BE4"/>
    <w:rsid w:val="007F5E6D"/>
    <w:rsid w:val="007F7F69"/>
    <w:rsid w:val="008004CD"/>
    <w:rsid w:val="00801313"/>
    <w:rsid w:val="00801471"/>
    <w:rsid w:val="008021DB"/>
    <w:rsid w:val="0080435C"/>
    <w:rsid w:val="00804A0D"/>
    <w:rsid w:val="00804BD7"/>
    <w:rsid w:val="00804D5E"/>
    <w:rsid w:val="00805512"/>
    <w:rsid w:val="008055F5"/>
    <w:rsid w:val="00805FD6"/>
    <w:rsid w:val="00806691"/>
    <w:rsid w:val="00810C84"/>
    <w:rsid w:val="008126A1"/>
    <w:rsid w:val="00812FA8"/>
    <w:rsid w:val="00814701"/>
    <w:rsid w:val="00814E1E"/>
    <w:rsid w:val="00815068"/>
    <w:rsid w:val="00823D04"/>
    <w:rsid w:val="00824D51"/>
    <w:rsid w:val="00827D88"/>
    <w:rsid w:val="00830034"/>
    <w:rsid w:val="00830134"/>
    <w:rsid w:val="00830F69"/>
    <w:rsid w:val="00832108"/>
    <w:rsid w:val="00833E06"/>
    <w:rsid w:val="00834C44"/>
    <w:rsid w:val="00835641"/>
    <w:rsid w:val="00835A29"/>
    <w:rsid w:val="00835F17"/>
    <w:rsid w:val="00836861"/>
    <w:rsid w:val="0083724E"/>
    <w:rsid w:val="00841C7C"/>
    <w:rsid w:val="00841D7C"/>
    <w:rsid w:val="00841DC2"/>
    <w:rsid w:val="00842E44"/>
    <w:rsid w:val="0084416A"/>
    <w:rsid w:val="008469D5"/>
    <w:rsid w:val="00846FFC"/>
    <w:rsid w:val="008472AE"/>
    <w:rsid w:val="008505A1"/>
    <w:rsid w:val="008523BB"/>
    <w:rsid w:val="008552B4"/>
    <w:rsid w:val="0085799D"/>
    <w:rsid w:val="00862617"/>
    <w:rsid w:val="00865756"/>
    <w:rsid w:val="008659B5"/>
    <w:rsid w:val="00870485"/>
    <w:rsid w:val="0087174D"/>
    <w:rsid w:val="008722AB"/>
    <w:rsid w:val="0087237E"/>
    <w:rsid w:val="00874149"/>
    <w:rsid w:val="0087606D"/>
    <w:rsid w:val="00876619"/>
    <w:rsid w:val="00877FB6"/>
    <w:rsid w:val="0088098E"/>
    <w:rsid w:val="008811DC"/>
    <w:rsid w:val="00881DAD"/>
    <w:rsid w:val="00881EA8"/>
    <w:rsid w:val="0088344F"/>
    <w:rsid w:val="008840D1"/>
    <w:rsid w:val="0088475C"/>
    <w:rsid w:val="00884F26"/>
    <w:rsid w:val="008855FD"/>
    <w:rsid w:val="00886625"/>
    <w:rsid w:val="00887A5F"/>
    <w:rsid w:val="00893952"/>
    <w:rsid w:val="00894273"/>
    <w:rsid w:val="00894BFD"/>
    <w:rsid w:val="00895099"/>
    <w:rsid w:val="008964F2"/>
    <w:rsid w:val="00897054"/>
    <w:rsid w:val="008A0BE7"/>
    <w:rsid w:val="008A16B2"/>
    <w:rsid w:val="008A4A25"/>
    <w:rsid w:val="008A5134"/>
    <w:rsid w:val="008A57D4"/>
    <w:rsid w:val="008B1240"/>
    <w:rsid w:val="008B5799"/>
    <w:rsid w:val="008B5956"/>
    <w:rsid w:val="008B729F"/>
    <w:rsid w:val="008B7E67"/>
    <w:rsid w:val="008C2670"/>
    <w:rsid w:val="008C3B07"/>
    <w:rsid w:val="008C5AB7"/>
    <w:rsid w:val="008C5DA9"/>
    <w:rsid w:val="008C73D5"/>
    <w:rsid w:val="008C7435"/>
    <w:rsid w:val="008D016C"/>
    <w:rsid w:val="008D1410"/>
    <w:rsid w:val="008D1E4D"/>
    <w:rsid w:val="008D2238"/>
    <w:rsid w:val="008D2F68"/>
    <w:rsid w:val="008D3FEE"/>
    <w:rsid w:val="008D5A37"/>
    <w:rsid w:val="008D7A56"/>
    <w:rsid w:val="008E44B5"/>
    <w:rsid w:val="008E6E9A"/>
    <w:rsid w:val="008F303C"/>
    <w:rsid w:val="008F3E58"/>
    <w:rsid w:val="008F65B1"/>
    <w:rsid w:val="008F74CD"/>
    <w:rsid w:val="008F7740"/>
    <w:rsid w:val="008F7AF4"/>
    <w:rsid w:val="009030CB"/>
    <w:rsid w:val="009037D0"/>
    <w:rsid w:val="00904831"/>
    <w:rsid w:val="00905137"/>
    <w:rsid w:val="00905594"/>
    <w:rsid w:val="00905F9C"/>
    <w:rsid w:val="00907078"/>
    <w:rsid w:val="00907850"/>
    <w:rsid w:val="00911BB8"/>
    <w:rsid w:val="009132F6"/>
    <w:rsid w:val="00914214"/>
    <w:rsid w:val="009145E2"/>
    <w:rsid w:val="00914F1A"/>
    <w:rsid w:val="00917373"/>
    <w:rsid w:val="00917792"/>
    <w:rsid w:val="00920722"/>
    <w:rsid w:val="00921164"/>
    <w:rsid w:val="00922C60"/>
    <w:rsid w:val="00922C8E"/>
    <w:rsid w:val="00922DD2"/>
    <w:rsid w:val="009262FF"/>
    <w:rsid w:val="00926934"/>
    <w:rsid w:val="009275F3"/>
    <w:rsid w:val="009279C8"/>
    <w:rsid w:val="00930BA0"/>
    <w:rsid w:val="00930F1C"/>
    <w:rsid w:val="00930F93"/>
    <w:rsid w:val="00932D8C"/>
    <w:rsid w:val="00933608"/>
    <w:rsid w:val="009358B4"/>
    <w:rsid w:val="00935915"/>
    <w:rsid w:val="00935E50"/>
    <w:rsid w:val="009360B7"/>
    <w:rsid w:val="00936508"/>
    <w:rsid w:val="009367A2"/>
    <w:rsid w:val="00940145"/>
    <w:rsid w:val="0094118D"/>
    <w:rsid w:val="00941A31"/>
    <w:rsid w:val="00941B78"/>
    <w:rsid w:val="00944152"/>
    <w:rsid w:val="0094449E"/>
    <w:rsid w:val="00944609"/>
    <w:rsid w:val="00944FEA"/>
    <w:rsid w:val="00945345"/>
    <w:rsid w:val="00946E84"/>
    <w:rsid w:val="00950BBE"/>
    <w:rsid w:val="00951433"/>
    <w:rsid w:val="009516F2"/>
    <w:rsid w:val="00951BC6"/>
    <w:rsid w:val="0095266D"/>
    <w:rsid w:val="009530D6"/>
    <w:rsid w:val="00954E74"/>
    <w:rsid w:val="00956000"/>
    <w:rsid w:val="00956129"/>
    <w:rsid w:val="0095677D"/>
    <w:rsid w:val="00956990"/>
    <w:rsid w:val="00961771"/>
    <w:rsid w:val="00962F7C"/>
    <w:rsid w:val="00964D03"/>
    <w:rsid w:val="009650D4"/>
    <w:rsid w:val="0096649A"/>
    <w:rsid w:val="00966A5C"/>
    <w:rsid w:val="00966BBE"/>
    <w:rsid w:val="0096772C"/>
    <w:rsid w:val="00970ACE"/>
    <w:rsid w:val="00972DEE"/>
    <w:rsid w:val="0097528D"/>
    <w:rsid w:val="00975ECF"/>
    <w:rsid w:val="0098337A"/>
    <w:rsid w:val="009836CA"/>
    <w:rsid w:val="0098374E"/>
    <w:rsid w:val="00987E10"/>
    <w:rsid w:val="00992861"/>
    <w:rsid w:val="00994E11"/>
    <w:rsid w:val="009979BA"/>
    <w:rsid w:val="009A0643"/>
    <w:rsid w:val="009A19CA"/>
    <w:rsid w:val="009A1D50"/>
    <w:rsid w:val="009A317A"/>
    <w:rsid w:val="009A3D15"/>
    <w:rsid w:val="009A68B6"/>
    <w:rsid w:val="009A6A5E"/>
    <w:rsid w:val="009B0462"/>
    <w:rsid w:val="009B1FAF"/>
    <w:rsid w:val="009B2C5D"/>
    <w:rsid w:val="009B7857"/>
    <w:rsid w:val="009C0068"/>
    <w:rsid w:val="009C1673"/>
    <w:rsid w:val="009C1E88"/>
    <w:rsid w:val="009C1F5C"/>
    <w:rsid w:val="009C2505"/>
    <w:rsid w:val="009C3D7C"/>
    <w:rsid w:val="009C48E3"/>
    <w:rsid w:val="009C7059"/>
    <w:rsid w:val="009C7D26"/>
    <w:rsid w:val="009D1C51"/>
    <w:rsid w:val="009D1D7D"/>
    <w:rsid w:val="009D2719"/>
    <w:rsid w:val="009D2B72"/>
    <w:rsid w:val="009D573D"/>
    <w:rsid w:val="009D7A8D"/>
    <w:rsid w:val="009E0332"/>
    <w:rsid w:val="009E0AA1"/>
    <w:rsid w:val="009E1427"/>
    <w:rsid w:val="009E30B4"/>
    <w:rsid w:val="009E5238"/>
    <w:rsid w:val="009F0B5D"/>
    <w:rsid w:val="009F342E"/>
    <w:rsid w:val="009F3B34"/>
    <w:rsid w:val="009F5FF9"/>
    <w:rsid w:val="00A02644"/>
    <w:rsid w:val="00A0313D"/>
    <w:rsid w:val="00A07C97"/>
    <w:rsid w:val="00A10583"/>
    <w:rsid w:val="00A112B6"/>
    <w:rsid w:val="00A11A44"/>
    <w:rsid w:val="00A1213F"/>
    <w:rsid w:val="00A124E3"/>
    <w:rsid w:val="00A13596"/>
    <w:rsid w:val="00A16C01"/>
    <w:rsid w:val="00A22C86"/>
    <w:rsid w:val="00A2416E"/>
    <w:rsid w:val="00A26056"/>
    <w:rsid w:val="00A304DB"/>
    <w:rsid w:val="00A308C0"/>
    <w:rsid w:val="00A3147E"/>
    <w:rsid w:val="00A31ED5"/>
    <w:rsid w:val="00A31FF4"/>
    <w:rsid w:val="00A326B0"/>
    <w:rsid w:val="00A334F4"/>
    <w:rsid w:val="00A34799"/>
    <w:rsid w:val="00A35255"/>
    <w:rsid w:val="00A36365"/>
    <w:rsid w:val="00A37761"/>
    <w:rsid w:val="00A37945"/>
    <w:rsid w:val="00A37AFF"/>
    <w:rsid w:val="00A37CDD"/>
    <w:rsid w:val="00A403C1"/>
    <w:rsid w:val="00A40BDC"/>
    <w:rsid w:val="00A43B14"/>
    <w:rsid w:val="00A5018C"/>
    <w:rsid w:val="00A50961"/>
    <w:rsid w:val="00A5131C"/>
    <w:rsid w:val="00A515AB"/>
    <w:rsid w:val="00A539C9"/>
    <w:rsid w:val="00A547B0"/>
    <w:rsid w:val="00A54F67"/>
    <w:rsid w:val="00A61631"/>
    <w:rsid w:val="00A616A3"/>
    <w:rsid w:val="00A622F6"/>
    <w:rsid w:val="00A632DD"/>
    <w:rsid w:val="00A633DD"/>
    <w:rsid w:val="00A644F5"/>
    <w:rsid w:val="00A647B5"/>
    <w:rsid w:val="00A70342"/>
    <w:rsid w:val="00A71897"/>
    <w:rsid w:val="00A743D9"/>
    <w:rsid w:val="00A750C8"/>
    <w:rsid w:val="00A7520A"/>
    <w:rsid w:val="00A75E46"/>
    <w:rsid w:val="00A80C11"/>
    <w:rsid w:val="00A8215B"/>
    <w:rsid w:val="00A840AE"/>
    <w:rsid w:val="00A843E5"/>
    <w:rsid w:val="00A86BFD"/>
    <w:rsid w:val="00A8710A"/>
    <w:rsid w:val="00A87A39"/>
    <w:rsid w:val="00A90AFA"/>
    <w:rsid w:val="00A910BF"/>
    <w:rsid w:val="00A939A6"/>
    <w:rsid w:val="00A952B9"/>
    <w:rsid w:val="00A95450"/>
    <w:rsid w:val="00AA07D3"/>
    <w:rsid w:val="00AA2180"/>
    <w:rsid w:val="00AA60C1"/>
    <w:rsid w:val="00AB2438"/>
    <w:rsid w:val="00AB304B"/>
    <w:rsid w:val="00AB3838"/>
    <w:rsid w:val="00AB7037"/>
    <w:rsid w:val="00AC1090"/>
    <w:rsid w:val="00AC11B1"/>
    <w:rsid w:val="00AC14C5"/>
    <w:rsid w:val="00AC64BB"/>
    <w:rsid w:val="00AC6F36"/>
    <w:rsid w:val="00AD0F72"/>
    <w:rsid w:val="00AD10F8"/>
    <w:rsid w:val="00AD29EB"/>
    <w:rsid w:val="00AD2DC9"/>
    <w:rsid w:val="00AD35B1"/>
    <w:rsid w:val="00AD4848"/>
    <w:rsid w:val="00AD79F2"/>
    <w:rsid w:val="00AE006E"/>
    <w:rsid w:val="00AE00DF"/>
    <w:rsid w:val="00AE043C"/>
    <w:rsid w:val="00AE2D74"/>
    <w:rsid w:val="00AE301E"/>
    <w:rsid w:val="00AE3F78"/>
    <w:rsid w:val="00AE4CC2"/>
    <w:rsid w:val="00AE61FB"/>
    <w:rsid w:val="00AE628A"/>
    <w:rsid w:val="00AE6929"/>
    <w:rsid w:val="00AF171E"/>
    <w:rsid w:val="00AF2B07"/>
    <w:rsid w:val="00AF3586"/>
    <w:rsid w:val="00AF7658"/>
    <w:rsid w:val="00AF7F41"/>
    <w:rsid w:val="00B01586"/>
    <w:rsid w:val="00B03420"/>
    <w:rsid w:val="00B03E3E"/>
    <w:rsid w:val="00B048CB"/>
    <w:rsid w:val="00B0638C"/>
    <w:rsid w:val="00B06EE9"/>
    <w:rsid w:val="00B10711"/>
    <w:rsid w:val="00B15C3E"/>
    <w:rsid w:val="00B17D45"/>
    <w:rsid w:val="00B17FE8"/>
    <w:rsid w:val="00B207F1"/>
    <w:rsid w:val="00B21A86"/>
    <w:rsid w:val="00B21B93"/>
    <w:rsid w:val="00B22338"/>
    <w:rsid w:val="00B225A3"/>
    <w:rsid w:val="00B2316E"/>
    <w:rsid w:val="00B23F7E"/>
    <w:rsid w:val="00B242F0"/>
    <w:rsid w:val="00B24BD4"/>
    <w:rsid w:val="00B25EFF"/>
    <w:rsid w:val="00B3169A"/>
    <w:rsid w:val="00B33F21"/>
    <w:rsid w:val="00B34B5D"/>
    <w:rsid w:val="00B34C03"/>
    <w:rsid w:val="00B35B3A"/>
    <w:rsid w:val="00B36491"/>
    <w:rsid w:val="00B418C2"/>
    <w:rsid w:val="00B41A0A"/>
    <w:rsid w:val="00B43E05"/>
    <w:rsid w:val="00B45172"/>
    <w:rsid w:val="00B475F5"/>
    <w:rsid w:val="00B47808"/>
    <w:rsid w:val="00B53483"/>
    <w:rsid w:val="00B54130"/>
    <w:rsid w:val="00B56C70"/>
    <w:rsid w:val="00B603AF"/>
    <w:rsid w:val="00B61C31"/>
    <w:rsid w:val="00B64AF2"/>
    <w:rsid w:val="00B64D59"/>
    <w:rsid w:val="00B65D45"/>
    <w:rsid w:val="00B66F91"/>
    <w:rsid w:val="00B6739A"/>
    <w:rsid w:val="00B67B0D"/>
    <w:rsid w:val="00B72F1B"/>
    <w:rsid w:val="00B75490"/>
    <w:rsid w:val="00B7583E"/>
    <w:rsid w:val="00B762B2"/>
    <w:rsid w:val="00B76929"/>
    <w:rsid w:val="00B77B88"/>
    <w:rsid w:val="00B81C63"/>
    <w:rsid w:val="00B833B0"/>
    <w:rsid w:val="00B835BE"/>
    <w:rsid w:val="00B836FA"/>
    <w:rsid w:val="00B83763"/>
    <w:rsid w:val="00B87FA8"/>
    <w:rsid w:val="00B90CC6"/>
    <w:rsid w:val="00B90E98"/>
    <w:rsid w:val="00B924B2"/>
    <w:rsid w:val="00B924E4"/>
    <w:rsid w:val="00B96AD7"/>
    <w:rsid w:val="00B97E53"/>
    <w:rsid w:val="00BA2905"/>
    <w:rsid w:val="00BA508B"/>
    <w:rsid w:val="00BA62B5"/>
    <w:rsid w:val="00BA6453"/>
    <w:rsid w:val="00BB0AC5"/>
    <w:rsid w:val="00BB0C66"/>
    <w:rsid w:val="00BB1D9E"/>
    <w:rsid w:val="00BB2D26"/>
    <w:rsid w:val="00BC00CB"/>
    <w:rsid w:val="00BC151D"/>
    <w:rsid w:val="00BC19C1"/>
    <w:rsid w:val="00BC1E3D"/>
    <w:rsid w:val="00BC476A"/>
    <w:rsid w:val="00BC4ADD"/>
    <w:rsid w:val="00BC4EB8"/>
    <w:rsid w:val="00BC7691"/>
    <w:rsid w:val="00BC7A95"/>
    <w:rsid w:val="00BD10B4"/>
    <w:rsid w:val="00BD10BB"/>
    <w:rsid w:val="00BD11CF"/>
    <w:rsid w:val="00BD16E8"/>
    <w:rsid w:val="00BD3059"/>
    <w:rsid w:val="00BD5B72"/>
    <w:rsid w:val="00BE070D"/>
    <w:rsid w:val="00BE29BB"/>
    <w:rsid w:val="00BE2A3F"/>
    <w:rsid w:val="00BE3108"/>
    <w:rsid w:val="00BE348A"/>
    <w:rsid w:val="00BE4846"/>
    <w:rsid w:val="00BE64FE"/>
    <w:rsid w:val="00BE6751"/>
    <w:rsid w:val="00BE6D93"/>
    <w:rsid w:val="00BF13CB"/>
    <w:rsid w:val="00BF1CE0"/>
    <w:rsid w:val="00BF205C"/>
    <w:rsid w:val="00BF27C9"/>
    <w:rsid w:val="00BF28A8"/>
    <w:rsid w:val="00BF326B"/>
    <w:rsid w:val="00BF51B2"/>
    <w:rsid w:val="00BF5275"/>
    <w:rsid w:val="00BF59FD"/>
    <w:rsid w:val="00BF71E4"/>
    <w:rsid w:val="00BF7BE3"/>
    <w:rsid w:val="00C0032C"/>
    <w:rsid w:val="00C07BE2"/>
    <w:rsid w:val="00C11734"/>
    <w:rsid w:val="00C125BE"/>
    <w:rsid w:val="00C12FCE"/>
    <w:rsid w:val="00C13190"/>
    <w:rsid w:val="00C13382"/>
    <w:rsid w:val="00C14CD7"/>
    <w:rsid w:val="00C17559"/>
    <w:rsid w:val="00C17959"/>
    <w:rsid w:val="00C21B6B"/>
    <w:rsid w:val="00C2281D"/>
    <w:rsid w:val="00C23A69"/>
    <w:rsid w:val="00C24388"/>
    <w:rsid w:val="00C261DB"/>
    <w:rsid w:val="00C272CA"/>
    <w:rsid w:val="00C27827"/>
    <w:rsid w:val="00C311B5"/>
    <w:rsid w:val="00C327F9"/>
    <w:rsid w:val="00C32B8B"/>
    <w:rsid w:val="00C349E7"/>
    <w:rsid w:val="00C34B9C"/>
    <w:rsid w:val="00C34C23"/>
    <w:rsid w:val="00C35D87"/>
    <w:rsid w:val="00C441A2"/>
    <w:rsid w:val="00C45B92"/>
    <w:rsid w:val="00C4607E"/>
    <w:rsid w:val="00C46B28"/>
    <w:rsid w:val="00C51CF9"/>
    <w:rsid w:val="00C54D23"/>
    <w:rsid w:val="00C561C0"/>
    <w:rsid w:val="00C56731"/>
    <w:rsid w:val="00C57230"/>
    <w:rsid w:val="00C62631"/>
    <w:rsid w:val="00C642A6"/>
    <w:rsid w:val="00C653F6"/>
    <w:rsid w:val="00C70A4E"/>
    <w:rsid w:val="00C70D56"/>
    <w:rsid w:val="00C70DA2"/>
    <w:rsid w:val="00C71333"/>
    <w:rsid w:val="00C714D1"/>
    <w:rsid w:val="00C720C2"/>
    <w:rsid w:val="00C75555"/>
    <w:rsid w:val="00C76B58"/>
    <w:rsid w:val="00C77022"/>
    <w:rsid w:val="00C8584F"/>
    <w:rsid w:val="00C858F7"/>
    <w:rsid w:val="00C859A5"/>
    <w:rsid w:val="00C85E2B"/>
    <w:rsid w:val="00C8699E"/>
    <w:rsid w:val="00C86F49"/>
    <w:rsid w:val="00C87049"/>
    <w:rsid w:val="00C87A8B"/>
    <w:rsid w:val="00C90225"/>
    <w:rsid w:val="00C91C6E"/>
    <w:rsid w:val="00C925B3"/>
    <w:rsid w:val="00C930EC"/>
    <w:rsid w:val="00C93390"/>
    <w:rsid w:val="00C93D78"/>
    <w:rsid w:val="00C94FA1"/>
    <w:rsid w:val="00CA0FEA"/>
    <w:rsid w:val="00CA2659"/>
    <w:rsid w:val="00CA3675"/>
    <w:rsid w:val="00CA3A6F"/>
    <w:rsid w:val="00CA3F6F"/>
    <w:rsid w:val="00CA43A4"/>
    <w:rsid w:val="00CA551A"/>
    <w:rsid w:val="00CA6443"/>
    <w:rsid w:val="00CA7B4F"/>
    <w:rsid w:val="00CA7DE3"/>
    <w:rsid w:val="00CB2567"/>
    <w:rsid w:val="00CB6550"/>
    <w:rsid w:val="00CB678D"/>
    <w:rsid w:val="00CB7109"/>
    <w:rsid w:val="00CB7206"/>
    <w:rsid w:val="00CB7813"/>
    <w:rsid w:val="00CC17AA"/>
    <w:rsid w:val="00CC2DE2"/>
    <w:rsid w:val="00CC3EF6"/>
    <w:rsid w:val="00CC4974"/>
    <w:rsid w:val="00CC5F1B"/>
    <w:rsid w:val="00CD0CCE"/>
    <w:rsid w:val="00CD2A77"/>
    <w:rsid w:val="00CD2DF4"/>
    <w:rsid w:val="00CD39B8"/>
    <w:rsid w:val="00CD3C65"/>
    <w:rsid w:val="00CD4572"/>
    <w:rsid w:val="00CD464D"/>
    <w:rsid w:val="00CD51DF"/>
    <w:rsid w:val="00CD7401"/>
    <w:rsid w:val="00CD7E73"/>
    <w:rsid w:val="00CE39E2"/>
    <w:rsid w:val="00CE4D3A"/>
    <w:rsid w:val="00CE7678"/>
    <w:rsid w:val="00CF008F"/>
    <w:rsid w:val="00CF0C48"/>
    <w:rsid w:val="00CF0ECD"/>
    <w:rsid w:val="00CF1974"/>
    <w:rsid w:val="00CF3E8C"/>
    <w:rsid w:val="00CF5349"/>
    <w:rsid w:val="00D0027E"/>
    <w:rsid w:val="00D0158A"/>
    <w:rsid w:val="00D016E3"/>
    <w:rsid w:val="00D0215D"/>
    <w:rsid w:val="00D02736"/>
    <w:rsid w:val="00D05035"/>
    <w:rsid w:val="00D066D8"/>
    <w:rsid w:val="00D12B7F"/>
    <w:rsid w:val="00D149D4"/>
    <w:rsid w:val="00D15098"/>
    <w:rsid w:val="00D1775C"/>
    <w:rsid w:val="00D207ED"/>
    <w:rsid w:val="00D20AA3"/>
    <w:rsid w:val="00D2193C"/>
    <w:rsid w:val="00D23A75"/>
    <w:rsid w:val="00D24D67"/>
    <w:rsid w:val="00D25179"/>
    <w:rsid w:val="00D261C3"/>
    <w:rsid w:val="00D26C41"/>
    <w:rsid w:val="00D275F4"/>
    <w:rsid w:val="00D30ECA"/>
    <w:rsid w:val="00D320D6"/>
    <w:rsid w:val="00D3263C"/>
    <w:rsid w:val="00D3599F"/>
    <w:rsid w:val="00D3639F"/>
    <w:rsid w:val="00D37969"/>
    <w:rsid w:val="00D40243"/>
    <w:rsid w:val="00D405AC"/>
    <w:rsid w:val="00D44151"/>
    <w:rsid w:val="00D444E0"/>
    <w:rsid w:val="00D45639"/>
    <w:rsid w:val="00D4579A"/>
    <w:rsid w:val="00D45963"/>
    <w:rsid w:val="00D477D1"/>
    <w:rsid w:val="00D5091E"/>
    <w:rsid w:val="00D51A00"/>
    <w:rsid w:val="00D525BD"/>
    <w:rsid w:val="00D53805"/>
    <w:rsid w:val="00D54FAC"/>
    <w:rsid w:val="00D564BD"/>
    <w:rsid w:val="00D571F6"/>
    <w:rsid w:val="00D60D15"/>
    <w:rsid w:val="00D6204A"/>
    <w:rsid w:val="00D6240A"/>
    <w:rsid w:val="00D63652"/>
    <w:rsid w:val="00D657C4"/>
    <w:rsid w:val="00D66800"/>
    <w:rsid w:val="00D66957"/>
    <w:rsid w:val="00D71ABC"/>
    <w:rsid w:val="00D71F27"/>
    <w:rsid w:val="00D75C91"/>
    <w:rsid w:val="00D76086"/>
    <w:rsid w:val="00D766C2"/>
    <w:rsid w:val="00D80C91"/>
    <w:rsid w:val="00D80D62"/>
    <w:rsid w:val="00D80F1C"/>
    <w:rsid w:val="00D840C3"/>
    <w:rsid w:val="00D84EC3"/>
    <w:rsid w:val="00D863D3"/>
    <w:rsid w:val="00D90311"/>
    <w:rsid w:val="00D9167F"/>
    <w:rsid w:val="00D9298C"/>
    <w:rsid w:val="00D92E09"/>
    <w:rsid w:val="00D93A70"/>
    <w:rsid w:val="00D96183"/>
    <w:rsid w:val="00D96B5A"/>
    <w:rsid w:val="00D96F63"/>
    <w:rsid w:val="00D97E4A"/>
    <w:rsid w:val="00DA1C3D"/>
    <w:rsid w:val="00DA4DE3"/>
    <w:rsid w:val="00DA6C03"/>
    <w:rsid w:val="00DA7FCC"/>
    <w:rsid w:val="00DB128F"/>
    <w:rsid w:val="00DB20C3"/>
    <w:rsid w:val="00DB303E"/>
    <w:rsid w:val="00DB39CA"/>
    <w:rsid w:val="00DB4E25"/>
    <w:rsid w:val="00DB65F8"/>
    <w:rsid w:val="00DC081C"/>
    <w:rsid w:val="00DC1CFE"/>
    <w:rsid w:val="00DC219E"/>
    <w:rsid w:val="00DC2B68"/>
    <w:rsid w:val="00DC2CB8"/>
    <w:rsid w:val="00DC3BBC"/>
    <w:rsid w:val="00DC4011"/>
    <w:rsid w:val="00DD056F"/>
    <w:rsid w:val="00DD0908"/>
    <w:rsid w:val="00DD1BDD"/>
    <w:rsid w:val="00DD1E1F"/>
    <w:rsid w:val="00DD2B50"/>
    <w:rsid w:val="00DD3076"/>
    <w:rsid w:val="00DD32DB"/>
    <w:rsid w:val="00DD364A"/>
    <w:rsid w:val="00DD439B"/>
    <w:rsid w:val="00DD481F"/>
    <w:rsid w:val="00DD56F2"/>
    <w:rsid w:val="00DD6BAA"/>
    <w:rsid w:val="00DE1A4E"/>
    <w:rsid w:val="00DE31DE"/>
    <w:rsid w:val="00DE5082"/>
    <w:rsid w:val="00DE571E"/>
    <w:rsid w:val="00DE5987"/>
    <w:rsid w:val="00DE7CEE"/>
    <w:rsid w:val="00DF0013"/>
    <w:rsid w:val="00DF03A8"/>
    <w:rsid w:val="00DF074E"/>
    <w:rsid w:val="00DF0DC3"/>
    <w:rsid w:val="00DF166B"/>
    <w:rsid w:val="00DF2B46"/>
    <w:rsid w:val="00DF37D8"/>
    <w:rsid w:val="00DF3D56"/>
    <w:rsid w:val="00DF491C"/>
    <w:rsid w:val="00DF7254"/>
    <w:rsid w:val="00E013DD"/>
    <w:rsid w:val="00E01820"/>
    <w:rsid w:val="00E03135"/>
    <w:rsid w:val="00E06623"/>
    <w:rsid w:val="00E066B1"/>
    <w:rsid w:val="00E06E9D"/>
    <w:rsid w:val="00E07F03"/>
    <w:rsid w:val="00E10905"/>
    <w:rsid w:val="00E10DB8"/>
    <w:rsid w:val="00E133F8"/>
    <w:rsid w:val="00E1474E"/>
    <w:rsid w:val="00E1764E"/>
    <w:rsid w:val="00E2059B"/>
    <w:rsid w:val="00E209A5"/>
    <w:rsid w:val="00E22E65"/>
    <w:rsid w:val="00E24CF6"/>
    <w:rsid w:val="00E2551A"/>
    <w:rsid w:val="00E27FE9"/>
    <w:rsid w:val="00E31FC0"/>
    <w:rsid w:val="00E32273"/>
    <w:rsid w:val="00E3298A"/>
    <w:rsid w:val="00E33039"/>
    <w:rsid w:val="00E330A5"/>
    <w:rsid w:val="00E3628A"/>
    <w:rsid w:val="00E36A43"/>
    <w:rsid w:val="00E36ADB"/>
    <w:rsid w:val="00E36EEC"/>
    <w:rsid w:val="00E40234"/>
    <w:rsid w:val="00E41406"/>
    <w:rsid w:val="00E4279F"/>
    <w:rsid w:val="00E43879"/>
    <w:rsid w:val="00E46CCD"/>
    <w:rsid w:val="00E474A5"/>
    <w:rsid w:val="00E50F14"/>
    <w:rsid w:val="00E52976"/>
    <w:rsid w:val="00E548A3"/>
    <w:rsid w:val="00E561AC"/>
    <w:rsid w:val="00E5693B"/>
    <w:rsid w:val="00E571AF"/>
    <w:rsid w:val="00E57DCB"/>
    <w:rsid w:val="00E67713"/>
    <w:rsid w:val="00E67A7D"/>
    <w:rsid w:val="00E67B2F"/>
    <w:rsid w:val="00E67E48"/>
    <w:rsid w:val="00E70EB7"/>
    <w:rsid w:val="00E71BA4"/>
    <w:rsid w:val="00E72AE1"/>
    <w:rsid w:val="00E73A34"/>
    <w:rsid w:val="00E75305"/>
    <w:rsid w:val="00E75524"/>
    <w:rsid w:val="00E76F0E"/>
    <w:rsid w:val="00E77E37"/>
    <w:rsid w:val="00E809A8"/>
    <w:rsid w:val="00E826A2"/>
    <w:rsid w:val="00E82B8B"/>
    <w:rsid w:val="00E82EDC"/>
    <w:rsid w:val="00E8416F"/>
    <w:rsid w:val="00E844FF"/>
    <w:rsid w:val="00E8462A"/>
    <w:rsid w:val="00E84B06"/>
    <w:rsid w:val="00E86BB3"/>
    <w:rsid w:val="00E87D00"/>
    <w:rsid w:val="00E92997"/>
    <w:rsid w:val="00E934E1"/>
    <w:rsid w:val="00E93B63"/>
    <w:rsid w:val="00E96A23"/>
    <w:rsid w:val="00E96E3D"/>
    <w:rsid w:val="00EA0225"/>
    <w:rsid w:val="00EA0919"/>
    <w:rsid w:val="00EA0F20"/>
    <w:rsid w:val="00EA30C5"/>
    <w:rsid w:val="00EA50AF"/>
    <w:rsid w:val="00EA5B59"/>
    <w:rsid w:val="00EA713B"/>
    <w:rsid w:val="00EA76B5"/>
    <w:rsid w:val="00EB02FA"/>
    <w:rsid w:val="00EB0A79"/>
    <w:rsid w:val="00EB49EA"/>
    <w:rsid w:val="00EB5B64"/>
    <w:rsid w:val="00EB68D5"/>
    <w:rsid w:val="00EB6DB5"/>
    <w:rsid w:val="00EB7DD4"/>
    <w:rsid w:val="00EC00BC"/>
    <w:rsid w:val="00EC0DBD"/>
    <w:rsid w:val="00EC117A"/>
    <w:rsid w:val="00EC118A"/>
    <w:rsid w:val="00EC119F"/>
    <w:rsid w:val="00EC30E7"/>
    <w:rsid w:val="00EC5CEC"/>
    <w:rsid w:val="00EC66E8"/>
    <w:rsid w:val="00EC6B1D"/>
    <w:rsid w:val="00EC6F2C"/>
    <w:rsid w:val="00EC7758"/>
    <w:rsid w:val="00ED0159"/>
    <w:rsid w:val="00ED0969"/>
    <w:rsid w:val="00ED4A32"/>
    <w:rsid w:val="00ED5E0D"/>
    <w:rsid w:val="00ED65D0"/>
    <w:rsid w:val="00ED721B"/>
    <w:rsid w:val="00EE1013"/>
    <w:rsid w:val="00EE3ACB"/>
    <w:rsid w:val="00EE4556"/>
    <w:rsid w:val="00EE6185"/>
    <w:rsid w:val="00EE64EC"/>
    <w:rsid w:val="00EF1812"/>
    <w:rsid w:val="00EF206A"/>
    <w:rsid w:val="00EF4640"/>
    <w:rsid w:val="00EF564C"/>
    <w:rsid w:val="00EF5812"/>
    <w:rsid w:val="00EF71AC"/>
    <w:rsid w:val="00EF7317"/>
    <w:rsid w:val="00F0157E"/>
    <w:rsid w:val="00F0232C"/>
    <w:rsid w:val="00F032AA"/>
    <w:rsid w:val="00F03620"/>
    <w:rsid w:val="00F0482E"/>
    <w:rsid w:val="00F04BDE"/>
    <w:rsid w:val="00F07939"/>
    <w:rsid w:val="00F130B8"/>
    <w:rsid w:val="00F1546E"/>
    <w:rsid w:val="00F16642"/>
    <w:rsid w:val="00F172F9"/>
    <w:rsid w:val="00F17ECF"/>
    <w:rsid w:val="00F223A5"/>
    <w:rsid w:val="00F229D3"/>
    <w:rsid w:val="00F2317B"/>
    <w:rsid w:val="00F25D8F"/>
    <w:rsid w:val="00F26BDC"/>
    <w:rsid w:val="00F3099B"/>
    <w:rsid w:val="00F30C6B"/>
    <w:rsid w:val="00F31B64"/>
    <w:rsid w:val="00F36F47"/>
    <w:rsid w:val="00F40843"/>
    <w:rsid w:val="00F42234"/>
    <w:rsid w:val="00F431C2"/>
    <w:rsid w:val="00F43261"/>
    <w:rsid w:val="00F43D76"/>
    <w:rsid w:val="00F43DEC"/>
    <w:rsid w:val="00F43EA8"/>
    <w:rsid w:val="00F45897"/>
    <w:rsid w:val="00F47278"/>
    <w:rsid w:val="00F508DF"/>
    <w:rsid w:val="00F517F6"/>
    <w:rsid w:val="00F54F34"/>
    <w:rsid w:val="00F562DA"/>
    <w:rsid w:val="00F5684C"/>
    <w:rsid w:val="00F57454"/>
    <w:rsid w:val="00F61362"/>
    <w:rsid w:val="00F616A7"/>
    <w:rsid w:val="00F62444"/>
    <w:rsid w:val="00F62F3D"/>
    <w:rsid w:val="00F63498"/>
    <w:rsid w:val="00F64513"/>
    <w:rsid w:val="00F64824"/>
    <w:rsid w:val="00F6531E"/>
    <w:rsid w:val="00F667C0"/>
    <w:rsid w:val="00F66A7D"/>
    <w:rsid w:val="00F6773A"/>
    <w:rsid w:val="00F67E95"/>
    <w:rsid w:val="00F72875"/>
    <w:rsid w:val="00F73828"/>
    <w:rsid w:val="00F76BBE"/>
    <w:rsid w:val="00F77A68"/>
    <w:rsid w:val="00F80633"/>
    <w:rsid w:val="00F811B8"/>
    <w:rsid w:val="00F82ADB"/>
    <w:rsid w:val="00F864FF"/>
    <w:rsid w:val="00F87AC5"/>
    <w:rsid w:val="00F90839"/>
    <w:rsid w:val="00F91676"/>
    <w:rsid w:val="00F97097"/>
    <w:rsid w:val="00F9714B"/>
    <w:rsid w:val="00F97153"/>
    <w:rsid w:val="00F97890"/>
    <w:rsid w:val="00FA177D"/>
    <w:rsid w:val="00FA3534"/>
    <w:rsid w:val="00FA48EF"/>
    <w:rsid w:val="00FA4A50"/>
    <w:rsid w:val="00FA4B80"/>
    <w:rsid w:val="00FA567B"/>
    <w:rsid w:val="00FA66B2"/>
    <w:rsid w:val="00FB2F1F"/>
    <w:rsid w:val="00FB2F7A"/>
    <w:rsid w:val="00FB2FFC"/>
    <w:rsid w:val="00FB4A5C"/>
    <w:rsid w:val="00FC032D"/>
    <w:rsid w:val="00FC25F0"/>
    <w:rsid w:val="00FC3380"/>
    <w:rsid w:val="00FC4A99"/>
    <w:rsid w:val="00FC53DD"/>
    <w:rsid w:val="00FC5AE4"/>
    <w:rsid w:val="00FC6AE0"/>
    <w:rsid w:val="00FC6F08"/>
    <w:rsid w:val="00FD0EB3"/>
    <w:rsid w:val="00FD13A6"/>
    <w:rsid w:val="00FD1E5B"/>
    <w:rsid w:val="00FD4AF2"/>
    <w:rsid w:val="00FD6727"/>
    <w:rsid w:val="00FD6D6B"/>
    <w:rsid w:val="00FD762A"/>
    <w:rsid w:val="00FE0ACE"/>
    <w:rsid w:val="00FE3A1B"/>
    <w:rsid w:val="00FE4EF8"/>
    <w:rsid w:val="00FE512A"/>
    <w:rsid w:val="00FE5EC0"/>
    <w:rsid w:val="00FE7712"/>
    <w:rsid w:val="00FF10D4"/>
    <w:rsid w:val="00FF18C8"/>
    <w:rsid w:val="00FF429E"/>
    <w:rsid w:val="00FF48D5"/>
    <w:rsid w:val="00FF5205"/>
    <w:rsid w:val="00FF6345"/>
    <w:rsid w:val="00FF7778"/>
    <w:rsid w:val="00FF7821"/>
    <w:rsid w:val="016E5D6E"/>
    <w:rsid w:val="058E832B"/>
    <w:rsid w:val="08EFFC87"/>
    <w:rsid w:val="0A0879BF"/>
    <w:rsid w:val="114D9BE3"/>
    <w:rsid w:val="12A71700"/>
    <w:rsid w:val="1338F1C5"/>
    <w:rsid w:val="15EB0717"/>
    <w:rsid w:val="191A7973"/>
    <w:rsid w:val="1BC4A2E0"/>
    <w:rsid w:val="1BE593F1"/>
    <w:rsid w:val="1F246643"/>
    <w:rsid w:val="207067F6"/>
    <w:rsid w:val="2073B419"/>
    <w:rsid w:val="2100E1C2"/>
    <w:rsid w:val="25BEC1DC"/>
    <w:rsid w:val="26283A25"/>
    <w:rsid w:val="263BEAC6"/>
    <w:rsid w:val="2839AEAE"/>
    <w:rsid w:val="28F138B8"/>
    <w:rsid w:val="29F547FC"/>
    <w:rsid w:val="38D74415"/>
    <w:rsid w:val="39AAF361"/>
    <w:rsid w:val="3DCA4B67"/>
    <w:rsid w:val="3F1739F1"/>
    <w:rsid w:val="40B06084"/>
    <w:rsid w:val="42886F44"/>
    <w:rsid w:val="43CBF33D"/>
    <w:rsid w:val="4864F348"/>
    <w:rsid w:val="4BFBC810"/>
    <w:rsid w:val="4CDB5347"/>
    <w:rsid w:val="4D004E13"/>
    <w:rsid w:val="56BB189E"/>
    <w:rsid w:val="572D6909"/>
    <w:rsid w:val="57FE11B4"/>
    <w:rsid w:val="59EE982E"/>
    <w:rsid w:val="5A85B782"/>
    <w:rsid w:val="5C4A2FE6"/>
    <w:rsid w:val="5C54682C"/>
    <w:rsid w:val="5D171F53"/>
    <w:rsid w:val="5DC74E4C"/>
    <w:rsid w:val="5F04FE2E"/>
    <w:rsid w:val="60DFB0D6"/>
    <w:rsid w:val="611DA096"/>
    <w:rsid w:val="62BFB48F"/>
    <w:rsid w:val="6C095E60"/>
    <w:rsid w:val="6E100614"/>
    <w:rsid w:val="719AA67B"/>
    <w:rsid w:val="71D2A09B"/>
    <w:rsid w:val="730B116A"/>
    <w:rsid w:val="73D8139C"/>
    <w:rsid w:val="781B22D6"/>
    <w:rsid w:val="7A81CFCE"/>
    <w:rsid w:val="7BD6E759"/>
    <w:rsid w:val="7CC8B6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07C3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4080"/>
    <w:rPr>
      <w:sz w:val="24"/>
      <w:szCs w:val="24"/>
    </w:rPr>
  </w:style>
  <w:style w:type="paragraph" w:styleId="Heading3">
    <w:name w:val="heading 3"/>
    <w:basedOn w:val="Normal"/>
    <w:next w:val="Normal"/>
    <w:link w:val="Heading3Char"/>
    <w:qFormat/>
    <w:rsid w:val="00CA551A"/>
    <w:pPr>
      <w:keepNext/>
      <w:outlineLvl w:val="2"/>
    </w:pPr>
    <w:rPr>
      <w:rFonts w:ascii="Palatino" w:hAnsi="Palatin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1DBD"/>
    <w:pPr>
      <w:tabs>
        <w:tab w:val="center" w:pos="4320"/>
        <w:tab w:val="right" w:pos="8640"/>
      </w:tabs>
    </w:pPr>
  </w:style>
  <w:style w:type="paragraph" w:styleId="Title">
    <w:name w:val="Title"/>
    <w:basedOn w:val="Normal"/>
    <w:qFormat/>
    <w:rsid w:val="003B1DBD"/>
    <w:pPr>
      <w:jc w:val="center"/>
    </w:pPr>
    <w:rPr>
      <w:rFonts w:ascii="Helvetica" w:hAnsi="Helvetica"/>
      <w:b/>
      <w:szCs w:val="20"/>
    </w:rPr>
  </w:style>
  <w:style w:type="paragraph" w:styleId="Footer">
    <w:name w:val="footer"/>
    <w:basedOn w:val="Normal"/>
    <w:link w:val="FooterChar"/>
    <w:uiPriority w:val="99"/>
    <w:rsid w:val="003B1DBD"/>
    <w:pPr>
      <w:tabs>
        <w:tab w:val="center" w:pos="4320"/>
        <w:tab w:val="right" w:pos="8640"/>
      </w:tabs>
    </w:pPr>
  </w:style>
  <w:style w:type="character" w:styleId="PageNumber">
    <w:name w:val="page number"/>
    <w:basedOn w:val="DefaultParagraphFont"/>
    <w:rsid w:val="003B1DBD"/>
  </w:style>
  <w:style w:type="table" w:styleId="TableGrid">
    <w:name w:val="Table Grid"/>
    <w:basedOn w:val="TableNormal"/>
    <w:rsid w:val="009B7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C0400"/>
    <w:rPr>
      <w:sz w:val="16"/>
      <w:szCs w:val="16"/>
    </w:rPr>
  </w:style>
  <w:style w:type="paragraph" w:styleId="CommentText">
    <w:name w:val="annotation text"/>
    <w:basedOn w:val="Normal"/>
    <w:link w:val="CommentTextChar"/>
    <w:rsid w:val="006C0400"/>
    <w:rPr>
      <w:sz w:val="20"/>
      <w:szCs w:val="20"/>
    </w:rPr>
  </w:style>
  <w:style w:type="character" w:customStyle="1" w:styleId="CommentTextChar">
    <w:name w:val="Comment Text Char"/>
    <w:basedOn w:val="DefaultParagraphFont"/>
    <w:link w:val="CommentText"/>
    <w:rsid w:val="006C0400"/>
  </w:style>
  <w:style w:type="paragraph" w:styleId="CommentSubject">
    <w:name w:val="annotation subject"/>
    <w:basedOn w:val="CommentText"/>
    <w:next w:val="CommentText"/>
    <w:link w:val="CommentSubjectChar"/>
    <w:rsid w:val="006C0400"/>
    <w:rPr>
      <w:b/>
      <w:bCs/>
    </w:rPr>
  </w:style>
  <w:style w:type="character" w:customStyle="1" w:styleId="CommentSubjectChar">
    <w:name w:val="Comment Subject Char"/>
    <w:basedOn w:val="CommentTextChar"/>
    <w:link w:val="CommentSubject"/>
    <w:rsid w:val="006C0400"/>
    <w:rPr>
      <w:b/>
      <w:bCs/>
    </w:rPr>
  </w:style>
  <w:style w:type="paragraph" w:styleId="BalloonText">
    <w:name w:val="Balloon Text"/>
    <w:basedOn w:val="Normal"/>
    <w:link w:val="BalloonTextChar"/>
    <w:rsid w:val="006C0400"/>
    <w:rPr>
      <w:rFonts w:ascii="Segoe UI" w:hAnsi="Segoe UI" w:cs="Segoe UI"/>
      <w:sz w:val="18"/>
      <w:szCs w:val="18"/>
    </w:rPr>
  </w:style>
  <w:style w:type="character" w:customStyle="1" w:styleId="BalloonTextChar">
    <w:name w:val="Balloon Text Char"/>
    <w:basedOn w:val="DefaultParagraphFont"/>
    <w:link w:val="BalloonText"/>
    <w:rsid w:val="006C0400"/>
    <w:rPr>
      <w:rFonts w:ascii="Segoe UI" w:hAnsi="Segoe UI" w:cs="Segoe UI"/>
      <w:sz w:val="18"/>
      <w:szCs w:val="18"/>
    </w:rPr>
  </w:style>
  <w:style w:type="character" w:styleId="Hyperlink">
    <w:name w:val="Hyperlink"/>
    <w:basedOn w:val="DefaultParagraphFont"/>
    <w:rsid w:val="00574080"/>
    <w:rPr>
      <w:color w:val="0563C1" w:themeColor="hyperlink"/>
      <w:u w:val="single"/>
    </w:rPr>
  </w:style>
  <w:style w:type="character" w:styleId="UnresolvedMention">
    <w:name w:val="Unresolved Mention"/>
    <w:basedOn w:val="DefaultParagraphFont"/>
    <w:uiPriority w:val="99"/>
    <w:semiHidden/>
    <w:unhideWhenUsed/>
    <w:rsid w:val="00574080"/>
    <w:rPr>
      <w:color w:val="605E5C"/>
      <w:shd w:val="clear" w:color="auto" w:fill="E1DFDD"/>
    </w:rPr>
  </w:style>
  <w:style w:type="character" w:customStyle="1" w:styleId="Heading3Char">
    <w:name w:val="Heading 3 Char"/>
    <w:basedOn w:val="DefaultParagraphFont"/>
    <w:link w:val="Heading3"/>
    <w:rsid w:val="00CA551A"/>
    <w:rPr>
      <w:rFonts w:ascii="Palatino" w:hAnsi="Palatino"/>
      <w:sz w:val="24"/>
    </w:rPr>
  </w:style>
  <w:style w:type="paragraph" w:styleId="FootnoteText">
    <w:name w:val="footnote text"/>
    <w:basedOn w:val="Normal"/>
    <w:link w:val="FootnoteTextChar"/>
    <w:rsid w:val="00CA551A"/>
    <w:rPr>
      <w:sz w:val="20"/>
      <w:szCs w:val="20"/>
    </w:rPr>
  </w:style>
  <w:style w:type="character" w:customStyle="1" w:styleId="FootnoteTextChar">
    <w:name w:val="Footnote Text Char"/>
    <w:basedOn w:val="DefaultParagraphFont"/>
    <w:link w:val="FootnoteText"/>
    <w:rsid w:val="00CA551A"/>
  </w:style>
  <w:style w:type="character" w:styleId="FootnoteReference">
    <w:name w:val="footnote reference"/>
    <w:rsid w:val="00CA551A"/>
    <w:rPr>
      <w:vertAlign w:val="superscript"/>
    </w:rPr>
  </w:style>
  <w:style w:type="paragraph" w:customStyle="1" w:styleId="Default">
    <w:name w:val="Default"/>
    <w:rsid w:val="00CA551A"/>
    <w:pPr>
      <w:autoSpaceDE w:val="0"/>
      <w:autoSpaceDN w:val="0"/>
      <w:adjustRightInd w:val="0"/>
    </w:pPr>
    <w:rPr>
      <w:rFonts w:ascii="Book Antiqua" w:hAnsi="Book Antiqua" w:cs="Book Antiqua"/>
      <w:color w:val="000000"/>
      <w:sz w:val="24"/>
      <w:szCs w:val="24"/>
    </w:rPr>
  </w:style>
  <w:style w:type="paragraph" w:styleId="BodyText">
    <w:name w:val="Body Text"/>
    <w:basedOn w:val="Normal"/>
    <w:link w:val="BodyTextChar"/>
    <w:rsid w:val="00496608"/>
    <w:pPr>
      <w:tabs>
        <w:tab w:val="left" w:pos="720"/>
      </w:tabs>
      <w:spacing w:after="120"/>
    </w:pPr>
    <w:rPr>
      <w:rFonts w:ascii="Palatino" w:hAnsi="Palatino"/>
      <w:szCs w:val="20"/>
    </w:rPr>
  </w:style>
  <w:style w:type="character" w:customStyle="1" w:styleId="BodyTextChar">
    <w:name w:val="Body Text Char"/>
    <w:basedOn w:val="DefaultParagraphFont"/>
    <w:link w:val="BodyText"/>
    <w:rsid w:val="00496608"/>
    <w:rPr>
      <w:rFonts w:ascii="Palatino" w:hAnsi="Palatino"/>
      <w:sz w:val="24"/>
    </w:rPr>
  </w:style>
  <w:style w:type="paragraph" w:styleId="Caption">
    <w:name w:val="caption"/>
    <w:basedOn w:val="Normal"/>
    <w:next w:val="Normal"/>
    <w:unhideWhenUsed/>
    <w:qFormat/>
    <w:rsid w:val="00B603AF"/>
    <w:pPr>
      <w:spacing w:after="200"/>
    </w:pPr>
    <w:rPr>
      <w:b/>
      <w:i/>
      <w:iCs/>
      <w:color w:val="44546A" w:themeColor="text2"/>
      <w:szCs w:val="18"/>
    </w:rPr>
  </w:style>
  <w:style w:type="paragraph" w:styleId="ListParagraph">
    <w:name w:val="List Paragraph"/>
    <w:basedOn w:val="Normal"/>
    <w:uiPriority w:val="34"/>
    <w:qFormat/>
    <w:rsid w:val="00D12B7F"/>
    <w:pPr>
      <w:ind w:left="720"/>
      <w:contextualSpacing/>
    </w:pPr>
  </w:style>
  <w:style w:type="character" w:styleId="FollowedHyperlink">
    <w:name w:val="FollowedHyperlink"/>
    <w:basedOn w:val="DefaultParagraphFont"/>
    <w:rsid w:val="00BE3108"/>
    <w:rPr>
      <w:color w:val="954F72" w:themeColor="followedHyperlink"/>
      <w:u w:val="single"/>
    </w:rPr>
  </w:style>
  <w:style w:type="character" w:customStyle="1" w:styleId="FooterChar">
    <w:name w:val="Footer Char"/>
    <w:basedOn w:val="DefaultParagraphFont"/>
    <w:link w:val="Footer"/>
    <w:uiPriority w:val="99"/>
    <w:rsid w:val="00E329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1855">
      <w:bodyDiv w:val="1"/>
      <w:marLeft w:val="0"/>
      <w:marRight w:val="0"/>
      <w:marTop w:val="0"/>
      <w:marBottom w:val="0"/>
      <w:divBdr>
        <w:top w:val="none" w:sz="0" w:space="0" w:color="auto"/>
        <w:left w:val="none" w:sz="0" w:space="0" w:color="auto"/>
        <w:bottom w:val="none" w:sz="0" w:space="0" w:color="auto"/>
        <w:right w:val="none" w:sz="0" w:space="0" w:color="auto"/>
      </w:divBdr>
    </w:div>
    <w:div w:id="295719064">
      <w:bodyDiv w:val="1"/>
      <w:marLeft w:val="0"/>
      <w:marRight w:val="0"/>
      <w:marTop w:val="0"/>
      <w:marBottom w:val="0"/>
      <w:divBdr>
        <w:top w:val="none" w:sz="0" w:space="0" w:color="auto"/>
        <w:left w:val="none" w:sz="0" w:space="0" w:color="auto"/>
        <w:bottom w:val="none" w:sz="0" w:space="0" w:color="auto"/>
        <w:right w:val="none" w:sz="0" w:space="0" w:color="auto"/>
      </w:divBdr>
    </w:div>
    <w:div w:id="426075470">
      <w:bodyDiv w:val="1"/>
      <w:marLeft w:val="0"/>
      <w:marRight w:val="0"/>
      <w:marTop w:val="0"/>
      <w:marBottom w:val="0"/>
      <w:divBdr>
        <w:top w:val="none" w:sz="0" w:space="0" w:color="auto"/>
        <w:left w:val="none" w:sz="0" w:space="0" w:color="auto"/>
        <w:bottom w:val="none" w:sz="0" w:space="0" w:color="auto"/>
        <w:right w:val="none" w:sz="0" w:space="0" w:color="auto"/>
      </w:divBdr>
    </w:div>
    <w:div w:id="574634421">
      <w:bodyDiv w:val="1"/>
      <w:marLeft w:val="0"/>
      <w:marRight w:val="0"/>
      <w:marTop w:val="0"/>
      <w:marBottom w:val="0"/>
      <w:divBdr>
        <w:top w:val="none" w:sz="0" w:space="0" w:color="auto"/>
        <w:left w:val="none" w:sz="0" w:space="0" w:color="auto"/>
        <w:bottom w:val="none" w:sz="0" w:space="0" w:color="auto"/>
        <w:right w:val="none" w:sz="0" w:space="0" w:color="auto"/>
      </w:divBdr>
    </w:div>
    <w:div w:id="948271382">
      <w:bodyDiv w:val="1"/>
      <w:marLeft w:val="0"/>
      <w:marRight w:val="0"/>
      <w:marTop w:val="0"/>
      <w:marBottom w:val="0"/>
      <w:divBdr>
        <w:top w:val="none" w:sz="0" w:space="0" w:color="auto"/>
        <w:left w:val="none" w:sz="0" w:space="0" w:color="auto"/>
        <w:bottom w:val="none" w:sz="0" w:space="0" w:color="auto"/>
        <w:right w:val="none" w:sz="0" w:space="0" w:color="auto"/>
      </w:divBdr>
    </w:div>
    <w:div w:id="991374857">
      <w:bodyDiv w:val="1"/>
      <w:marLeft w:val="0"/>
      <w:marRight w:val="0"/>
      <w:marTop w:val="0"/>
      <w:marBottom w:val="0"/>
      <w:divBdr>
        <w:top w:val="none" w:sz="0" w:space="0" w:color="auto"/>
        <w:left w:val="none" w:sz="0" w:space="0" w:color="auto"/>
        <w:bottom w:val="none" w:sz="0" w:space="0" w:color="auto"/>
        <w:right w:val="none" w:sz="0" w:space="0" w:color="auto"/>
      </w:divBdr>
    </w:div>
    <w:div w:id="1029376198">
      <w:bodyDiv w:val="1"/>
      <w:marLeft w:val="0"/>
      <w:marRight w:val="0"/>
      <w:marTop w:val="0"/>
      <w:marBottom w:val="0"/>
      <w:divBdr>
        <w:top w:val="none" w:sz="0" w:space="0" w:color="auto"/>
        <w:left w:val="none" w:sz="0" w:space="0" w:color="auto"/>
        <w:bottom w:val="none" w:sz="0" w:space="0" w:color="auto"/>
        <w:right w:val="none" w:sz="0" w:space="0" w:color="auto"/>
      </w:divBdr>
    </w:div>
    <w:div w:id="1132937660">
      <w:bodyDiv w:val="1"/>
      <w:marLeft w:val="0"/>
      <w:marRight w:val="0"/>
      <w:marTop w:val="0"/>
      <w:marBottom w:val="0"/>
      <w:divBdr>
        <w:top w:val="none" w:sz="0" w:space="0" w:color="auto"/>
        <w:left w:val="none" w:sz="0" w:space="0" w:color="auto"/>
        <w:bottom w:val="none" w:sz="0" w:space="0" w:color="auto"/>
        <w:right w:val="none" w:sz="0" w:space="0" w:color="auto"/>
      </w:divBdr>
    </w:div>
    <w:div w:id="1245411719">
      <w:bodyDiv w:val="1"/>
      <w:marLeft w:val="0"/>
      <w:marRight w:val="0"/>
      <w:marTop w:val="0"/>
      <w:marBottom w:val="0"/>
      <w:divBdr>
        <w:top w:val="none" w:sz="0" w:space="0" w:color="auto"/>
        <w:left w:val="none" w:sz="0" w:space="0" w:color="auto"/>
        <w:bottom w:val="none" w:sz="0" w:space="0" w:color="auto"/>
        <w:right w:val="none" w:sz="0" w:space="0" w:color="auto"/>
      </w:divBdr>
    </w:div>
    <w:div w:id="1319534261">
      <w:bodyDiv w:val="1"/>
      <w:marLeft w:val="0"/>
      <w:marRight w:val="0"/>
      <w:marTop w:val="0"/>
      <w:marBottom w:val="0"/>
      <w:divBdr>
        <w:top w:val="none" w:sz="0" w:space="0" w:color="auto"/>
        <w:left w:val="none" w:sz="0" w:space="0" w:color="auto"/>
        <w:bottom w:val="none" w:sz="0" w:space="0" w:color="auto"/>
        <w:right w:val="none" w:sz="0" w:space="0" w:color="auto"/>
      </w:divBdr>
    </w:div>
    <w:div w:id="1405956158">
      <w:bodyDiv w:val="1"/>
      <w:marLeft w:val="0"/>
      <w:marRight w:val="0"/>
      <w:marTop w:val="0"/>
      <w:marBottom w:val="0"/>
      <w:divBdr>
        <w:top w:val="none" w:sz="0" w:space="0" w:color="auto"/>
        <w:left w:val="none" w:sz="0" w:space="0" w:color="auto"/>
        <w:bottom w:val="none" w:sz="0" w:space="0" w:color="auto"/>
        <w:right w:val="none" w:sz="0" w:space="0" w:color="auto"/>
      </w:divBdr>
    </w:div>
    <w:div w:id="1564367088">
      <w:bodyDiv w:val="1"/>
      <w:marLeft w:val="0"/>
      <w:marRight w:val="0"/>
      <w:marTop w:val="0"/>
      <w:marBottom w:val="0"/>
      <w:divBdr>
        <w:top w:val="none" w:sz="0" w:space="0" w:color="auto"/>
        <w:left w:val="none" w:sz="0" w:space="0" w:color="auto"/>
        <w:bottom w:val="none" w:sz="0" w:space="0" w:color="auto"/>
        <w:right w:val="none" w:sz="0" w:space="0" w:color="auto"/>
      </w:divBdr>
    </w:div>
    <w:div w:id="1722903044">
      <w:bodyDiv w:val="1"/>
      <w:marLeft w:val="0"/>
      <w:marRight w:val="0"/>
      <w:marTop w:val="0"/>
      <w:marBottom w:val="0"/>
      <w:divBdr>
        <w:top w:val="none" w:sz="0" w:space="0" w:color="auto"/>
        <w:left w:val="none" w:sz="0" w:space="0" w:color="auto"/>
        <w:bottom w:val="none" w:sz="0" w:space="0" w:color="auto"/>
        <w:right w:val="none" w:sz="0" w:space="0" w:color="auto"/>
      </w:divBdr>
    </w:div>
    <w:div w:id="1818036338">
      <w:bodyDiv w:val="1"/>
      <w:marLeft w:val="0"/>
      <w:marRight w:val="0"/>
      <w:marTop w:val="0"/>
      <w:marBottom w:val="0"/>
      <w:divBdr>
        <w:top w:val="none" w:sz="0" w:space="0" w:color="auto"/>
        <w:left w:val="none" w:sz="0" w:space="0" w:color="auto"/>
        <w:bottom w:val="none" w:sz="0" w:space="0" w:color="auto"/>
        <w:right w:val="none" w:sz="0" w:space="0" w:color="auto"/>
      </w:divBdr>
    </w:div>
    <w:div w:id="1980181231">
      <w:bodyDiv w:val="1"/>
      <w:marLeft w:val="0"/>
      <w:marRight w:val="0"/>
      <w:marTop w:val="0"/>
      <w:marBottom w:val="0"/>
      <w:divBdr>
        <w:top w:val="none" w:sz="0" w:space="0" w:color="auto"/>
        <w:left w:val="none" w:sz="0" w:space="0" w:color="auto"/>
        <w:bottom w:val="none" w:sz="0" w:space="0" w:color="auto"/>
        <w:right w:val="none" w:sz="0" w:space="0" w:color="auto"/>
      </w:divBdr>
    </w:div>
    <w:div w:id="199868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uc.ca.gov/industries-and-topics/internet-and-phone/telecommunications-surcharges-and-user-fees/surcharge-rat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25F12-1889-43B4-93BF-6177D173C1C3}">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7</ap:Pages>
  <ap:Words>1782</ap:Words>
  <ap:Characters>10412</ap:Characters>
  <ap:Application>Microsoft Office Word</ap:Application>
  <ap:DocSecurity>0</ap:DocSecurity>
  <ap:Lines>86</ap:Lines>
  <ap:Paragraphs>24</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12170</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2021-10-15T15:29:29Z</dcterms:created>
  <dcterms:modified xsi:type="dcterms:W3CDTF">2021-10-15T15:29:29Z</dcterms:modified>
</cp:coreProperties>
</file>